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75"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Arial" w:cs="Arial" w:eastAsia="Arial" w:hAnsi="Arial"/>
          <w:sz w:val="18"/>
          <w:szCs w:val="18"/>
          <w:b w:val="1"/>
          <w:bCs w:val="1"/>
          <w:color w:val="auto"/>
        </w:rPr>
        <w:t>For the quarterly period ended September 30, 2023</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860" w:type="dxa"/>
            <w:vAlign w:val="bottom"/>
            <w:tcBorders>
              <w:bottom w:val="single" w:sz="8" w:color="auto"/>
            </w:tcBorders>
          </w:tcPr>
          <w:p>
            <w:pPr>
              <w:spacing w:after="0"/>
              <w:rPr>
                <w:sz w:val="17"/>
                <w:szCs w:val="17"/>
                <w:color w:val="auto"/>
              </w:rPr>
            </w:pPr>
          </w:p>
        </w:tc>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45"/>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ind w:left="1020"/>
              <w:spacing w:after="0"/>
              <w:rPr>
                <w:sz w:val="20"/>
                <w:szCs w:val="20"/>
                <w:color w:val="auto"/>
              </w:rPr>
            </w:pPr>
            <w:r>
              <w:rPr>
                <w:rFonts w:ascii="Arial" w:cs="Arial" w:eastAsia="Arial" w:hAnsi="Arial"/>
                <w:sz w:val="18"/>
                <w:szCs w:val="18"/>
                <w:b w:val="1"/>
                <w:bCs w:val="1"/>
                <w:color w:val="auto"/>
                <w:w w:val="8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RED VIOLET,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p>
      <w:pPr>
        <w:spacing w:after="0" w:line="151"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82" w:lineRule="exact"/>
        <w:rPr>
          <w:sz w:val="24"/>
          <w:szCs w:val="24"/>
          <w:color w:val="auto"/>
        </w:rPr>
      </w:pPr>
    </w:p>
    <w:p>
      <w:pPr>
        <w:sectPr>
          <w:pgSz w:w="11900" w:h="16838" w:orient="portrait"/>
          <w:cols w:equalWidth="0" w:num="2">
            <w:col w:w="7340" w:space="720"/>
            <w:col w:w="3180"/>
          </w:cols>
          <w:pgMar w:left="320" w:top="589" w:right="33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98" w:lineRule="exact"/>
        <w:rPr>
          <w:sz w:val="24"/>
          <w:szCs w:val="24"/>
          <w:color w:val="auto"/>
        </w:rPr>
      </w:pPr>
    </w:p>
    <w:p>
      <w:pPr>
        <w:sectPr>
          <w:pgSz w:w="11900" w:h="16838" w:orient="portrait"/>
          <w:cols w:equalWidth="0" w:num="2">
            <w:col w:w="6680" w:space="720"/>
            <w:col w:w="3840"/>
          </w:cols>
          <w:pgMar w:left="320" w:top="58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Florida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 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30480</wp:posOffset>
            </wp:positionV>
            <wp:extent cx="2254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20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4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bl>
    <w:p>
      <w:pPr>
        <w:spacing w:after="0" w:line="67"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00"/>
        <w:spacing w:after="0" w:line="27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3, 2023, the registrant had 13,939,405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0300" w:type="dxa"/>
            <w:vAlign w:val="bottom"/>
            <w:gridSpan w:val="22"/>
            <w:vMerge w:val="restart"/>
          </w:tcPr>
          <w:p>
            <w:pPr>
              <w:ind w:left="20"/>
              <w:spacing w:after="0"/>
              <w:rPr>
                <w:sz w:val="20"/>
                <w:szCs w:val="20"/>
                <w:color w:val="auto"/>
              </w:rPr>
            </w:pPr>
            <w:r>
              <w:rPr>
                <w:rFonts w:ascii="Arial" w:cs="Arial" w:eastAsia="Arial" w:hAnsi="Arial"/>
                <w:sz w:val="18"/>
                <w:szCs w:val="18"/>
                <w:color w:val="0000FF"/>
              </w:rPr>
              <w:t>PART I - FINANCIAL INFORMATION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300" w:type="dxa"/>
            <w:vAlign w:val="bottom"/>
            <w:gridSpan w:val="22"/>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4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87"/>
              </w:rPr>
              <w:t>Condensed consolidated balance sheets as of September 30, 2023 and December 31, 2022</w:t>
            </w:r>
          </w:p>
        </w:tc>
        <w:tc>
          <w:tcPr>
            <w:tcW w:w="2700" w:type="dxa"/>
            <w:vAlign w:val="bottom"/>
            <w:gridSpan w:val="3"/>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84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88"/>
              </w:rPr>
              <w:t>Condensed consolidated statements of operations for the three and nine months ended September 30, 2023 and 2022</w:t>
            </w:r>
          </w:p>
        </w:tc>
        <w:tc>
          <w:tcPr>
            <w:tcW w:w="7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91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8"/>
              </w:rPr>
              <w:t>Condensed consolidated statements of changes in shareholders' equity for the three and nine months ended September 30, 2023</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2"/>
              </w:rPr>
              <w:t>and 2022</w:t>
            </w:r>
          </w:p>
        </w:tc>
        <w:tc>
          <w:tcPr>
            <w:tcW w:w="20" w:type="dxa"/>
            <w:vAlign w:val="bottom"/>
            <w:tcBorders>
              <w:bottom w:val="single" w:sz="8" w:color="0000EE"/>
            </w:tcBorders>
          </w:tcPr>
          <w:p>
            <w:pPr>
              <w:spacing w:after="0"/>
              <w:rPr>
                <w:sz w:val="17"/>
                <w:szCs w:val="17"/>
                <w:color w:val="auto"/>
              </w:rPr>
            </w:pPr>
          </w:p>
        </w:tc>
        <w:tc>
          <w:tcPr>
            <w:tcW w:w="852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7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2023 and 2022</w:t>
            </w:r>
          </w:p>
        </w:tc>
        <w:tc>
          <w:tcPr>
            <w:tcW w:w="1480" w:type="dxa"/>
            <w:vAlign w:val="bottom"/>
            <w:gridSpan w:val="2"/>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3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0" w:type="dxa"/>
            <w:vAlign w:val="bottom"/>
            <w:tcBorders>
              <w:bottom w:val="single" w:sz="8" w:color="0000EE"/>
            </w:tcBorders>
          </w:tcPr>
          <w:p>
            <w:pPr>
              <w:spacing w:after="0"/>
              <w:rPr>
                <w:sz w:val="21"/>
                <w:szCs w:val="21"/>
                <w:color w:val="auto"/>
              </w:rPr>
            </w:pPr>
          </w:p>
        </w:tc>
        <w:tc>
          <w:tcPr>
            <w:tcW w:w="5340" w:type="dxa"/>
            <w:vAlign w:val="bottom"/>
            <w:gridSpan w:val="7"/>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91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060" w:type="dxa"/>
            <w:vAlign w:val="bottom"/>
            <w:tcBorders>
              <w:top w:val="single" w:sz="8" w:color="0000FF"/>
            </w:tcBorders>
          </w:tcPr>
          <w:p>
            <w:pPr>
              <w:spacing w:after="0"/>
              <w:rPr>
                <w:sz w:val="21"/>
                <w:szCs w:val="21"/>
                <w:color w:val="auto"/>
              </w:rPr>
            </w:pPr>
          </w:p>
        </w:tc>
        <w:tc>
          <w:tcPr>
            <w:tcW w:w="2780" w:type="dxa"/>
            <w:vAlign w:val="bottom"/>
            <w:gridSpan w:val="4"/>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Controls and Procedures</w:t>
            </w:r>
          </w:p>
        </w:tc>
        <w:tc>
          <w:tcPr>
            <w:tcW w:w="7420" w:type="dxa"/>
            <w:vAlign w:val="bottom"/>
            <w:gridSpan w:val="11"/>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85"/>
        </w:trPr>
        <w:tc>
          <w:tcPr>
            <w:tcW w:w="266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5"/>
              </w:rPr>
              <w:t>PART II - OTHER INFORMATION</w:t>
            </w:r>
          </w:p>
        </w:tc>
        <w:tc>
          <w:tcPr>
            <w:tcW w:w="764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1A.</w:t>
            </w:r>
          </w:p>
        </w:tc>
        <w:tc>
          <w:tcPr>
            <w:tcW w:w="8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5"/>
              </w:rPr>
              <w:t>Risk Factors</w:t>
            </w:r>
          </w:p>
        </w:tc>
        <w:tc>
          <w:tcPr>
            <w:tcW w:w="20" w:type="dxa"/>
            <w:vAlign w:val="bottom"/>
            <w:tcBorders>
              <w:top w:val="single" w:sz="8" w:color="0000FF"/>
              <w:bottom w:val="single" w:sz="8" w:color="0000EE"/>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7880" w:type="dxa"/>
            <w:vAlign w:val="bottom"/>
            <w:gridSpan w:val="14"/>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43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4860" w:type="dxa"/>
            <w:vAlign w:val="bottom"/>
            <w:gridSpan w:val="6"/>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Defaults Upon Senior Securities</w:t>
            </w:r>
          </w:p>
        </w:tc>
        <w:tc>
          <w:tcPr>
            <w:tcW w:w="6840" w:type="dxa"/>
            <w:vAlign w:val="bottom"/>
            <w:gridSpan w:val="9"/>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Mine Safety Disclosures</w:t>
            </w:r>
          </w:p>
        </w:tc>
        <w:tc>
          <w:tcPr>
            <w:tcW w:w="7440" w:type="dxa"/>
            <w:vAlign w:val="bottom"/>
            <w:gridSpan w:val="12"/>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5.</w:t>
            </w:r>
          </w:p>
        </w:tc>
        <w:tc>
          <w:tcPr>
            <w:tcW w:w="91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Exhibits</w:t>
            </w:r>
          </w:p>
        </w:tc>
        <w:tc>
          <w:tcPr>
            <w:tcW w:w="7900" w:type="dxa"/>
            <w:vAlign w:val="bottom"/>
            <w:gridSpan w:val="15"/>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2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300" w:type="dxa"/>
            <w:vAlign w:val="bottom"/>
            <w:gridSpan w:val="22"/>
          </w:tcPr>
          <w:p>
            <w:pPr>
              <w:ind w:left="20"/>
              <w:spacing w:after="0"/>
              <w:rPr>
                <w:sz w:val="20"/>
                <w:szCs w:val="20"/>
                <w:color w:val="auto"/>
              </w:rPr>
            </w:pPr>
            <w:r>
              <w:rPr>
                <w:rFonts w:ascii="Arial" w:cs="Arial" w:eastAsia="Arial" w:hAnsi="Arial"/>
                <w:sz w:val="18"/>
                <w:szCs w:val="18"/>
                <w:color w:val="0000FF"/>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229"/>
        </w:trPr>
        <w:tc>
          <w:tcPr>
            <w:tcW w:w="11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2022</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0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34,210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shd w:val="clear" w:color="auto" w:fill="CFF0FC"/>
          </w:tcPr>
          <w:p>
            <w:pPr>
              <w:spacing w:after="0"/>
              <w:rPr>
                <w:sz w:val="21"/>
                <w:szCs w:val="21"/>
                <w:color w:val="auto"/>
              </w:rPr>
            </w:pPr>
          </w:p>
        </w:tc>
      </w:tr>
      <w:tr>
        <w:trPr>
          <w:trHeight w:val="215"/>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Accounts receivable, net of allowance for doubtful accounts of $109 and $60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September 30, 2023 and December 31, 2022,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42,193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38,116</w:t>
            </w:r>
          </w:p>
        </w:tc>
        <w:tc>
          <w:tcPr>
            <w:tcW w:w="100" w:type="dxa"/>
            <w:vAlign w:val="bottom"/>
          </w:tcPr>
          <w:p>
            <w:pPr>
              <w:spacing w:after="0"/>
              <w:rPr>
                <w:sz w:val="20"/>
                <w:szCs w:val="20"/>
                <w:color w:val="auto"/>
              </w:rPr>
            </w:pPr>
          </w:p>
        </w:tc>
      </w:tr>
      <w:tr>
        <w:trPr>
          <w:trHeight w:val="249"/>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33,992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31,647</w:t>
            </w:r>
          </w:p>
        </w:tc>
        <w:tc>
          <w:tcPr>
            <w:tcW w:w="100" w:type="dxa"/>
            <w:vAlign w:val="bottom"/>
          </w:tcPr>
          <w:p>
            <w:pPr>
              <w:spacing w:after="0"/>
              <w:rPr>
                <w:sz w:val="20"/>
                <w:szCs w:val="20"/>
                <w:color w:val="auto"/>
              </w:rPr>
            </w:pPr>
          </w:p>
        </w:tc>
      </w:tr>
      <w:tr>
        <w:trPr>
          <w:trHeight w:val="249"/>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0"/>
                <w:szCs w:val="20"/>
                <w:color w:val="auto"/>
              </w:rPr>
            </w:pPr>
          </w:p>
        </w:tc>
      </w:tr>
      <w:tr>
        <w:trPr>
          <w:trHeight w:val="249"/>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r>
      <w:tr>
        <w:trPr>
          <w:trHeight w:val="279"/>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95,276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74"/>
        </w:trPr>
        <w:tc>
          <w:tcPr>
            <w:tcW w:w="7760" w:type="dxa"/>
            <w:vAlign w:val="bottom"/>
            <w:gridSpan w:val="4"/>
          </w:tcPr>
          <w:p>
            <w:pPr>
              <w:ind w:left="20"/>
              <w:spacing w:after="0" w:line="174"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1,989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0"/>
                <w:szCs w:val="20"/>
                <w:color w:val="auto"/>
              </w:rPr>
            </w:pPr>
          </w:p>
        </w:tc>
      </w:tr>
      <w:tr>
        <w:trPr>
          <w:trHeight w:val="249"/>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20"/>
                <w:szCs w:val="20"/>
                <w:color w:val="auto"/>
              </w:rPr>
            </w:pPr>
          </w:p>
        </w:tc>
      </w:tr>
      <w:tr>
        <w:trPr>
          <w:trHeight w:val="249"/>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r>
      <w:tr>
        <w:trPr>
          <w:trHeight w:val="243"/>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6,321</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0" w:type="dxa"/>
            <w:vAlign w:val="bottom"/>
            <w:shd w:val="clear" w:color="auto" w:fill="CFF0FC"/>
          </w:tcPr>
          <w:p>
            <w:pPr>
              <w:spacing w:after="0"/>
              <w:rPr>
                <w:sz w:val="21"/>
                <w:szCs w:val="21"/>
                <w:color w:val="auto"/>
              </w:rPr>
            </w:pPr>
          </w:p>
        </w:tc>
        <w:tc>
          <w:tcPr>
            <w:tcW w:w="7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September 30, 2023 and December 31, 2022</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15"/>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Common stock—$0.001 par value, 200,000,000 shares authorized, 13,920,370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13,956,404 shares issued, and 13,912,390 and 13,956,404 shares outstanding,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September 30, 2023 and December 31, 2022</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22"/>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Treasury stock, at cost, 7,980 and 0 shares as of September 30, 2023 and December 31,</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2022</w:t>
            </w:r>
          </w:p>
        </w:tc>
        <w:tc>
          <w:tcPr>
            <w:tcW w:w="3200" w:type="dxa"/>
            <w:vAlign w:val="bottom"/>
            <w:shd w:val="clear" w:color="auto" w:fill="CFF0FC"/>
          </w:tcPr>
          <w:p>
            <w:pPr>
              <w:spacing w:after="0"/>
              <w:rPr>
                <w:sz w:val="21"/>
                <w:szCs w:val="21"/>
                <w:color w:val="auto"/>
              </w:rPr>
            </w:pPr>
          </w:p>
        </w:tc>
        <w:tc>
          <w:tcPr>
            <w:tcW w:w="3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(168 )</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96,648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92,481</w:t>
            </w:r>
          </w:p>
        </w:tc>
        <w:tc>
          <w:tcPr>
            <w:tcW w:w="100" w:type="dxa"/>
            <w:vAlign w:val="bottom"/>
          </w:tcPr>
          <w:p>
            <w:pPr>
              <w:spacing w:after="0"/>
              <w:rPr>
                <w:sz w:val="20"/>
                <w:szCs w:val="20"/>
                <w:color w:val="auto"/>
              </w:rPr>
            </w:pPr>
          </w:p>
        </w:tc>
      </w:tr>
      <w:tr>
        <w:trPr>
          <w:trHeight w:val="243"/>
        </w:trPr>
        <w:tc>
          <w:tcPr>
            <w:tcW w:w="77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(6,803 )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(21,402 )</w:t>
            </w:r>
          </w:p>
        </w:tc>
      </w:tr>
      <w:tr>
        <w:trPr>
          <w:trHeight w:val="239"/>
        </w:trPr>
        <w:tc>
          <w:tcPr>
            <w:tcW w:w="7760" w:type="dxa"/>
            <w:vAlign w:val="bottom"/>
            <w:tcBorders>
              <w:top w:val="single" w:sz="8" w:color="CFF0FC"/>
            </w:tcBorders>
            <w:gridSpan w:val="4"/>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89,691</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71,093</w:t>
            </w:r>
          </w:p>
        </w:tc>
        <w:tc>
          <w:tcPr>
            <w:tcW w:w="100" w:type="dxa"/>
            <w:vAlign w:val="bottom"/>
            <w:tcBorders>
              <w:top w:val="single" w:sz="8" w:color="CFF0FC"/>
            </w:tcBorders>
          </w:tcPr>
          <w:p>
            <w:pPr>
              <w:spacing w:after="0"/>
              <w:rPr>
                <w:sz w:val="20"/>
                <w:szCs w:val="20"/>
                <w:color w:val="auto"/>
              </w:rPr>
            </w:pPr>
          </w:p>
        </w:tc>
      </w:tr>
      <w:tr>
        <w:trPr>
          <w:trHeight w:val="276"/>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95,276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-4662805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-4662805</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-3411220</wp:posOffset>
            </wp:positionV>
            <wp:extent cx="121729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7295"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-2459355</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-351155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40,249</w:t>
            </w:r>
          </w:p>
        </w:tc>
        <w:tc>
          <w:tcPr>
            <w:tcW w:w="100" w:type="dxa"/>
            <w:vAlign w:val="bottom"/>
            <w:shd w:val="clear" w:color="auto" w:fill="CFF0FC"/>
          </w:tcPr>
          <w:p>
            <w:pPr>
              <w:spacing w:after="0"/>
              <w:rPr>
                <w:sz w:val="20"/>
                <w:szCs w:val="20"/>
                <w:color w:val="auto"/>
              </w:rPr>
            </w:pPr>
          </w:p>
        </w:tc>
      </w:tr>
      <w:tr>
        <w:trPr>
          <w:trHeight w:val="23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9,157</w:t>
            </w:r>
          </w:p>
        </w:tc>
        <w:tc>
          <w:tcPr>
            <w:tcW w:w="100" w:type="dxa"/>
            <w:vAlign w:val="bottom"/>
            <w:shd w:val="clear" w:color="auto" w:fill="CFF0F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7,836</w:t>
            </w:r>
          </w:p>
        </w:tc>
        <w:tc>
          <w:tcPr>
            <w:tcW w:w="100" w:type="dxa"/>
            <w:vAlign w:val="bottom"/>
          </w:tcPr>
          <w:p>
            <w:pPr>
              <w:spacing w:after="0"/>
              <w:rPr>
                <w:sz w:val="20"/>
                <w:szCs w:val="20"/>
                <w:color w:val="auto"/>
              </w:rPr>
            </w:pP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16,118</w:t>
            </w:r>
          </w:p>
        </w:tc>
        <w:tc>
          <w:tcPr>
            <w:tcW w:w="100" w:type="dxa"/>
            <w:vAlign w:val="bottom"/>
            <w:shd w:val="clear" w:color="auto" w:fill="CFF0F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0"/>
                <w:szCs w:val="20"/>
                <w:color w:val="auto"/>
              </w:rPr>
            </w:pPr>
          </w:p>
        </w:tc>
      </w:tr>
      <w:tr>
        <w:trPr>
          <w:trHeight w:val="238"/>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14,072</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0"/>
                <w:szCs w:val="20"/>
                <w:color w:val="auto"/>
              </w:rPr>
            </w:pPr>
          </w:p>
        </w:tc>
      </w:tr>
      <w:tr>
        <w:trPr>
          <w:trHeight w:val="241"/>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0"/>
                <w:szCs w:val="20"/>
                <w:color w:val="auto"/>
              </w:rPr>
            </w:pPr>
          </w:p>
        </w:tc>
      </w:tr>
      <w:tr>
        <w:trPr>
          <w:trHeight w:val="241"/>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(10,384 )</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(10,253 )</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20"/>
                <w:szCs w:val="20"/>
                <w:color w:val="auto"/>
              </w:rPr>
            </w:pPr>
          </w:p>
        </w:tc>
      </w:tr>
      <w:tr>
        <w:trPr>
          <w:trHeight w:val="239"/>
        </w:trPr>
        <w:tc>
          <w:tcPr>
            <w:tcW w:w="56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12,495</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14,599</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Borders>
              <w:top w:val="single" w:sz="8" w:color="CFF0FC"/>
            </w:tcBorders>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6"/>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13,952,426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13,748,587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13,970,317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13,690,309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62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14,329,878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13,764,262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14,207,673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13,872,596</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-1851025</wp:posOffset>
            </wp:positionV>
            <wp:extent cx="7683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-1851025</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-1851025</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-1533525</wp:posOffset>
            </wp:positionV>
            <wp:extent cx="7683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-1533525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-1533525</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-1216660</wp:posOffset>
            </wp:positionV>
            <wp:extent cx="7683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-1216660</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-1216660</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-539115</wp:posOffset>
            </wp:positionV>
            <wp:extent cx="280289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02890" cy="1797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-205105</wp:posOffset>
            </wp:positionV>
            <wp:extent cx="280289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02890" cy="2057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2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240" w:type="dxa"/>
            <w:vAlign w:val="bottom"/>
            <w:gridSpan w:val="5"/>
            <w:vMerge w:val="restart"/>
          </w:tcPr>
          <w:p>
            <w:pPr>
              <w:jc w:val="right"/>
              <w:ind w:right="681"/>
              <w:spacing w:after="0"/>
              <w:rPr>
                <w:sz w:val="20"/>
                <w:szCs w:val="20"/>
                <w:color w:val="auto"/>
              </w:rPr>
            </w:pPr>
            <w:r>
              <w:rPr>
                <w:rFonts w:ascii="Arial" w:cs="Arial" w:eastAsia="Arial" w:hAnsi="Arial"/>
                <w:sz w:val="14"/>
                <w:szCs w:val="14"/>
                <w:b w:val="1"/>
                <w:bCs w:val="1"/>
                <w:color w:val="auto"/>
              </w:rPr>
              <w:t>Treasury stock</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0" w:type="dxa"/>
            <w:vAlign w:val="bottom"/>
            <w:gridSpan w:val="3"/>
            <w:vMerge w:val="restart"/>
          </w:tcPr>
          <w:p>
            <w:pPr>
              <w:jc w:val="center"/>
              <w:ind w:right="121"/>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paid-in</w:t>
            </w: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4"/>
                <w:szCs w:val="14"/>
                <w:color w:val="auto"/>
              </w:rPr>
            </w:pPr>
          </w:p>
        </w:tc>
        <w:tc>
          <w:tcPr>
            <w:tcW w:w="100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6"/>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13,702,796</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92,178</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285,389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treasury stock resulting</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from shares withheld to cover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(93,779 )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(1,539 )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(1,539 )</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1"/>
              <w:spacing w:after="0"/>
              <w:rPr>
                <w:sz w:val="20"/>
                <w:szCs w:val="20"/>
                <w:color w:val="auto"/>
              </w:rPr>
            </w:pPr>
            <w:r>
              <w:rPr>
                <w:rFonts w:ascii="Arial" w:cs="Arial" w:eastAsia="Arial" w:hAnsi="Arial"/>
                <w:sz w:val="18"/>
                <w:szCs w:val="18"/>
                <w:color w:val="auto"/>
              </w:rPr>
              <w:t>(13,969 )</w:t>
            </w:r>
          </w:p>
        </w:tc>
        <w:tc>
          <w:tcPr>
            <w:tcW w:w="14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(249 )</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of treasury stock</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(113,779 )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113,779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(1,904 )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13,874,406</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(1,000 )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92,017</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(19,858 )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140" w:type="dxa"/>
            <w:vAlign w:val="bottom"/>
          </w:tcPr>
          <w:p>
            <w:pPr>
              <w:jc w:val="right"/>
              <w:spacing w:after="0"/>
              <w:rPr>
                <w:sz w:val="20"/>
                <w:szCs w:val="20"/>
                <w:color w:val="auto"/>
              </w:rPr>
            </w:pPr>
            <w:r>
              <w:rPr>
                <w:rFonts w:ascii="Arial" w:cs="Arial" w:eastAsia="Arial" w:hAnsi="Arial"/>
                <w:sz w:val="18"/>
                <w:szCs w:val="18"/>
                <w:color w:val="auto"/>
              </w:rPr>
              <w:t>13,911,691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400" w:type="dxa"/>
            <w:vAlign w:val="bottom"/>
            <w:gridSpan w:val="3"/>
          </w:tcPr>
          <w:p>
            <w:pPr>
              <w:jc w:val="right"/>
              <w:ind w:right="61"/>
              <w:spacing w:after="0"/>
              <w:rPr>
                <w:sz w:val="20"/>
                <w:szCs w:val="20"/>
                <w:color w:val="auto"/>
              </w:rPr>
            </w:pPr>
            <w:r>
              <w:rPr>
                <w:rFonts w:ascii="Arial" w:cs="Arial" w:eastAsia="Arial" w:hAnsi="Arial"/>
                <w:sz w:val="18"/>
                <w:szCs w:val="18"/>
                <w:color w:val="auto"/>
              </w:rPr>
              <w:t>(2,738 )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(52 )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95,104</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(19,298 )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8"/>
                <w:szCs w:val="18"/>
                <w:color w:val="auto"/>
              </w:rPr>
              <w:t>Increase in treasury stock resulting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from shares withheld to cover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120"/>
              <w:spacing w:after="0"/>
              <w:rPr>
                <w:sz w:val="20"/>
                <w:szCs w:val="20"/>
                <w:color w:val="auto"/>
              </w:rPr>
            </w:pPr>
            <w:r>
              <w:rPr>
                <w:rFonts w:ascii="Arial" w:cs="Arial" w:eastAsia="Arial" w:hAnsi="Arial"/>
                <w:sz w:val="18"/>
                <w:szCs w:val="18"/>
                <w:color w:val="auto"/>
              </w:rPr>
              <w:t>statutory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1"/>
              <w:spacing w:after="0"/>
              <w:rPr>
                <w:sz w:val="20"/>
                <w:szCs w:val="20"/>
                <w:color w:val="auto"/>
              </w:rPr>
            </w:pPr>
            <w:r>
              <w:rPr>
                <w:rFonts w:ascii="Arial" w:cs="Arial" w:eastAsia="Arial" w:hAnsi="Arial"/>
                <w:sz w:val="18"/>
                <w:szCs w:val="18"/>
                <w:color w:val="auto"/>
              </w:rPr>
              <w:t>(7,237 )</w:t>
            </w:r>
          </w:p>
        </w:tc>
        <w:tc>
          <w:tcPr>
            <w:tcW w:w="14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(147 )</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repurchased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(15,019 )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(311 )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Retirement of treasury stock</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(17,014 )</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(342 )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12,495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13,920,370</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96,648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280" w:type="dxa"/>
            <w:vAlign w:val="bottom"/>
          </w:tcPr>
          <w:p>
            <w:pPr>
              <w:spacing w:after="0"/>
              <w:rPr>
                <w:sz w:val="24"/>
                <w:szCs w:val="24"/>
                <w:color w:val="auto"/>
              </w:rPr>
            </w:pPr>
          </w:p>
        </w:tc>
        <w:tc>
          <w:tcPr>
            <w:tcW w:w="22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2240" w:type="dxa"/>
            <w:vAlign w:val="bottom"/>
            <w:gridSpan w:val="5"/>
            <w:vMerge w:val="restart"/>
          </w:tcPr>
          <w:p>
            <w:pPr>
              <w:jc w:val="right"/>
              <w:ind w:right="681"/>
              <w:spacing w:after="0"/>
              <w:rPr>
                <w:sz w:val="20"/>
                <w:szCs w:val="20"/>
                <w:color w:val="auto"/>
              </w:rPr>
            </w:pPr>
            <w:r>
              <w:rPr>
                <w:rFonts w:ascii="Arial" w:cs="Arial" w:eastAsia="Arial" w:hAnsi="Arial"/>
                <w:sz w:val="14"/>
                <w:szCs w:val="14"/>
                <w:b w:val="1"/>
                <w:bCs w:val="1"/>
                <w:color w:val="auto"/>
              </w:rPr>
              <w:t>Treasury stock</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0" w:type="dxa"/>
            <w:vAlign w:val="bottom"/>
            <w:gridSpan w:val="3"/>
            <w:vMerge w:val="restart"/>
          </w:tcPr>
          <w:p>
            <w:pPr>
              <w:jc w:val="center"/>
              <w:ind w:right="121"/>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paid-in</w:t>
            </w: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4"/>
                <w:szCs w:val="14"/>
                <w:color w:val="auto"/>
              </w:rPr>
            </w:pPr>
          </w:p>
        </w:tc>
        <w:tc>
          <w:tcPr>
            <w:tcW w:w="100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6"/>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13,488,540</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91,434</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(22,018</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605,899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treasury stock resulting</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from shares withheld to cover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(200,033 )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(4,310 )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(4,310 )</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1"/>
              <w:spacing w:after="0"/>
              <w:rPr>
                <w:sz w:val="20"/>
                <w:szCs w:val="20"/>
                <w:color w:val="auto"/>
              </w:rPr>
            </w:pPr>
            <w:r>
              <w:rPr>
                <w:rFonts w:ascii="Arial" w:cs="Arial" w:eastAsia="Arial" w:hAnsi="Arial"/>
                <w:sz w:val="18"/>
                <w:szCs w:val="18"/>
                <w:color w:val="auto"/>
              </w:rPr>
              <w:t>(21,000 )</w:t>
            </w:r>
          </w:p>
        </w:tc>
        <w:tc>
          <w:tcPr>
            <w:tcW w:w="14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(383 )</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of treasury stock</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(220,033 )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220,033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(4,675 )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13,874,406</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(1,000 )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92,017</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(19,858 )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13,956,404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92,481</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(21,402 )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8"/>
                <w:szCs w:val="18"/>
                <w:color w:val="auto"/>
              </w:rPr>
              <w:t>Increase in treasury stock resulting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from shares withheld to cover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120"/>
              <w:spacing w:after="0"/>
              <w:rPr>
                <w:sz w:val="20"/>
                <w:szCs w:val="20"/>
                <w:color w:val="auto"/>
              </w:rPr>
            </w:pPr>
            <w:r>
              <w:rPr>
                <w:rFonts w:ascii="Arial" w:cs="Arial" w:eastAsia="Arial" w:hAnsi="Arial"/>
                <w:sz w:val="18"/>
                <w:szCs w:val="18"/>
                <w:color w:val="auto"/>
              </w:rPr>
              <w:t>statutory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1"/>
              <w:spacing w:after="0"/>
              <w:rPr>
                <w:sz w:val="20"/>
                <w:szCs w:val="20"/>
                <w:color w:val="auto"/>
              </w:rPr>
            </w:pPr>
            <w:r>
              <w:rPr>
                <w:rFonts w:ascii="Arial" w:cs="Arial" w:eastAsia="Arial" w:hAnsi="Arial"/>
                <w:sz w:val="18"/>
                <w:szCs w:val="18"/>
                <w:color w:val="auto"/>
              </w:rPr>
              <w:t>(9,870 )</w:t>
            </w:r>
          </w:p>
        </w:tc>
        <w:tc>
          <w:tcPr>
            <w:tcW w:w="14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(197 )</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repurchased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(70,037 )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(1,251 )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(1,251 )</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Retirement of treasury stock</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(71,927 )</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71,927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(1,280 )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14,599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13,920,370</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96,648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-5562600</wp:posOffset>
            </wp:positionV>
            <wp:extent cx="7683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-5562600</wp:posOffset>
            </wp:positionV>
            <wp:extent cx="7747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-5562600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-5562600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-5562600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-5562600</wp:posOffset>
            </wp:positionV>
            <wp:extent cx="685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-3702685</wp:posOffset>
            </wp:positionV>
            <wp:extent cx="4328795" cy="462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28795" cy="4629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-1885315</wp:posOffset>
            </wp:positionV>
            <wp:extent cx="7683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-1885315</wp:posOffset>
            </wp:positionV>
            <wp:extent cx="7747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-1885315</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-1885315</wp:posOffset>
            </wp:positionV>
            <wp:extent cx="685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-1885315</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-1885315</wp:posOffset>
            </wp:positionV>
            <wp:extent cx="685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14,599</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 (benefit) expense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(10,308 )</w:t>
            </w: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(2,183 )</w:t>
            </w: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(2,833 )</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(407 )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(250 )</w:t>
            </w: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(26 )</w:t>
            </w: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(240 )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(1,473 )</w:t>
            </w: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(143 )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(302 )</w:t>
            </w: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(512 )</w:t>
            </w: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(456 )</w:t>
            </w:r>
          </w:p>
        </w:tc>
      </w:tr>
      <w:tr>
        <w:trPr>
          <w:trHeight w:val="236"/>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10,867</w:t>
            </w:r>
          </w:p>
        </w:tc>
        <w:tc>
          <w:tcPr>
            <w:tcW w:w="28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Borders>
              <w:top w:val="single" w:sz="8" w:color="CFF0FC"/>
            </w:tcBorders>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(98 )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(271 )</w:t>
            </w: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(6,921 )</w:t>
            </w: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(6,139 )</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(7,019 )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(6,410 )</w:t>
            </w: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(197 )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(4,310 )</w:t>
            </w: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Repurchases of common stock</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(1,251 )</w:t>
            </w: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(365 )</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(1,448 )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(4,675 )</w:t>
            </w: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tcBorders>
              <w:top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8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31,810</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34,258</w:t>
            </w:r>
          </w:p>
        </w:tc>
        <w:tc>
          <w:tcPr>
            <w:tcW w:w="100" w:type="dxa"/>
            <w:vAlign w:val="bottom"/>
          </w:tcPr>
          <w:p>
            <w:pPr>
              <w:spacing w:after="0"/>
              <w:rPr>
                <w:sz w:val="20"/>
                <w:szCs w:val="20"/>
                <w:color w:val="auto"/>
              </w:rPr>
            </w:pPr>
          </w:p>
        </w:tc>
      </w:tr>
      <w:tr>
        <w:trPr>
          <w:trHeight w:val="278"/>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34,210</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31,273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2"/>
        </w:trPr>
        <w:tc>
          <w:tcPr>
            <w:tcW w:w="7760" w:type="dxa"/>
            <w:vAlign w:val="bottom"/>
          </w:tcPr>
          <w:p>
            <w:pPr>
              <w:ind w:left="20"/>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Retirement of treasury stock</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1,280</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 -use assets obtained in exchange of operating lease liabilities</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1,919</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-3008630</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-3008630</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-2374265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-1739900</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-1097280</wp:posOffset>
            </wp:positionV>
            <wp:extent cx="121729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17295" cy="18034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4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2023.</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included in this quarterly report on Form 10-Q should be read in conjunction with the consolidated financial statements and accompanying notes included in the Company’s Annual Report on Form 10-K for the year ended December 31, 2022 filed with the SEC on March 8, 2023 (“Form 10-K”).</w:t>
      </w:r>
    </w:p>
    <w:p>
      <w:pPr>
        <w:spacing w:after="0" w:line="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condensed consolidated balance sheet as of December 31, 2022 included herein was derived from the audited financial statements as of that date included in the Form 10-K, but does not include all disclosures required by US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12,495</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14,599</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0"/>
                <w:szCs w:val="20"/>
                <w:color w:val="auto"/>
              </w:rPr>
            </w:pP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13,952,426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13,748,587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13,970,317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13,690,309</w:t>
            </w:r>
          </w:p>
        </w:tc>
        <w:tc>
          <w:tcPr>
            <w:tcW w:w="100" w:type="dxa"/>
            <w:vAlign w:val="bottom"/>
            <w:shd w:val="clear" w:color="auto" w:fill="CFF0FC"/>
          </w:tcPr>
          <w:p>
            <w:pPr>
              <w:spacing w:after="0"/>
              <w:rPr>
                <w:sz w:val="21"/>
                <w:szCs w:val="21"/>
                <w:color w:val="auto"/>
              </w:rPr>
            </w:pPr>
          </w:p>
        </w:tc>
      </w:tr>
      <w:tr>
        <w:trPr>
          <w:trHeight w:val="243"/>
        </w:trPr>
        <w:tc>
          <w:tcPr>
            <w:tcW w:w="5620" w:type="dxa"/>
            <w:vAlign w:val="bottom"/>
          </w:tcPr>
          <w:p>
            <w:pPr>
              <w:ind w:left="20"/>
              <w:spacing w:after="0" w:line="243" w:lineRule="exact"/>
              <w:rPr>
                <w:sz w:val="20"/>
                <w:szCs w:val="20"/>
                <w:color w:val="auto"/>
              </w:rPr>
            </w:pPr>
            <w:r>
              <w:rPr>
                <w:rFonts w:ascii="Arial" w:cs="Arial" w:eastAsia="Arial" w:hAnsi="Arial"/>
                <w:sz w:val="18"/>
                <w:szCs w:val="18"/>
                <w:color w:val="auto"/>
              </w:rPr>
              <w:t>Diluted</w:t>
            </w:r>
            <w:r>
              <w:rPr>
                <w:rFonts w:ascii="Arial" w:cs="Arial" w:eastAsia="Arial" w:hAnsi="Arial"/>
                <w:sz w:val="24"/>
                <w:szCs w:val="24"/>
                <w:color w:val="auto"/>
                <w:vertAlign w:val="superscript"/>
              </w:rPr>
              <w:t>(1)</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14,329,878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13,764,262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14,207,673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13,872,596</w:t>
            </w:r>
          </w:p>
        </w:tc>
        <w:tc>
          <w:tcPr>
            <w:tcW w:w="100" w:type="dxa"/>
            <w:vAlign w:val="bottom"/>
          </w:tcPr>
          <w:p>
            <w:pPr>
              <w:spacing w:after="0"/>
              <w:rPr>
                <w:sz w:val="21"/>
                <w:szCs w:val="2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18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2023 and 2022, diluted weighted average shares outstanding are calculated by the inclusion of unvested restricted stock units ("RSUs").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Intangible assets,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4"/>
                <w:szCs w:val="14"/>
                <w:b w:val="1"/>
                <w:bCs w:val="1"/>
                <w:color w:val="auto"/>
                <w:w w:val="91"/>
              </w:rPr>
              <w:t>September 30, 2023</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4"/>
                <w:szCs w:val="14"/>
                <w:b w:val="1"/>
                <w:bCs w:val="1"/>
                <w:color w:val="auto"/>
                <w:w w:val="91"/>
              </w:rPr>
              <w:t>December 31, 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3"/>
        </w:trPr>
        <w:tc>
          <w:tcPr>
            <w:tcW w:w="3400" w:type="dxa"/>
            <w:vAlign w:val="bottom"/>
          </w:tcPr>
          <w:p>
            <w:pPr>
              <w:spacing w:after="0"/>
              <w:rPr>
                <w:sz w:val="12"/>
                <w:szCs w:val="12"/>
                <w:color w:val="auto"/>
              </w:rPr>
            </w:pPr>
          </w:p>
        </w:tc>
        <w:tc>
          <w:tcPr>
            <w:tcW w:w="134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5"/>
              </w:rPr>
              <w:t>Amortization</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4"/>
          </w:tcPr>
          <w:p>
            <w:pPr>
              <w:jc w:val="center"/>
              <w:ind w:right="390"/>
              <w:spacing w:after="0" w:line="143"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2"/>
                <w:szCs w:val="12"/>
                <w:color w:val="auto"/>
              </w:rPr>
            </w:pPr>
          </w:p>
        </w:tc>
        <w:tc>
          <w:tcPr>
            <w:tcW w:w="1360" w:type="dxa"/>
            <w:vAlign w:val="bottom"/>
            <w:gridSpan w:val="4"/>
          </w:tcPr>
          <w:p>
            <w:pPr>
              <w:jc w:val="center"/>
              <w:ind w:right="350"/>
              <w:spacing w:after="0" w:line="143" w:lineRule="exact"/>
              <w:rPr>
                <w:sz w:val="20"/>
                <w:szCs w:val="20"/>
                <w:color w:val="auto"/>
              </w:rPr>
            </w:pPr>
            <w:r>
              <w:rPr>
                <w:rFonts w:ascii="Arial" w:cs="Arial" w:eastAsia="Arial" w:hAnsi="Arial"/>
                <w:sz w:val="13"/>
                <w:szCs w:val="13"/>
                <w:b w:val="1"/>
                <w:bCs w:val="1"/>
                <w:color w:val="auto"/>
                <w:w w:val="93"/>
              </w:rPr>
              <w:t>Accumulated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period</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2"/>
              </w:rPr>
              <w:t>Gross 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amortization</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5"/>
                <w:szCs w:val="15"/>
                <w:color w:val="auto"/>
              </w:rPr>
            </w:pPr>
          </w:p>
        </w:tc>
      </w:tr>
      <w:tr>
        <w:trPr>
          <w:trHeight w:val="277"/>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Software developed for internal use</w:t>
            </w:r>
          </w:p>
        </w:tc>
        <w:tc>
          <w:tcPr>
            <w:tcW w:w="134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9"/>
              </w:rPr>
              <w:t>5-10 years</w:t>
            </w: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60,988</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7"/>
              </w:rPr>
              <w:t>33,992</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   52,678</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0"/>
              </w:rPr>
              <w:t>31,647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-25400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Amortization expenses of $2,112 and $1,659 for the three months ended September 30, 2023 and 2022, respectively, and $5,965 and $4,682 for the nine months ended September 30, 2023 and 2022, respectively, were included in depreciation and amortization expense. As of September 30, 2023, intangible assets of $5,370, included in the gross amounts of software developed for internal use, have not started amortization, as they are not ready for their intended use.</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capitalized costs of software developed for internal use of $2,929 and $2,716 during the three months ended September 30, 2023 and 2022, respectively, and $8,310 and $7,332 during the nine months ended September 30, 2023 and 2022, respectively.</w:t>
      </w:r>
    </w:p>
    <w:p>
      <w:pPr>
        <w:spacing w:after="0" w:line="13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September 30, 2023, estimated amortization expense related to the Company’s intangible assets for the remainder of 2023 through 2028 and thereafter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September 30, 2023</w:t>
            </w:r>
          </w:p>
        </w:tc>
        <w:tc>
          <w:tcPr>
            <w:tcW w:w="100" w:type="dxa"/>
            <w:vAlign w:val="bottom"/>
          </w:tcPr>
          <w:p>
            <w:pPr>
              <w:spacing w:after="0"/>
              <w:rPr>
                <w:sz w:val="19"/>
                <w:szCs w:val="19"/>
                <w:color w:val="auto"/>
              </w:rPr>
            </w:pPr>
          </w:p>
        </w:tc>
      </w:tr>
      <w:tr>
        <w:trPr>
          <w:trHeight w:val="237"/>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FF0FC"/>
          </w:tcPr>
          <w:p>
            <w:pPr>
              <w:spacing w:after="0"/>
              <w:rPr>
                <w:sz w:val="20"/>
                <w:szCs w:val="20"/>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20"/>
                <w:szCs w:val="20"/>
                <w:color w:val="auto"/>
              </w:rPr>
            </w:pPr>
          </w:p>
        </w:tc>
      </w:tr>
      <w:tr>
        <w:trPr>
          <w:trHeight w:val="249"/>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7,836</w:t>
            </w:r>
          </w:p>
        </w:tc>
        <w:tc>
          <w:tcPr>
            <w:tcW w:w="100" w:type="dxa"/>
            <w:vAlign w:val="bottom"/>
            <w:shd w:val="clear" w:color="auto" w:fill="CFF0FC"/>
          </w:tcPr>
          <w:p>
            <w:pPr>
              <w:spacing w:after="0"/>
              <w:rPr>
                <w:sz w:val="21"/>
                <w:szCs w:val="21"/>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20"/>
                <w:szCs w:val="20"/>
                <w:color w:val="auto"/>
              </w:rPr>
            </w:pPr>
          </w:p>
        </w:tc>
      </w:tr>
      <w:tr>
        <w:trPr>
          <w:trHeight w:val="249"/>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FF0FC"/>
          </w:tcPr>
          <w:p>
            <w:pPr>
              <w:spacing w:after="0"/>
              <w:rPr>
                <w:sz w:val="21"/>
                <w:szCs w:val="21"/>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0"/>
                <w:szCs w:val="20"/>
                <w:color w:val="auto"/>
              </w:rPr>
            </w:pPr>
          </w:p>
        </w:tc>
      </w:tr>
      <w:tr>
        <w:trPr>
          <w:trHeight w:val="277"/>
        </w:trPr>
        <w:tc>
          <w:tcPr>
            <w:tcW w:w="9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8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September 30, 2023 and December 31, 2022, the balance of goodwill of $5,227 was as a result of the acquisition of Interactive Data, LLC, a wholly-owned subsidiary of red violet, effective on October 2, 2014.</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did not record a goodwill impairment loss during the three and nine months ended September 30, 2023 and 2022, and as of September 30, 2023, there was no accumulated goodwill impairment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The Company recognized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ind w:right="20"/>
        <w:spacing w:after="0" w:line="270" w:lineRule="auto"/>
        <w:rPr>
          <w:sz w:val="20"/>
          <w:szCs w:val="20"/>
          <w:color w:val="auto"/>
        </w:rPr>
      </w:pPr>
      <w:r>
        <w:rPr>
          <w:rFonts w:ascii="Arial" w:cs="Arial" w:eastAsia="Arial" w:hAnsi="Arial"/>
          <w:sz w:val="17"/>
          <w:szCs w:val="17"/>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September 30, 2023, the current and noncurrent portion unbilled accounts receivable of $778 and $481, respectively, were included within accounts receivable and other noncurrent assets, respectively, on the condensed consolidated balance sheets. As of December 31, 2022, the current and noncurrent portion unbilled accounts receivable of $923 and $464, respectively, were included within accounts receivable and other noncurrent assets, respectively, on the condensed consolidated balance sheet. The Company's revenue arrangements do not contain significant financing components.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September 30, 2023 and 2022, 79% and 68% of total revenue was attributable to customers with pricing contracts, respectively, versus 21% and 32% attributable to transactional customers, respectively. For the nine months ended September 30, 2023 and 2022, 78% and 74% of total revenue was attributable to customers with pricing contracts, respectively, versus 22% and 26% attributable to transactional customers, respectively. Pricing contracts are generally annual contracts or longer, with auto renewal.</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 customer pays consideration before the Company transfers services to the customer, those amounts are classified as deferred revenue. As of September 30, 2023 and December 31, 2022, the balance of deferred revenue was $527 and $670, respectively, all of which is expected to be realized in the next 12 months. In relation to the deferred revenue balance as of December 31, 2022, $102 and $502 was recognized into revenue during the three and nine months ended September 30, 2023, respectively.</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September 30, 2023, $11,823 of revenue is expected to be recognized in the future for performance obligations that are unsatisfied or partially unsatisfied, related to pricing contracts that have a term of more than 12 months, of which, $2,367 of revenue will be recognized in the remainder of 2023, $6,063 in 2024, $2,237 in 2025, $850 in 2026, and $306 in 2027.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6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During the three months ended September 30,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the deferred tax assets as of September 30, 2023 is more likely than not.</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effective income tax rate was (492%) and 1% for the three months ended September 30, 2023 and 2022, respectively, and (236%) and 10% for the nine months ended September 30, 2023 and 2022, respectively, differing from the U.S. corporate statutory federal income tax rate of 21%. The difference is primarily the result of the release of the valuation allowance, recognition of credit for increasing research activities, state income taxes and permanent differences.</w:t>
      </w:r>
    </w:p>
    <w:p>
      <w:pPr>
        <w:spacing w:after="0" w:line="14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ind w:right="120"/>
        <w:spacing w:after="0" w:line="308" w:lineRule="auto"/>
        <w:rPr>
          <w:sz w:val="20"/>
          <w:szCs w:val="20"/>
          <w:color w:val="auto"/>
        </w:rPr>
      </w:pPr>
      <w:r>
        <w:rPr>
          <w:rFonts w:ascii="Arial" w:cs="Arial" w:eastAsia="Arial" w:hAnsi="Arial"/>
          <w:sz w:val="17"/>
          <w:szCs w:val="17"/>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material unrecognized tax benefits as of September 30, 2023 and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treasury stock</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September 30, 2023 and December 31, 2022, the number of issued shares of common stock was 13,920,370 and 13,956,404, respectively, which included shares of treasury stock of 7,980 and 0, respectively. The changes in the number of issued shares of common stock and treasury stock were due to the following factors:</w:t>
      </w:r>
    </w:p>
    <w:p>
      <w:pPr>
        <w:spacing w:after="0" w:line="157" w:lineRule="exact"/>
        <w:rPr>
          <w:sz w:val="20"/>
          <w:szCs w:val="20"/>
          <w:color w:val="auto"/>
        </w:rPr>
      </w:pPr>
    </w:p>
    <w:p>
      <w:pPr>
        <w:ind w:left="380" w:right="42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aggregate of 35,893 shares of common stock were issued as a result of the vesting of RSUs, of which, 9,870 shares of common stock were withheld to pay withholding taxes upon such vesting, which were reflected in treasury stock, with a cost of $197. Related treasury stock of 9,870 shares was then retired during the nine months ended September 30, 2023.</w:t>
      </w:r>
    </w:p>
    <w:p>
      <w:pPr>
        <w:spacing w:after="0" w:line="143" w:lineRule="exact"/>
        <w:rPr>
          <w:rFonts w:ascii="Arial" w:cs="Arial" w:eastAsia="Arial" w:hAnsi="Arial"/>
          <w:sz w:val="18"/>
          <w:szCs w:val="18"/>
          <w:color w:val="auto"/>
        </w:rPr>
      </w:pPr>
    </w:p>
    <w:p>
      <w:pPr>
        <w:ind w:left="380" w:right="40" w:hanging="372"/>
        <w:spacing w:after="0" w:line="273"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May 2, 2022, the board of directors of the Company authorized the repurchase of up to $5.0 million of the Company's common stock from time to time (the “Stock Repurchase Program”). The Stock Repurchase Program does not obligate the Company to repurchase any shares and may be modified, suspended or terminated at any time and for any reason at the discretion of the board of directors. During the nine months ended September 30, 2023, the Company repurchased 70,037 shares of common stock under the Stock Repurchase Program, which was reflected in treasury stock, with a cost of $1,251. Related treasury stock of 62,057 shares, with a cost of $1,083, was retired during the nine months ended September 30, 2023, which resulted in a treasury stock balance of $168 as of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and on May 25, 2022, the Company's stockholders approved an amendment to the 2018 Plan to increase the number of shares of common stock authorized for issuance under the 2018 Plan from 4,500,000 shares to 6,500,000 shares.</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there were 2,331,868 shares of common stock available for future issuance under the 2018 Plan, as amended.</w:t>
      </w:r>
    </w:p>
    <w:p>
      <w:pPr>
        <w:spacing w:after="0" w:line="19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three months ended September 30, 2023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 units</w:t>
            </w:r>
          </w:p>
        </w:tc>
        <w:tc>
          <w:tcPr>
            <w:tcW w:w="160" w:type="dxa"/>
            <w:vAlign w:val="bottom"/>
          </w:tcPr>
          <w:p>
            <w:pPr>
              <w:spacing w:after="0"/>
              <w:rPr>
                <w:sz w:val="14"/>
                <w:szCs w:val="14"/>
                <w:color w:val="auto"/>
              </w:rPr>
            </w:pPr>
          </w:p>
        </w:tc>
        <w:tc>
          <w:tcPr>
            <w:tcW w:w="1540" w:type="dxa"/>
            <w:vAlign w:val="bottom"/>
          </w:tcPr>
          <w:p>
            <w:pPr>
              <w:jc w:val="right"/>
              <w:ind w:right="215"/>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grant-date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2022</w:t>
            </w:r>
          </w:p>
        </w:tc>
        <w:tc>
          <w:tcPr>
            <w:tcW w:w="328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1,044,132</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line="243" w:lineRule="exact"/>
              <w:rPr>
                <w:sz w:val="20"/>
                <w:szCs w:val="20"/>
                <w:color w:val="auto"/>
              </w:rPr>
            </w:pPr>
            <w:r>
              <w:rPr>
                <w:rFonts w:ascii="Arial" w:cs="Arial" w:eastAsia="Arial" w:hAnsi="Arial"/>
                <w:sz w:val="18"/>
                <w:szCs w:val="18"/>
                <w:color w:val="auto"/>
              </w:rPr>
              <w:t>Granted</w:t>
            </w:r>
            <w:r>
              <w:rPr>
                <w:rFonts w:ascii="Arial" w:cs="Arial" w:eastAsia="Arial" w:hAnsi="Arial"/>
                <w:sz w:val="24"/>
                <w:szCs w:val="24"/>
                <w:color w:val="auto"/>
                <w:vertAlign w:val="superscript"/>
              </w:rPr>
              <w:t>(1)</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delivered</w:t>
            </w:r>
          </w:p>
        </w:tc>
        <w:tc>
          <w:tcPr>
            <w:tcW w:w="53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(26,023 )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line="243" w:lineRule="exact"/>
              <w:rPr>
                <w:sz w:val="20"/>
                <w:szCs w:val="20"/>
                <w:color w:val="auto"/>
              </w:rPr>
            </w:pPr>
            <w:r>
              <w:rPr>
                <w:rFonts w:ascii="Arial" w:cs="Arial" w:eastAsia="Arial" w:hAnsi="Arial"/>
                <w:sz w:val="18"/>
                <w:szCs w:val="18"/>
                <w:color w:val="auto"/>
              </w:rPr>
              <w:t>Withheld as treasury stock</w:t>
            </w:r>
            <w:r>
              <w:rPr>
                <w:rFonts w:ascii="Arial" w:cs="Arial" w:eastAsia="Arial" w:hAnsi="Arial"/>
                <w:sz w:val="24"/>
                <w:szCs w:val="24"/>
                <w:color w:val="auto"/>
                <w:vertAlign w:val="superscript"/>
              </w:rPr>
              <w:t>(2)</w:t>
            </w:r>
          </w:p>
        </w:tc>
        <w:tc>
          <w:tcPr>
            <w:tcW w:w="5360" w:type="dxa"/>
            <w:vAlign w:val="bottom"/>
            <w:gridSpan w:val="3"/>
          </w:tcPr>
          <w:p>
            <w:pPr>
              <w:jc w:val="right"/>
              <w:ind w:right="240"/>
              <w:spacing w:after="0"/>
              <w:rPr>
                <w:sz w:val="20"/>
                <w:szCs w:val="20"/>
                <w:color w:val="auto"/>
              </w:rPr>
            </w:pPr>
            <w:r>
              <w:rPr>
                <w:rFonts w:ascii="Arial" w:cs="Arial" w:eastAsia="Arial" w:hAnsi="Arial"/>
                <w:sz w:val="18"/>
                <w:szCs w:val="18"/>
                <w:color w:val="auto"/>
              </w:rPr>
              <w:t>(9,870 )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328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(78,511 )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as of September 30, 2023</w:t>
            </w:r>
          </w:p>
        </w:tc>
        <w:tc>
          <w:tcPr>
            <w:tcW w:w="3280" w:type="dxa"/>
            <w:vAlign w:val="bottom"/>
            <w:tcBorders>
              <w:top w:val="single" w:sz="8" w:color="CFF0FC"/>
            </w:tcBorders>
          </w:tcPr>
          <w:p>
            <w:pPr>
              <w:spacing w:after="0"/>
              <w:rPr>
                <w:sz w:val="20"/>
                <w:szCs w:val="20"/>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965,728</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80" w:type="dxa"/>
            <w:vAlign w:val="bottom"/>
            <w:vMerge w:val="restart"/>
          </w:tcPr>
          <w:p>
            <w:pPr>
              <w:jc w:val="right"/>
              <w:ind w:right="1610"/>
              <w:spacing w:after="0"/>
              <w:rPr>
                <w:sz w:val="20"/>
                <w:szCs w:val="20"/>
                <w:color w:val="auto"/>
              </w:rPr>
            </w:pPr>
            <w:r>
              <w:rPr>
                <w:rFonts w:ascii="Arial" w:cs="Arial" w:eastAsia="Arial" w:hAnsi="Arial"/>
                <w:sz w:val="18"/>
                <w:szCs w:val="18"/>
                <w:color w:val="auto"/>
              </w:rPr>
              <w:t>8</w:t>
            </w: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-676275</wp:posOffset>
            </wp:positionV>
            <wp:extent cx="7683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ind w:left="380" w:right="140" w:hanging="372"/>
        <w:spacing w:after="0" w:line="293"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September 2023, the Company granted 12,000 RSUs, subject to performance-based requirements, to one non-executive employee at a grant date fair value of $20.39 per share. Such RSU grant shall not vest unless and until the Company has achieved certain revenue for a portion of its business prior to December 31, 2023, the achievement date deadline. No amortization of share-based compensation expense has been recognized for these RSUs, because, as of September 30, 2023, the Company determined that it is not probable that such performance criteria will be met. In addition to the 12,000 RSUs discussed above, the Company granted, during the nine months ended September 30, 2023, an aggregate of 24,000 RSUs to certain employees at grant date fair values ranging from $16.17 to $20.77 per share, with a vesting period ranging from three to four years.</w:t>
      </w:r>
    </w:p>
    <w:p>
      <w:pPr>
        <w:spacing w:after="0" w:line="123" w:lineRule="exact"/>
        <w:rPr>
          <w:rFonts w:ascii="Arial" w:cs="Arial" w:eastAsia="Arial" w:hAnsi="Arial"/>
          <w:sz w:val="16"/>
          <w:szCs w:val="16"/>
          <w:color w:val="auto"/>
        </w:rPr>
      </w:pPr>
    </w:p>
    <w:p>
      <w:pPr>
        <w:ind w:left="380" w:right="14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Withheld as treasury stock represents shares withheld to pay statutory taxes upon the vesting of RSUs. Refer to Note 7, "Common stock and treasury stock," for details.</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2023, unrecognized share-based compensation expense associated with the granted RSUs amounted to $11,402, which is expected to be recognized over a remaining weighted average period of 2.0 years.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was allocated to the following accounts in the condensed consolidated financial statements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20"/>
                <w:szCs w:val="20"/>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21"/>
                <w:szCs w:val="2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FF0FC"/>
          </w:tcPr>
          <w:p>
            <w:pPr>
              <w:spacing w:after="0"/>
              <w:rPr>
                <w:sz w:val="20"/>
                <w:szCs w:val="20"/>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Capitalized in intangible assets</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r>
      <w:tr>
        <w:trPr>
          <w:trHeight w:val="277"/>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leases its corporate headquarters of 21,020 rentable square feet in accordance with a non-cancellable 89-month operating lease agreement as amended and effective in January 2017, with an option to extend for an additional 60 months. On September 20, 2023, the Company entered into an amendment to the corporate headquarters lease agreement to exercise the extension option for an additional 60 months up to June 30, 2029 (the "Amended Lease"), with an option to further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2023 and 2022, a summary of the Company’s lease information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p>
      <w:pPr>
        <w:ind w:left="20"/>
        <w:spacing w:after="0"/>
        <w:rPr>
          <w:sz w:val="20"/>
          <w:szCs w:val="20"/>
          <w:color w:val="auto"/>
        </w:rPr>
      </w:pPr>
      <w:r>
        <w:rPr>
          <w:rFonts w:ascii="Arial" w:cs="Arial" w:eastAsia="Arial" w:hAnsi="Arial"/>
          <w:sz w:val="18"/>
          <w:szCs w:val="18"/>
          <w:color w:val="auto"/>
        </w:rPr>
        <w:t>Cash paid for operating leases</w:t>
      </w:r>
    </w:p>
    <w:p>
      <w:pPr>
        <w:spacing w:after="0" w:line="35" w:lineRule="exact"/>
        <w:rPr>
          <w:sz w:val="20"/>
          <w:szCs w:val="20"/>
          <w:color w:val="auto"/>
        </w:rPr>
      </w:pPr>
    </w:p>
    <w:p>
      <w:pPr>
        <w:ind w:left="120" w:right="1180" w:hanging="89"/>
        <w:spacing w:after="0" w:line="215" w:lineRule="auto"/>
        <w:rPr>
          <w:sz w:val="20"/>
          <w:szCs w:val="20"/>
          <w:color w:val="auto"/>
        </w:rPr>
      </w:pPr>
      <w:r>
        <w:rPr>
          <w:rFonts w:ascii="Arial" w:cs="Arial" w:eastAsia="Arial" w:hAnsi="Arial"/>
          <w:sz w:val="18"/>
          <w:szCs w:val="18"/>
          <w:color w:val="auto"/>
        </w:rPr>
        <w:t>Right-of-use assets obtained in exchange for operating lease liabilities</w:t>
      </w:r>
      <w:r>
        <w:rPr>
          <w:rFonts w:ascii="Arial" w:cs="Arial" w:eastAsia="Arial" w:hAnsi="Arial"/>
          <w:sz w:val="24"/>
          <w:szCs w:val="24"/>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discount rate for operating leases</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573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35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1,919</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1,919</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10 %</w:t>
            </w:r>
          </w:p>
        </w:tc>
        <w:tc>
          <w:tcPr>
            <w:tcW w:w="5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10 %</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-436245</wp:posOffset>
            </wp:positionV>
            <wp:extent cx="71323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341" w:right="339" w:bottom="1440" w:gutter="0" w:footer="0" w:header="0"/>
          <w:type w:val="continuous"/>
        </w:sectPr>
      </w:pPr>
    </w:p>
    <w:p>
      <w:pPr>
        <w:spacing w:after="0" w:line="15" w:lineRule="exact"/>
        <w:rPr>
          <w:sz w:val="20"/>
          <w:szCs w:val="20"/>
          <w:color w:val="auto"/>
        </w:rPr>
      </w:pPr>
    </w:p>
    <w:p>
      <w:pPr>
        <w:ind w:left="380" w:right="104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Amended Lease resulted in an addition of $1,919 to right-of-use assets and operating lease liabilities, as of September 20, 2023 (the "Remeasurement Date").</w:t>
      </w:r>
    </w:p>
    <w:p>
      <w:pPr>
        <w:spacing w:after="0" w:line="170" w:lineRule="exact"/>
        <w:rPr>
          <w:rFonts w:ascii="Arial" w:cs="Arial" w:eastAsia="Arial" w:hAnsi="Arial"/>
          <w:sz w:val="18"/>
          <w:szCs w:val="18"/>
          <w:color w:val="auto"/>
        </w:rPr>
      </w:pPr>
    </w:p>
    <w:p>
      <w:pPr>
        <w:ind w:left="380" w:right="100" w:hanging="372"/>
        <w:spacing w:after="0" w:line="263"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used 10.0%, its estimated incremental borrowing rate for similar secured assets, as the discount rate for the Amended Lease to determine the present value of the lease payments because the implicit rate in each lease is not readily determinable. The discount rate was calculated on the basis of information available as of the Remeasurement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weighted average remaining operating lease term was 5.1 years.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As of September 30, 2023, scheduled future maturities and present value of the operating lease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September 30,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maturities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Present value included in condensed consolidated balance sheet: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9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520" w:type="dxa"/>
            <w:vAlign w:val="bottom"/>
          </w:tcPr>
          <w:p>
            <w:pPr>
              <w:ind w:left="20"/>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incurred data costs of $2,367 and $2,332 for the three months ended September 30, 2023 and 2022, respectively, and $7,086 and $6,832 for the nine months ended September 30, 2023 and 2022, respectively, under certain data licensing agreements. As of September 30, 2023, material capital commitments under certain data licensing agreements were $22,141, shown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September 30, 2023</w:t>
            </w:r>
          </w:p>
        </w:tc>
        <w:tc>
          <w:tcPr>
            <w:tcW w:w="100" w:type="dxa"/>
            <w:vAlign w:val="bottom"/>
          </w:tcPr>
          <w:p>
            <w:pPr>
              <w:spacing w:after="0"/>
              <w:rPr>
                <w:sz w:val="16"/>
                <w:szCs w:val="16"/>
                <w:color w:val="auto"/>
              </w:rPr>
            </w:pPr>
          </w:p>
        </w:tc>
      </w:tr>
      <w:tr>
        <w:trPr>
          <w:trHeight w:val="236"/>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FF0FC"/>
          </w:tcPr>
          <w:p>
            <w:pPr>
              <w:spacing w:after="0"/>
              <w:rPr>
                <w:sz w:val="20"/>
                <w:szCs w:val="20"/>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0"/>
                <w:szCs w:val="20"/>
                <w:color w:val="auto"/>
              </w:rPr>
            </w:pPr>
          </w:p>
        </w:tc>
      </w:tr>
      <w:tr>
        <w:trPr>
          <w:trHeight w:val="249"/>
        </w:trPr>
        <w:tc>
          <w:tcPr>
            <w:tcW w:w="9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7,702</w:t>
            </w:r>
          </w:p>
        </w:tc>
        <w:tc>
          <w:tcPr>
            <w:tcW w:w="100" w:type="dxa"/>
            <w:vAlign w:val="bottom"/>
            <w:shd w:val="clear" w:color="auto" w:fill="CFF0FC"/>
          </w:tcPr>
          <w:p>
            <w:pPr>
              <w:spacing w:after="0"/>
              <w:rPr>
                <w:sz w:val="21"/>
                <w:szCs w:val="21"/>
                <w:color w:val="auto"/>
              </w:rPr>
            </w:pP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0"/>
                <w:szCs w:val="20"/>
                <w:color w:val="auto"/>
              </w:rPr>
            </w:pPr>
          </w:p>
        </w:tc>
      </w:tr>
      <w:tr>
        <w:trPr>
          <w:trHeight w:val="276"/>
        </w:trPr>
        <w:tc>
          <w:tcPr>
            <w:tcW w:w="9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3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2022 filed on March 8, 2023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5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i w:val="1"/>
          <w:iCs w:val="1"/>
          <w:color w:val="auto"/>
        </w:rPr>
        <w:t>References in this discussion and analysis to “we,” “us,” “our,” “red violet,” or the “Company,” refer to Red Violet, Inc. and its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21"/>
          <w:szCs w:val="21"/>
          <w:color w:val="auto"/>
          <w:vertAlign w:val="superscript"/>
        </w:rPr>
        <w:t>TM</w:t>
      </w:r>
      <w:r>
        <w:rPr>
          <w:rFonts w:ascii="Arial" w:cs="Arial" w:eastAsia="Arial" w:hAnsi="Arial"/>
          <w:sz w:val="16"/>
          <w:szCs w:val="16"/>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5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FOREWARN</w:t>
      </w:r>
      <w:r>
        <w:rPr>
          <w:rFonts w:ascii="Arial" w:cs="Arial" w:eastAsia="Arial" w:hAnsi="Arial"/>
          <w:sz w:val="23"/>
          <w:szCs w:val="23"/>
          <w:color w:val="auto"/>
          <w:vertAlign w:val="superscript"/>
        </w:rPr>
        <w:t>®</w:t>
      </w:r>
      <w:r>
        <w:rPr>
          <w:rFonts w:ascii="Arial" w:cs="Arial" w:eastAsia="Arial" w:hAnsi="Arial"/>
          <w:sz w:val="17"/>
          <w:szCs w:val="17"/>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2023 and 2022, IDI had 7,769 and 6,873 billable customers and FOREWARN had 168,356 and 110,051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 w:name="page14"/>
    <w:bookmarkEnd w:id="13"/>
    <w:p>
      <w:pPr>
        <w:ind w:right="220"/>
        <w:spacing w:after="0" w:line="291" w:lineRule="auto"/>
        <w:rPr>
          <w:sz w:val="20"/>
          <w:szCs w:val="20"/>
          <w:color w:val="auto"/>
        </w:rPr>
      </w:pPr>
      <w:r>
        <w:rPr>
          <w:rFonts w:ascii="Arial" w:cs="Arial" w:eastAsia="Arial" w:hAnsi="Arial"/>
          <w:sz w:val="16"/>
          <w:szCs w:val="16"/>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September 30, 2023 and 2022, 79% and 68% of total revenue was attributable to customers with pricing contracts, respectively, versus 21% and 32% attributable to transactional customers, respectively. For the nine months ended September 30, 2023 and 2022, 78% and 74% of total revenue was attributable to customers with pricing contracts, respectively, versus 22% and 26% attributable to transactional customers, respectively.</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additional information, please refer to our Form 10-K. There have been no material changes to Critical Accounting Policies and Estimates disclosed in our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2023, as compared to the three months ended September 30, 2022:</w:t>
      </w:r>
    </w:p>
    <w:p>
      <w:pPr>
        <w:spacing w:after="0" w:line="11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revenue increased 5% to $15.8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increased 1% to $10.4 million. Gross margin decreased to 66% from 69%.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gross profit increased 5% to $12.5 million. Adjusted gross margin decreased to 79% from 80%.</w:t>
      </w:r>
    </w:p>
    <w:p>
      <w:pPr>
        <w:spacing w:after="0" w:line="117" w:lineRule="exact"/>
        <w:rPr>
          <w:rFonts w:ascii="Arial" w:cs="Arial" w:eastAsia="Arial" w:hAnsi="Arial"/>
          <w:sz w:val="18"/>
          <w:szCs w:val="18"/>
          <w:color w:val="auto"/>
        </w:rPr>
      </w:pPr>
    </w:p>
    <w:p>
      <w:pPr>
        <w:ind w:left="380" w:right="38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increased 453% to $12.5 million, which resulted in earnings of $0.90 and $0.87 per basic and diluted share, respectively. Net income margin increased to 79% from 15%.</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increased 3% to $5.4 million. Adjusted EBITDA margin decreased to 34% from 35%.</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cash provided by operating activities increased 84% to $5.8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were $34.2 million as of September 30, 2023.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12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Added 272 customers to IDI during the third quarter, ending the quarter with 7,769 customers.</w:t>
      </w:r>
    </w:p>
    <w:p>
      <w:pPr>
        <w:spacing w:after="0" w:line="121" w:lineRule="exact"/>
        <w:rPr>
          <w:rFonts w:ascii="Arial" w:cs="Arial" w:eastAsia="Arial" w:hAnsi="Arial"/>
          <w:sz w:val="18"/>
          <w:szCs w:val="18"/>
          <w:color w:val="auto"/>
        </w:rPr>
      </w:pPr>
    </w:p>
    <w:p>
      <w:pPr>
        <w:ind w:left="380" w:right="240" w:hanging="372"/>
        <w:spacing w:after="0" w:line="232"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Added 21,819 users to FOREWARN during the third quarter, ending the quarter with 168,356 users. Over 330 REALTOR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Associations throughout the U.S. are now contracted to use FOREWARN.</w:t>
      </w:r>
    </w:p>
    <w:p>
      <w:pPr>
        <w:spacing w:after="0" w:line="100" w:lineRule="exact"/>
        <w:rPr>
          <w:rFonts w:ascii="Arial" w:cs="Arial" w:eastAsia="Arial" w:hAnsi="Arial"/>
          <w:sz w:val="18"/>
          <w:szCs w:val="18"/>
          <w:color w:val="auto"/>
        </w:rPr>
      </w:pPr>
    </w:p>
    <w:p>
      <w:pPr>
        <w:ind w:left="380" w:right="180" w:hanging="372"/>
        <w:spacing w:after="0" w:line="232"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Announced agreement with Florida Realtors</w:t>
      </w:r>
      <w:r>
        <w:rPr>
          <w:rFonts w:ascii="Arial" w:cs="Arial" w:eastAsia="Arial" w:hAnsi="Arial"/>
          <w:sz w:val="24"/>
          <w:szCs w:val="24"/>
          <w:color w:val="auto"/>
          <w:vertAlign w:val="superscript"/>
        </w:rPr>
        <w:t>®</w:t>
      </w:r>
      <w:r>
        <w:rPr>
          <w:rFonts w:ascii="Arial" w:cs="Arial" w:eastAsia="Arial" w:hAnsi="Arial"/>
          <w:sz w:val="18"/>
          <w:szCs w:val="18"/>
          <w:color w:val="auto"/>
        </w:rPr>
        <w:t>, the largest state REALTOR Association in the United States, to purchase FOREWARN services for its 238,000 members beginning January 2024.</w:t>
      </w:r>
    </w:p>
    <w:p>
      <w:pPr>
        <w:spacing w:after="0" w:line="95" w:lineRule="exact"/>
        <w:rPr>
          <w:rFonts w:ascii="Arial" w:cs="Arial" w:eastAsia="Arial" w:hAnsi="Arial"/>
          <w:sz w:val="18"/>
          <w:szCs w:val="18"/>
          <w:color w:val="auto"/>
        </w:rPr>
      </w:pPr>
    </w:p>
    <w:p>
      <w:pPr>
        <w:ind w:left="380" w:right="580" w:hanging="372"/>
        <w:spacing w:after="0" w:line="26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our cumulative taxable income for the recent years, projections of future taxable income, and the reversal of taxable temporary differences, the Company released its valuation allowance recorded against its deferred tax assets under ASC 740, resulting in a one-time $10.4 million tax benefit realized in the third quarter.</w:t>
      </w:r>
    </w:p>
    <w:p>
      <w:pPr>
        <w:spacing w:after="0" w:line="75" w:lineRule="exact"/>
        <w:rPr>
          <w:rFonts w:ascii="Arial" w:cs="Arial" w:eastAsia="Arial" w:hAnsi="Arial"/>
          <w:sz w:val="18"/>
          <w:szCs w:val="18"/>
          <w:color w:val="auto"/>
        </w:rPr>
      </w:pPr>
    </w:p>
    <w:p>
      <w:pPr>
        <w:ind w:left="380" w:right="120" w:hanging="372"/>
        <w:spacing w:after="0" w:line="26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Purchased 97,181 shares of the Company’s common stock year to date through November 3, 2023, at an average price of $18.29 per share pursuant to the Company’s $5.0 million Stock Repurchase Program that was authorized on May 2, 2022. The Company has $2.3 million remaining under the Stock Repurchase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income, the most directly comparable financial measure based on US GAAP, excluding interest income, net, income tax (benefit) expense,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income, the most directly comparable US GAAP financial measure, to adjusted EBITDA: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(346 )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(125 )</w:t>
            </w: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(947 )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(10,384 )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(10,253 )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Litigation costs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Write-off of long-lived assets and others</w:t>
            </w: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13,705</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22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79 %</w:t>
            </w:r>
          </w:p>
        </w:tc>
        <w:tc>
          <w:tcPr>
            <w:tcW w:w="30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24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32 %</w:t>
            </w:r>
          </w:p>
        </w:tc>
        <w:tc>
          <w:tcPr>
            <w:tcW w:w="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color w:val="auto"/>
                <w:highlight w:val="white"/>
              </w:rPr>
              <w:t>%</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color w:val="auto"/>
                <w:highlight w:val="white"/>
              </w:rPr>
              <w:t>%</w:t>
            </w:r>
          </w:p>
        </w:tc>
        <w:tc>
          <w:tcPr>
            <w:tcW w:w="2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18"/>
                <w:szCs w:val="18"/>
                <w:color w:val="auto"/>
                <w:highlight w:val="white"/>
              </w:rPr>
              <w:t>%</w:t>
            </w:r>
          </w:p>
        </w:tc>
        <w:tc>
          <w:tcPr>
            <w:tcW w:w="3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-856615</wp:posOffset>
            </wp:positionV>
            <wp:extent cx="7683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-856615</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-856615</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US GAAP financial measure, to adjusted gross profit:</w:t>
      </w:r>
    </w:p>
    <w:p>
      <w:pPr>
        <w:sectPr>
          <w:pgSz w:w="11900" w:h="16838" w:orient="portrait"/>
          <w:cols w:equalWidth="0" w:num="1">
            <w:col w:w="11300"/>
          </w:cols>
          <w:pgMar w:left="320" w:top="553" w:right="27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36" w:lineRule="exact"/>
        <w:rPr>
          <w:sz w:val="20"/>
          <w:szCs w:val="20"/>
          <w:color w:val="auto"/>
        </w:rPr>
      </w:pPr>
    </w:p>
    <w:p>
      <w:pPr>
        <w:ind w:left="120" w:right="980" w:hanging="89"/>
        <w:spacing w:after="0" w:line="273" w:lineRule="auto"/>
        <w:rPr>
          <w:sz w:val="20"/>
          <w:szCs w:val="20"/>
          <w:color w:val="auto"/>
        </w:rPr>
      </w:pPr>
      <w:r>
        <w:rPr>
          <w:rFonts w:ascii="Arial" w:cs="Arial" w:eastAsia="Arial" w:hAnsi="Arial"/>
          <w:sz w:val="18"/>
          <w:szCs w:val="18"/>
          <w:color w:val="auto"/>
        </w:rPr>
        <w:t>Cost of revenue (exclusive of depreciation and amortization)</w:t>
      </w:r>
    </w:p>
    <w:p>
      <w:pPr>
        <w:spacing w:after="0" w:line="2" w:lineRule="exact"/>
        <w:rPr>
          <w:sz w:val="20"/>
          <w:szCs w:val="20"/>
          <w:color w:val="auto"/>
        </w:rPr>
      </w:pPr>
    </w:p>
    <w:p>
      <w:pPr>
        <w:ind w:left="20" w:right="720"/>
        <w:spacing w:after="0" w:line="289" w:lineRule="auto"/>
        <w:rPr>
          <w:sz w:val="20"/>
          <w:szCs w:val="20"/>
          <w:color w:val="auto"/>
        </w:rPr>
      </w:pPr>
      <w:r>
        <w:rPr>
          <w:rFonts w:ascii="Arial" w:cs="Arial" w:eastAsia="Arial" w:hAnsi="Arial"/>
          <w:sz w:val="18"/>
          <w:szCs w:val="18"/>
          <w:color w:val="auto"/>
        </w:rPr>
        <w:t xml:space="preserve">Depreciation and amortization of intangible assets </w:t>
      </w:r>
      <w:r>
        <w:rPr>
          <w:rFonts w:ascii="Arial" w:cs="Arial" w:eastAsia="Arial" w:hAnsi="Arial"/>
          <w:sz w:val="18"/>
          <w:szCs w:val="18"/>
          <w:b w:val="1"/>
          <w:bCs w:val="1"/>
          <w:color w:val="auto"/>
        </w:rPr>
        <w:t>Gross profit</w:t>
      </w:r>
    </w:p>
    <w:p>
      <w:pPr>
        <w:spacing w:after="0" w:line="1" w:lineRule="exact"/>
        <w:rPr>
          <w:sz w:val="20"/>
          <w:szCs w:val="20"/>
          <w:color w:val="auto"/>
        </w:rPr>
      </w:pPr>
    </w:p>
    <w:p>
      <w:pPr>
        <w:ind w:left="20" w:right="720"/>
        <w:spacing w:after="0" w:line="355" w:lineRule="auto"/>
        <w:rPr>
          <w:sz w:val="20"/>
          <w:szCs w:val="20"/>
          <w:color w:val="auto"/>
        </w:rPr>
      </w:pPr>
      <w:r>
        <w:rPr>
          <w:rFonts w:ascii="Arial" w:cs="Arial" w:eastAsia="Arial" w:hAnsi="Arial"/>
          <w:sz w:val="18"/>
          <w:szCs w:val="18"/>
          <w:color w:val="auto"/>
        </w:rPr>
        <w:t xml:space="preserve">Depreciation and amortization of intangible assets </w:t>
      </w:r>
      <w:r>
        <w:rPr>
          <w:rFonts w:ascii="Arial" w:cs="Arial" w:eastAsia="Arial" w:hAnsi="Arial"/>
          <w:sz w:val="18"/>
          <w:szCs w:val="18"/>
          <w:b w:val="1"/>
          <w:bCs w:val="1"/>
          <w:color w:val="auto"/>
        </w:rPr>
        <w:t>Adjusted gross profit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Gross margin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gross margin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292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282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r>
      <w:tr>
        <w:trPr>
          <w:trHeight w:val="224"/>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15,837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15,026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45,143</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40,249</w:t>
            </w:r>
          </w:p>
        </w:tc>
        <w:tc>
          <w:tcPr>
            <w:tcW w:w="160" w:type="dxa"/>
            <w:vAlign w:val="bottom"/>
          </w:tcPr>
          <w:p>
            <w:pPr>
              <w:spacing w:after="0"/>
              <w:rPr>
                <w:sz w:val="19"/>
                <w:szCs w:val="19"/>
                <w:color w:val="auto"/>
              </w:rPr>
            </w:pPr>
          </w:p>
        </w:tc>
      </w:tr>
      <w:tr>
        <w:trPr>
          <w:trHeight w:val="458"/>
        </w:trPr>
        <w:tc>
          <w:tcPr>
            <w:tcW w:w="240" w:type="dxa"/>
            <w:vAlign w:val="bottom"/>
          </w:tcPr>
          <w:p>
            <w:pPr>
              <w:spacing w:after="0"/>
              <w:rPr>
                <w:sz w:val="24"/>
                <w:szCs w:val="24"/>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(3,313 )</w:t>
            </w:r>
          </w:p>
        </w:tc>
        <w:tc>
          <w:tcPr>
            <w:tcW w:w="320" w:type="dxa"/>
            <w:vAlign w:val="bottom"/>
          </w:tcPr>
          <w:p>
            <w:pPr>
              <w:spacing w:after="0"/>
              <w:rPr>
                <w:sz w:val="24"/>
                <w:szCs w:val="24"/>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(3,067 )</w:t>
            </w:r>
          </w:p>
        </w:tc>
        <w:tc>
          <w:tcPr>
            <w:tcW w:w="240" w:type="dxa"/>
            <w:vAlign w:val="bottom"/>
          </w:tcPr>
          <w:p>
            <w:pPr>
              <w:spacing w:after="0"/>
              <w:rPr>
                <w:sz w:val="24"/>
                <w:szCs w:val="24"/>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(9,732 )</w:t>
            </w:r>
          </w:p>
        </w:tc>
        <w:tc>
          <w:tcPr>
            <w:tcW w:w="320" w:type="dxa"/>
            <w:vAlign w:val="bottom"/>
          </w:tcPr>
          <w:p>
            <w:pPr>
              <w:spacing w:after="0"/>
              <w:rPr>
                <w:sz w:val="24"/>
                <w:szCs w:val="24"/>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(9,157 )</w:t>
            </w:r>
          </w:p>
        </w:tc>
      </w:tr>
      <w:tr>
        <w:trPr>
          <w:trHeight w:val="250"/>
        </w:trPr>
        <w:tc>
          <w:tcPr>
            <w:tcW w:w="240" w:type="dxa"/>
            <w:vAlign w:val="bottom"/>
          </w:tcPr>
          <w:p>
            <w:pPr>
              <w:spacing w:after="0"/>
              <w:rPr>
                <w:sz w:val="21"/>
                <w:szCs w:val="21"/>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(2,112 )</w:t>
            </w:r>
          </w:p>
        </w:tc>
        <w:tc>
          <w:tcPr>
            <w:tcW w:w="320" w:type="dxa"/>
            <w:vAlign w:val="bottom"/>
          </w:tcPr>
          <w:p>
            <w:pPr>
              <w:spacing w:after="0"/>
              <w:rPr>
                <w:sz w:val="21"/>
                <w:szCs w:val="21"/>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(1,659 )</w:t>
            </w:r>
          </w:p>
        </w:tc>
        <w:tc>
          <w:tcPr>
            <w:tcW w:w="240" w:type="dxa"/>
            <w:vAlign w:val="bottom"/>
          </w:tcPr>
          <w:p>
            <w:pPr>
              <w:spacing w:after="0"/>
              <w:rPr>
                <w:sz w:val="21"/>
                <w:szCs w:val="21"/>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(5,965 )</w:t>
            </w:r>
          </w:p>
        </w:tc>
        <w:tc>
          <w:tcPr>
            <w:tcW w:w="32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(4,682 )</w:t>
            </w:r>
          </w:p>
        </w:tc>
      </w:tr>
      <w:tr>
        <w:trPr>
          <w:trHeight w:val="230"/>
        </w:trPr>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29,446</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26,410</w:t>
            </w:r>
          </w:p>
        </w:tc>
        <w:tc>
          <w:tcPr>
            <w:tcW w:w="160" w:type="dxa"/>
            <w:vAlign w:val="bottom"/>
          </w:tcPr>
          <w:p>
            <w:pPr>
              <w:spacing w:after="0"/>
              <w:rPr>
                <w:sz w:val="20"/>
                <w:szCs w:val="20"/>
                <w:color w:val="auto"/>
              </w:rPr>
            </w:pPr>
          </w:p>
        </w:tc>
      </w:tr>
      <w:tr>
        <w:trPr>
          <w:trHeight w:val="249"/>
        </w:trPr>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60" w:type="dxa"/>
            <w:vAlign w:val="bottom"/>
          </w:tcPr>
          <w:p>
            <w:pPr>
              <w:spacing w:after="0"/>
              <w:rPr>
                <w:sz w:val="21"/>
                <w:szCs w:val="21"/>
                <w:color w:val="auto"/>
              </w:rPr>
            </w:pPr>
          </w:p>
        </w:tc>
      </w:tr>
      <w:tr>
        <w:trPr>
          <w:trHeight w:val="237"/>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35,411</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31,092</w:t>
            </w:r>
          </w:p>
        </w:tc>
        <w:tc>
          <w:tcPr>
            <w:tcW w:w="160" w:type="dxa"/>
            <w:vAlign w:val="bottom"/>
          </w:tcPr>
          <w:p>
            <w:pPr>
              <w:spacing w:after="0"/>
              <w:rPr>
                <w:sz w:val="20"/>
                <w:szCs w:val="2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2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3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2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-1619250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-1173480</wp:posOffset>
            </wp:positionV>
            <wp:extent cx="7132320" cy="8140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1407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-179705</wp:posOffset>
            </wp:positionV>
            <wp:extent cx="713232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220"/>
          </w:cols>
          <w:pgMar w:left="320" w:top="553" w:right="279" w:bottom="1440" w:gutter="0" w:footer="0" w:header="0"/>
          <w:type w:val="continuous"/>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color w:val="auto"/>
        </w:rPr>
        <w:t>The following is a reconciliation of net cash provided by operating activities, the most directly comparable US GAAP financial measure, to FCF:</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6"/>
                <w:szCs w:val="16"/>
                <w:color w:val="auto"/>
              </w:rPr>
            </w:pPr>
          </w:p>
        </w:tc>
        <w:tc>
          <w:tcPr>
            <w:tcW w:w="27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10,867</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FF0FC"/>
          </w:tcPr>
          <w:p>
            <w:pPr>
              <w:spacing w:after="0"/>
              <w:rPr>
                <w:sz w:val="20"/>
                <w:szCs w:val="20"/>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(47 )</w:t>
            </w: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(50 )</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(271 )</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Capitalized costs included in intangible assets</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(2,412 )</w:t>
            </w:r>
          </w:p>
        </w:tc>
        <w:tc>
          <w:tcPr>
            <w:tcW w:w="3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(2,246 )</w:t>
            </w:r>
          </w:p>
        </w:tc>
        <w:tc>
          <w:tcPr>
            <w:tcW w:w="2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(6,921 )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(6,139 )</w:t>
            </w:r>
          </w:p>
        </w:tc>
      </w:tr>
      <w:tr>
        <w:trPr>
          <w:trHeight w:val="278"/>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3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compared to three months ended September 30, 2022</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$0.8 million or 5% to $15.8 million for the three months ended September 30, 2023 from $15.0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2022. Base revenue from existing customers increased $1.6 million or 15%. Revenue from new customers decreased $0.7 million or 81%, primarily the result of a large new customer win that contributed $1.0 million in one-time transactional revenue during the three months ended September 30, 2022, partially offset by additional revenue from new customers during the three months ended September 30, 2023. Growth revenue from existing customers decreased $0.1 million or 6%, primarily the result of $0.8 million in one-time transactional revenue recognized during the three months ended September 30, 2022, partially offset by additional growth revenue from existing customers during the three months ended September 30, 2023. Our IDI billable customer base grew from 6,873 customers as of September 30, 2022 to 7,769 customers as of September 30, 2023, and our FOREWARN user base grew from 110,051 users to 168,356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Cost of revenue (exclusive of depreciation and amortization)</w:t>
      </w:r>
      <w:r>
        <w:rPr>
          <w:rFonts w:ascii="Arial" w:cs="Arial" w:eastAsia="Arial" w:hAnsi="Arial"/>
          <w:sz w:val="16"/>
          <w:szCs w:val="16"/>
          <w:color w:val="auto"/>
        </w:rPr>
        <w:t>. Cost of revenue increased $0.2 million or 8% to $3.3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from $3.1 million for the three months ended September 30, 2022.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47% and 48% of our total data acquisition costs for the three months ended September 30, 2023 and 2022, respectively. Other cost of revenue items include expenses related to third-party infrastructure fees and pertinent personnel costs.</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increased to 21% for the three months ended September 30, 2023 from 20% for the three months ended September 30, 2022.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Sales and marketing expenses</w:t>
      </w:r>
      <w:r>
        <w:rPr>
          <w:rFonts w:ascii="Arial" w:cs="Arial" w:eastAsia="Arial" w:hAnsi="Arial"/>
          <w:sz w:val="16"/>
          <w:szCs w:val="16"/>
          <w:color w:val="auto"/>
        </w:rPr>
        <w:t>. Sales and marketing expenses increased $0.8 million or 28% to $3.4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from $2.6 million for the three months ended September 30, 2022. Sales and marketing expenses consist of salaries and benefits, advertising and marketing, travel expenses, and share-based compensation expense, incurred by our sales team, and provision for bad debts. The increase during the three months ended September 30, 2023 was primarily attributable to the increase of $0.6 million in salaries and benefits, and sales commission.</w:t>
      </w:r>
    </w:p>
    <w:p>
      <w:pPr>
        <w:spacing w:after="0" w:line="117"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color w:val="auto"/>
        </w:rPr>
        <w:t>. General and administrative expenses decreased $0.3 million or 4% to $5.2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from $5.5 million for the three months ended September 30, 2022. For the three months ended September 30, 2023 and 2022, our general and administrative expenses consisted primarily of employee salaries and benefits of $2.4 million and $2.7 million, respectively, share-based compensation expense of $1.3 million and $1.2 million, respectively, and professional fees of $0.9 million and $1.0 million, respectively.</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$0.5 million or 27% to $2.2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from $1.7 million for the three months ended September 30, 2022. The increase in depreciation and amortization for the three months ended September 30, 2023 resulted primarily from the amortization of software developed for internal use that became ready for its intended use after September 30, 2022.</w:t>
      </w:r>
    </w:p>
    <w:p>
      <w:pPr>
        <w:spacing w:after="0" w:line="14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Interest income, net</w:t>
      </w:r>
      <w:r>
        <w:rPr>
          <w:rFonts w:ascii="Arial" w:cs="Arial" w:eastAsia="Arial" w:hAnsi="Arial"/>
          <w:sz w:val="16"/>
          <w:szCs w:val="16"/>
          <w:color w:val="auto"/>
        </w:rPr>
        <w:t>. Interest income increased $0.2 million or 177% to $0.3 million for the three months ended September 30, 2023 from $0.1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2022. This was primarily due to interest income earned on investments in certain money market funds.</w:t>
      </w:r>
    </w:p>
    <w:p>
      <w:pPr>
        <w:spacing w:after="0" w:line="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Income before income taxes</w:t>
      </w:r>
      <w:r>
        <w:rPr>
          <w:rFonts w:ascii="Arial" w:cs="Arial" w:eastAsia="Arial" w:hAnsi="Arial"/>
          <w:sz w:val="17"/>
          <w:szCs w:val="17"/>
          <w:color w:val="auto"/>
        </w:rPr>
        <w:t>. Income before income taxes decreased $0.2 million or 8% to $2.1 million for the three months ended September 30,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$2.3 million for the three months ended September 30, 2022. The change was primarily attributable to the increase in cost of revenue (exclusive of depreciation and amortization) of $0.2 million, sales commission of $0.3 million, share-based compensation expense of $0.1 million, and depreciation and amortization of $0.5 million, which was partially offset by the increase in revenue and interest income.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 benefit of $10.4 million was recognized for the three months ended September 30, 2023 compared to income tax expense of</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$0.03 million for the three months ended September 30, 2022. A valuation allowance on the deferred tax assets was recognized as of September 30, 2022 to reduce the deferred tax assets to the amount that is more likely than not to be realized. During the three months ended September 30, 2023, the Company released the valuation allowance as the Company concluded that the realization of the deferred tax assets as of September 30, 2023 is more likely than not. See Note 6, “Income taxes,” included in “Notes to Condensed Consolidated Financial Statements.”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$12.5 million for the three months ended September 30, 2023 compared to $2.3 million for the three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2022, as a result of the foregoing.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to nine months ended September 30, 2022</w:t>
      </w:r>
    </w:p>
    <w:p>
      <w:pPr>
        <w:spacing w:after="0" w:line="18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$4.9 million or 12% to $45.1 million for the nine months ended September 30, 2023 from $40.2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2022. Revenue from new customers increased $0.5 million or 14%, and base revenue from existing customers increased $4.5 million or 15%, while growth revenue from existing customers decreased $0.1 million or 3%. Our IDI billable customer base grew from 6,873 customers as of September 30, 2022 to 7,769 customers as of September 30, 2023, and our FOREWARN user base grew from 110,051 users to 168,356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3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Cost of revenue (exclusive of depreciation and amortization)</w:t>
      </w:r>
      <w:r>
        <w:rPr>
          <w:rFonts w:ascii="Arial" w:cs="Arial" w:eastAsia="Arial" w:hAnsi="Arial"/>
          <w:sz w:val="16"/>
          <w:szCs w:val="16"/>
          <w:color w:val="auto"/>
        </w:rPr>
        <w:t>. Cost of revenue increased $0.5 million or 6% to $9.7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from $9.2 million for the nine months ended September 30, 2022.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48% of our total data acquisition costs for the nine months ended September 30, 2023 and 2022. Other cost of revenue items include expenses related to third-party infrastructure fees and pertinent personnel costs.</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22% for the nine months ended September 30, 2023 from 23% for the nine months ended September 30, 2022.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$2.5 million or 32% to $10.3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from $7.8 million for the nine months ended September 30, 2022. Sales and marketing expenses consist of salaries and benefits, advertising and marketing, travel expenses, and share-based compensation expense, incurred by our sales team, and provision for bad debts. The increase during the nine months ended September 30, 2023 was primarily attributable to the increase of $1.3 million in salaries and benefits, and sales commissions, and $0.8 million in provision for bad debts.</w:t>
      </w:r>
    </w:p>
    <w:p>
      <w:pPr>
        <w:spacing w:after="0" w:line="161" w:lineRule="exact"/>
        <w:rPr>
          <w:sz w:val="20"/>
          <w:szCs w:val="20"/>
          <w:color w:val="auto"/>
        </w:rPr>
      </w:pPr>
    </w:p>
    <w:p>
      <w:pPr>
        <w:jc w:val="both"/>
        <w:ind w:right="420"/>
        <w:spacing w:after="0" w:line="301"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color w:val="auto"/>
        </w:rPr>
        <w:t>. General and administrative expenses decreased $0.6 million or 4% to $15.5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from $16.1 million for the nine months ended September 30, 2022. For the nine months ended September 30, 2023 and 2022, our general and administrative expenses consisted primarily of employee salaries and benefits of $7.7 million and $7.7 million, respectively, share-based compensation expense of $3.7 million and $3.8 million, respectively, and professional fees of $2.3 million and $2.8 million, respectively.</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$1.2 million or 26% to $6.1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from $4.9 million for the nine months ended September 30, 2022. The increase in depreciation and amortization for the nine months ended September 30, 2023 resulted primarily from the amortization of software developed for internal use that became ready for its intended use after September 30, 2022.</w:t>
      </w:r>
    </w:p>
    <w:p>
      <w:pPr>
        <w:spacing w:after="0" w:line="14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Interest income, net</w:t>
      </w:r>
      <w:r>
        <w:rPr>
          <w:rFonts w:ascii="Arial" w:cs="Arial" w:eastAsia="Arial" w:hAnsi="Arial"/>
          <w:sz w:val="16"/>
          <w:szCs w:val="16"/>
          <w:color w:val="auto"/>
        </w:rPr>
        <w:t>. Interest income increased $0.8 million or 652% to $0.9 million for the nine months ended September 30, 2023 from $0.1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2023. This was primarily due to interest income earned on investments in certain money market funds.</w:t>
      </w:r>
    </w:p>
    <w:p>
      <w:pPr>
        <w:spacing w:after="0" w:line="9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Income before income taxes</w:t>
      </w:r>
      <w:r>
        <w:rPr>
          <w:rFonts w:ascii="Arial" w:cs="Arial" w:eastAsia="Arial" w:hAnsi="Arial"/>
          <w:sz w:val="18"/>
          <w:szCs w:val="18"/>
          <w:color w:val="auto"/>
        </w:rPr>
        <w:t>. Income before income taxes increased $1.9 million or 81% to $4.3 million for the nine months ended September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$2.4 million for the nine months ended September 30, 2022. The increase in income before income taxes for the nine months ended September 30, 2023 was primarily attributable to the increase in revenue, decrease in our cost of revenue as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ind w:right="100"/>
        <w:spacing w:after="0" w:line="277" w:lineRule="auto"/>
        <w:rPr>
          <w:sz w:val="20"/>
          <w:szCs w:val="20"/>
          <w:color w:val="auto"/>
        </w:rPr>
      </w:pPr>
      <w:r>
        <w:rPr>
          <w:rFonts w:ascii="Arial" w:cs="Arial" w:eastAsia="Arial" w:hAnsi="Arial"/>
          <w:sz w:val="18"/>
          <w:szCs w:val="18"/>
          <w:color w:val="auto"/>
        </w:rPr>
        <w:t>percentage of revenue, and increase in interest income, which was partially offset by the increase in employee salaries and benefits and sales commissions of $1.3 million, provision for bad debts of $0.8 million, and depreciation and amortization of $1.2 million.</w:t>
      </w:r>
    </w:p>
    <w:p>
      <w:pPr>
        <w:spacing w:after="0" w:line="14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 benefit of $10.3 million was recognized for the nine months ended September 30, 2023 compared to income tax expense of $0.3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September 30, 2022. A valuation allowance on the deferred tax assets was recognized as of September 30, 2022 to reduce the deferred tax assets to the amount that is more likely than not to be realized. During the nine months ended September 30, 2023, the Company released the valuation allowance as the Company concluded that the realization of the deferred tax assets as of September 30, 2023 is more likely than not. See Note 6, “Income taxes,” included in “Notes to Condensed Consolidated Financial Statements.”</w:t>
      </w:r>
    </w:p>
    <w:p>
      <w:pPr>
        <w:spacing w:after="0" w:line="1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$14.6 million for the nine months ended September 30, 2023 compared to $2.2 million for the nine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2022, as a result of the foregoing.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believe that the persistent inflationary pressure throughout 2022 and up to September 30, 2023 has contributed to deteriorating macroeconomic conditions and increased recession fears, causing businesses to slow their spending over the last several months, which have resulted,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Cash flows provided by operating activities</w:t>
      </w:r>
      <w:r>
        <w:rPr>
          <w:rFonts w:ascii="Arial" w:cs="Arial" w:eastAsia="Arial" w:hAnsi="Arial"/>
          <w:sz w:val="17"/>
          <w:szCs w:val="17"/>
          <w:color w:val="auto"/>
        </w:rPr>
        <w:t>. For the nine months ended September 30, 2023, net cash provided by operating activities was $10.9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result of the net income of $14.6 million, adjusted for certain non-cash items (consisting of share-based compensation expense, depreciation and amortization, write-off of long-lived assets, provision for bad debts, noncash lease expenses, and deferred income tax (benefit) expense) totaling $(1.3) million, and the cash used as a result of changes in assets and liabilities of $5.0 million, primarily the result of the increase in accounts receivable, and prepaid expenses and other current assets, and the decrease in accounts payable, accrued expenses and other current liabilities, and operating lease liabilities. For the nine months ended September 30, 2022, net cash provided by operating activities was $8.1 million, primarily the result of the net income of $2.2 million, adjusted for certain non-cash items, mentioned above, totaling $9.6 million, and the cash used as a result of changes in assets and liabilities of $3.7 million, primarily the result of the increase in accounts receivable and prepaid expenses and other current assets, and the decrease in deferred revenue and operating lease liabilities.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For the nine months ended September 30, 2023 and 2022, net cash used in investing activities was $7.0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$6.4 million, respectively, primarily as a result of capitalized costs included in intangible assets.</w:t>
      </w:r>
    </w:p>
    <w:p>
      <w:pPr>
        <w:spacing w:after="0" w:line="13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i w:val="1"/>
          <w:iCs w:val="1"/>
          <w:color w:val="auto"/>
        </w:rPr>
        <w:t>Cash flows used in financing activities</w:t>
      </w:r>
      <w:r>
        <w:rPr>
          <w:rFonts w:ascii="Arial" w:cs="Arial" w:eastAsia="Arial" w:hAnsi="Arial"/>
          <w:sz w:val="16"/>
          <w:szCs w:val="16"/>
          <w:color w:val="auto"/>
        </w:rPr>
        <w:t>. For the nine months ended September 30, 2023, net cash used in financing activities was $1.4 million, mainly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$1.3 million paid in aggregate for the repurchase of common stock pursuant to a stock repurchase program that the board of directors authorized on May 2, 2022 (the "Stock Repurchase Program"), authorizing the repurchase of up to $5.0 million of our common stock. For the nine months ended September 30, 2022, net cash used in financing activities was $4.7 million, resulting from the taxes paid related to the net share settlement of vesting of RSUs of $4.3 million, and the repurchase of common stock pursuant to the Stock Repurchase Program of $0.4 million.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2023, we had material commitments under certain data licensing agreements of $22.1 million. We anticipate funding our operations using available cash and cash flow generated from operations within the next twelve months.</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reported net income of $12.5 million and $2.3 million for the three months ended September 30, 2023 and 2022, respectively, and net income of $14.6 million and $2.2 million for the nine months ended September 30, 2023 and 2022, respectively. As of September 30, 2023, we had a total shareholders’ equity balance of $89.7 million.</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September 30, 2023, we had cash and cash equivalents of approximately $34.2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did not have any off-balance sheet arrangements, as defined in Item 303 of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September 30, 2023.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2023.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quarter ended September 30, 2023 that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Accounting Standards Codification 450, “</w:t>
      </w:r>
      <w:r>
        <w:rPr>
          <w:rFonts w:ascii="Arial" w:cs="Arial" w:eastAsia="Arial" w:hAnsi="Arial"/>
          <w:sz w:val="17"/>
          <w:szCs w:val="17"/>
          <w:i w:val="1"/>
          <w:iCs w:val="1"/>
          <w:color w:val="auto"/>
        </w:rPr>
        <w:t>Contingencies</w:t>
      </w:r>
      <w:r>
        <w:rPr>
          <w:rFonts w:ascii="Arial" w:cs="Arial" w:eastAsia="Arial" w:hAnsi="Arial"/>
          <w:sz w:val="17"/>
          <w:szCs w:val="17"/>
          <w:color w:val="auto"/>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4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the Company’s Annual Report on Form 10-K for the year ended December 31, 2022 filed with the SEC on March 8,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provides information relating to the Company's repurchase of common stock during the three months ended September 30, 2023 pursuant to the Stock Repurchase Program: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260" w:type="dxa"/>
            <w:vAlign w:val="bottom"/>
          </w:tcPr>
          <w:p>
            <w:pPr>
              <w:spacing w:after="0"/>
              <w:rPr>
                <w:sz w:val="14"/>
                <w:szCs w:val="14"/>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Approximate dollar value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4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8"/>
              </w:rPr>
              <w:t>Average price paid</w:t>
            </w:r>
          </w:p>
        </w:tc>
        <w:tc>
          <w:tcPr>
            <w:tcW w:w="2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r>
              <w:rPr>
                <w:rFonts w:ascii="Arial" w:cs="Arial" w:eastAsia="Arial" w:hAnsi="Arial"/>
                <w:sz w:val="19"/>
                <w:szCs w:val="19"/>
                <w:b w:val="1"/>
                <w:bCs w:val="1"/>
                <w:color w:val="auto"/>
                <w:vertAlign w:val="superscript"/>
              </w:rPr>
              <w:t>(1)</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purchased as part of publicly</w:t>
            </w:r>
          </w:p>
        </w:tc>
        <w:tc>
          <w:tcPr>
            <w:tcW w:w="260" w:type="dxa"/>
            <w:vAlign w:val="bottom"/>
          </w:tcPr>
          <w:p>
            <w:pPr>
              <w:spacing w:after="0"/>
              <w:rPr>
                <w:sz w:val="12"/>
                <w:szCs w:val="12"/>
                <w:color w:val="auto"/>
              </w:rPr>
            </w:pPr>
          </w:p>
        </w:tc>
        <w:tc>
          <w:tcPr>
            <w:tcW w:w="18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w w:val="92"/>
              </w:rPr>
              <w:t>purchased under the plans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74"/>
              <w:spacing w:after="0" w:line="189" w:lineRule="exact"/>
              <w:rPr>
                <w:sz w:val="20"/>
                <w:szCs w:val="20"/>
                <w:color w:val="auto"/>
              </w:rPr>
            </w:pPr>
            <w:r>
              <w:rPr>
                <w:rFonts w:ascii="Arial" w:cs="Arial" w:eastAsia="Arial" w:hAnsi="Arial"/>
                <w:sz w:val="14"/>
                <w:szCs w:val="14"/>
                <w:b w:val="1"/>
                <w:bCs w:val="1"/>
                <w:color w:val="auto"/>
                <w:w w:val="99"/>
              </w:rPr>
              <w:t>per share</w:t>
            </w:r>
            <w:r>
              <w:rPr>
                <w:rFonts w:ascii="Arial" w:cs="Arial" w:eastAsia="Arial" w:hAnsi="Arial"/>
                <w:sz w:val="19"/>
                <w:szCs w:val="19"/>
                <w:b w:val="1"/>
                <w:bCs w:val="1"/>
                <w:color w:val="auto"/>
                <w:w w:val="99"/>
                <w:vertAlign w:val="superscript"/>
              </w:rPr>
              <w:t>(2)</w:t>
            </w:r>
          </w:p>
        </w:tc>
        <w:tc>
          <w:tcPr>
            <w:tcW w:w="2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2023 - July 31, 2023</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3,186,560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August 1, 2023 - August 31, 2023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5,019</w:t>
            </w:r>
          </w:p>
        </w:tc>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5,019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3,083,968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2023 - September 30, 2023</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Borders>
              <w:bottom w:val="single" w:sz="8" w:color="CFF0FC"/>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2,876,566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15,019</w:t>
            </w:r>
          </w:p>
        </w:tc>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15,019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-187960</wp:posOffset>
            </wp:positionV>
            <wp:extent cx="7683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380" w:right="240" w:hanging="372"/>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October 1, 2023 to October 31, 2023, the Company purchased an additional 22,904 shares at an average price of $19.56 per share pursuant to the Stock Repurchase Program.</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Exclusive of commission fees incurred in relation to the repurchase of common stock.</w:t>
      </w:r>
    </w:p>
    <w:p>
      <w:pPr>
        <w:spacing w:after="0" w:line="185"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On May 4, 2022, the Company announced that the board of directors authorized the repurchase of up to $5.0 million of the Company's common stock pursuant to the Stock Repurchase Program. The Stock Repurchase Program does not obligate the Company to repurchase any shares and it may be modified, suspended or terminated at any time and for any reason at the discretion of the board of directors.</w:t>
      </w:r>
    </w:p>
    <w:p>
      <w:pPr>
        <w:spacing w:after="0" w:line="1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September 22, 2023, the Company entered into a “Rule 10b5-1 trading arrangement” as such term is defined in Item 408 of Regulator S-K to purchase 36,515 shares (the “10b5-1 Shares”) beginning October 23, 2023. The Rule 10b5-1 trading arrangement will terminate upon the earlier of the purchase of the 10b5-1 Shares or December 29,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Incorporated by Reference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r>
      <w:tr>
        <w:trPr>
          <w:trHeight w:val="158"/>
        </w:trPr>
        <w:tc>
          <w:tcPr>
            <w:tcW w:w="920" w:type="dxa"/>
            <w:vAlign w:val="bottom"/>
          </w:tcPr>
          <w:p>
            <w:pPr>
              <w:ind w:left="20"/>
              <w:spacing w:after="0"/>
              <w:rPr>
                <w:sz w:val="20"/>
                <w:szCs w:val="20"/>
                <w:color w:val="auto"/>
              </w:rPr>
            </w:pPr>
            <w:r>
              <w:rPr>
                <w:rFonts w:ascii="Arial" w:cs="Arial" w:eastAsia="Arial" w:hAnsi="Arial"/>
                <w:sz w:val="13"/>
                <w:szCs w:val="13"/>
                <w:b w:val="1"/>
                <w:bCs w:val="1"/>
                <w:color w:val="auto"/>
              </w:rPr>
              <w:t>Exhibit No.</w:t>
            </w:r>
          </w:p>
        </w:tc>
        <w:tc>
          <w:tcPr>
            <w:tcW w:w="160" w:type="dxa"/>
            <w:vAlign w:val="bottom"/>
          </w:tcPr>
          <w:p>
            <w:pPr>
              <w:spacing w:after="0"/>
              <w:rPr>
                <w:sz w:val="13"/>
                <w:szCs w:val="13"/>
                <w:color w:val="auto"/>
              </w:rPr>
            </w:pPr>
          </w:p>
        </w:tc>
        <w:tc>
          <w:tcPr>
            <w:tcW w:w="4840" w:type="dxa"/>
            <w:vAlign w:val="bottom"/>
            <w:gridSpan w:val="10"/>
          </w:tcPr>
          <w:p>
            <w:pPr>
              <w:spacing w:after="0"/>
              <w:rPr>
                <w:sz w:val="20"/>
                <w:szCs w:val="20"/>
                <w:color w:val="auto"/>
              </w:rPr>
            </w:pPr>
            <w:r>
              <w:rPr>
                <w:rFonts w:ascii="Arial" w:cs="Arial" w:eastAsia="Arial" w:hAnsi="Arial"/>
                <w:sz w:val="13"/>
                <w:szCs w:val="13"/>
                <w:b w:val="1"/>
                <w:bCs w:val="1"/>
                <w:color w:val="auto"/>
              </w:rPr>
              <w:t>Exhibit Description</w:t>
            </w:r>
          </w:p>
        </w:tc>
        <w:tc>
          <w:tcPr>
            <w:tcW w:w="1020" w:type="dxa"/>
            <w:vAlign w:val="bottom"/>
          </w:tcPr>
          <w:p>
            <w:pPr>
              <w:ind w:left="36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3"/>
                <w:szCs w:val="13"/>
                <w:color w:val="auto"/>
              </w:rPr>
            </w:pPr>
          </w:p>
        </w:tc>
        <w:tc>
          <w:tcPr>
            <w:tcW w:w="1000" w:type="dxa"/>
            <w:vAlign w:val="bottom"/>
          </w:tcPr>
          <w:p>
            <w:pPr>
              <w:ind w:left="300"/>
              <w:spacing w:after="0"/>
              <w:rPr>
                <w:sz w:val="20"/>
                <w:szCs w:val="20"/>
                <w:color w:val="auto"/>
              </w:rPr>
            </w:pPr>
            <w:r>
              <w:rPr>
                <w:rFonts w:ascii="Arial" w:cs="Arial" w:eastAsia="Arial" w:hAnsi="Arial"/>
                <w:sz w:val="13"/>
                <w:szCs w:val="13"/>
                <w:b w:val="1"/>
                <w:bCs w:val="1"/>
                <w:color w:val="auto"/>
              </w:rPr>
              <w:t>File No.</w:t>
            </w:r>
          </w:p>
        </w:tc>
        <w:tc>
          <w:tcPr>
            <w:tcW w:w="120" w:type="dxa"/>
            <w:vAlign w:val="bottom"/>
          </w:tcPr>
          <w:p>
            <w:pPr>
              <w:spacing w:after="0"/>
              <w:rPr>
                <w:sz w:val="13"/>
                <w:szCs w:val="13"/>
                <w:color w:val="auto"/>
              </w:rPr>
            </w:pPr>
          </w:p>
        </w:tc>
        <w:tc>
          <w:tcPr>
            <w:tcW w:w="1000" w:type="dxa"/>
            <w:vAlign w:val="bottom"/>
          </w:tcPr>
          <w:p>
            <w:pPr>
              <w:ind w:left="300"/>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3"/>
                <w:szCs w:val="13"/>
                <w:color w:val="auto"/>
              </w:rPr>
            </w:pPr>
          </w:p>
        </w:tc>
        <w:tc>
          <w:tcPr>
            <w:tcW w:w="1000" w:type="dxa"/>
            <w:vAlign w:val="bottom"/>
          </w:tcPr>
          <w:p>
            <w:pPr>
              <w:ind w:left="20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Herewith</w:t>
            </w:r>
          </w:p>
        </w:tc>
      </w:tr>
      <w:tr>
        <w:trPr>
          <w:trHeight w:val="142"/>
        </w:trPr>
        <w:tc>
          <w:tcPr>
            <w:tcW w:w="9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4720" w:type="dxa"/>
            <w:vAlign w:val="bottom"/>
            <w:tcBorders>
              <w:top w:val="single" w:sz="8" w:color="auto"/>
            </w:tcBorders>
            <w:gridSpan w:val="9"/>
          </w:tcPr>
          <w:p>
            <w:pPr>
              <w:spacing w:after="0" w:line="142" w:lineRule="exact"/>
              <w:rPr>
                <w:sz w:val="20"/>
                <w:szCs w:val="20"/>
                <w:color w:val="auto"/>
              </w:rPr>
            </w:pPr>
            <w:r>
              <w:rPr>
                <w:rFonts w:ascii="Arial" w:cs="Arial" w:eastAsia="Arial" w:hAnsi="Arial"/>
                <w:sz w:val="14"/>
                <w:szCs w:val="14"/>
                <w:color w:val="0000FF"/>
              </w:rPr>
              <w:t>Certification of Chief Executive Officer filed pursuant to Exchange Act Rules</w:t>
            </w: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540" w:type="dxa"/>
            <w:vAlign w:val="bottom"/>
            <w:tcBorders>
              <w:top w:val="single" w:sz="8" w:color="0000FF"/>
            </w:tcBorders>
            <w:gridSpan w:val="6"/>
          </w:tcPr>
          <w:p>
            <w:pPr>
              <w:spacing w:after="0" w:line="129" w:lineRule="exact"/>
              <w:rPr>
                <w:sz w:val="20"/>
                <w:szCs w:val="20"/>
                <w:color w:val="auto"/>
              </w:rPr>
            </w:pPr>
            <w:r>
              <w:rPr>
                <w:rFonts w:ascii="Arial" w:cs="Arial" w:eastAsia="Arial" w:hAnsi="Arial"/>
                <w:sz w:val="14"/>
                <w:szCs w:val="14"/>
                <w:color w:val="0000FF"/>
                <w:w w:val="95"/>
              </w:rPr>
              <w:t>13a-14(a) and 15d-14(a) of the Securities Exchange Act of 1934 as adopted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6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93"/>
              </w:rPr>
              <w:t>pursuant to Section 302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920" w:type="dxa"/>
            <w:vAlign w:val="bottom"/>
            <w:tcBorders>
              <w:top w:val="single" w:sz="8" w:color="0000FF"/>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4"/>
                <w:szCs w:val="14"/>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0000FF"/>
              </w:rPr>
              <w:t>Certification of Chief Financial Officer filed pursuant to Exchange Act Rules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500" w:type="dxa"/>
            <w:vAlign w:val="bottom"/>
            <w:tcBorders>
              <w:top w:val="single" w:sz="8" w:color="0000FF"/>
            </w:tcBorders>
            <w:gridSpan w:val="5"/>
          </w:tcPr>
          <w:p>
            <w:pPr>
              <w:spacing w:after="0" w:line="129" w:lineRule="exact"/>
              <w:rPr>
                <w:sz w:val="20"/>
                <w:szCs w:val="20"/>
                <w:color w:val="auto"/>
              </w:rPr>
            </w:pPr>
            <w:r>
              <w:rPr>
                <w:rFonts w:ascii="Arial" w:cs="Arial" w:eastAsia="Arial" w:hAnsi="Arial"/>
                <w:sz w:val="14"/>
                <w:szCs w:val="14"/>
                <w:color w:val="0000FF"/>
                <w:w w:val="95"/>
              </w:rPr>
              <w:t>13a-14(a) and 15d-14(a) of the Securities Exchange Act of 1934 as adopted</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6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93"/>
              </w:rPr>
              <w:t>pursuant to Section 302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920" w:type="dxa"/>
            <w:vAlign w:val="bottom"/>
            <w:tcBorders>
              <w:top w:val="single" w:sz="8" w:color="0000FF"/>
            </w:tcBorders>
            <w:gridSpan w:val="2"/>
          </w:tcPr>
          <w:p>
            <w:pPr>
              <w:spacing w:after="0"/>
              <w:rPr>
                <w:sz w:val="11"/>
                <w:szCs w:val="11"/>
                <w:color w:val="auto"/>
              </w:rPr>
            </w:pPr>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4"/>
                <w:szCs w:val="14"/>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0000FF"/>
                <w:w w:val="99"/>
              </w:rPr>
              <w:t>Certification by Chief Executive Officer pursuant to 18 U.S.C. Section 1350, as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40" w:type="dxa"/>
            <w:vAlign w:val="bottom"/>
            <w:tcBorders>
              <w:top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24"/>
                <w:szCs w:val="24"/>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0000FF"/>
              </w:rPr>
              <w:t>Certification by Chief Financial Officer pursuant to 18 U.S.C. Section 1350, as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0" w:type="dxa"/>
            <w:vAlign w:val="bottom"/>
            <w:tcBorders>
              <w:top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24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2"/>
        </w:trPr>
        <w:tc>
          <w:tcPr>
            <w:tcW w:w="920" w:type="dxa"/>
            <w:vAlign w:val="bottom"/>
          </w:tcPr>
          <w:p>
            <w:pPr>
              <w:ind w:left="20"/>
              <w:spacing w:after="0"/>
              <w:rPr>
                <w:sz w:val="20"/>
                <w:szCs w:val="20"/>
                <w:color w:val="auto"/>
              </w:rPr>
            </w:pPr>
            <w:r>
              <w:rPr>
                <w:rFonts w:ascii="Arial" w:cs="Arial" w:eastAsia="Arial" w:hAnsi="Arial"/>
                <w:sz w:val="14"/>
                <w:szCs w:val="14"/>
                <w:color w:val="auto"/>
              </w:rPr>
              <w:t>101.INS</w:t>
            </w:r>
          </w:p>
        </w:tc>
        <w:tc>
          <w:tcPr>
            <w:tcW w:w="160" w:type="dxa"/>
            <w:vAlign w:val="bottom"/>
          </w:tcPr>
          <w:p>
            <w:pPr>
              <w:spacing w:after="0"/>
              <w:rPr>
                <w:sz w:val="24"/>
                <w:szCs w:val="24"/>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w w:val="96"/>
              </w:rPr>
              <w:t>Inline XBRL Instance Document – the instance document does not appear in the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49"/>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40" w:type="dxa"/>
            <w:vAlign w:val="bottom"/>
            <w:gridSpan w:val="10"/>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2"/>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XBRL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101.SCH</w:t>
            </w:r>
          </w:p>
        </w:tc>
        <w:tc>
          <w:tcPr>
            <w:tcW w:w="16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101.CAL</w:t>
            </w:r>
          </w:p>
        </w:tc>
        <w:tc>
          <w:tcPr>
            <w:tcW w:w="16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101.DEF</w:t>
            </w:r>
          </w:p>
        </w:tc>
        <w:tc>
          <w:tcPr>
            <w:tcW w:w="16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101.LAB</w:t>
            </w:r>
          </w:p>
        </w:tc>
        <w:tc>
          <w:tcPr>
            <w:tcW w:w="16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101.PRE</w:t>
            </w:r>
          </w:p>
        </w:tc>
        <w:tc>
          <w:tcPr>
            <w:tcW w:w="16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w w:val="98"/>
              </w:rPr>
              <w:t>Cover Page Interactive Data File (embedded within the Inline XBRL document).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bl>
    <w:p>
      <w:pPr>
        <w:spacing w:after="0" w:line="200" w:lineRule="exact"/>
        <w:rPr>
          <w:sz w:val="20"/>
          <w:szCs w:val="20"/>
          <w:color w:val="auto"/>
        </w:rPr>
      </w:pPr>
    </w:p>
    <w:p>
      <w:pPr>
        <w:spacing w:after="0" w:line="225" w:lineRule="exact"/>
        <w:rPr>
          <w:sz w:val="20"/>
          <w:szCs w:val="20"/>
          <w:color w:val="auto"/>
        </w:rPr>
      </w:pPr>
    </w:p>
    <w:p>
      <w:pPr>
        <w:ind w:right="200" w:firstLine="8"/>
        <w:spacing w:after="0" w:line="253" w:lineRule="auto"/>
        <w:tabs>
          <w:tab w:leader="none" w:pos="108"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80"/>
        <w:spacing w:after="0"/>
        <w:tabs>
          <w:tab w:leader="none" w:pos="7240" w:val="left"/>
        </w:tabs>
        <w:rPr>
          <w:sz w:val="20"/>
          <w:szCs w:val="20"/>
          <w:color w:val="auto"/>
        </w:rPr>
      </w:pPr>
      <w:r>
        <w:rPr>
          <w:rFonts w:ascii="Arial" w:cs="Arial" w:eastAsia="Arial" w:hAnsi="Arial"/>
          <w:sz w:val="18"/>
          <w:szCs w:val="18"/>
          <w:color w:val="auto"/>
        </w:rPr>
        <w:t>November 7, 2023</w:t>
      </w:r>
      <w:r>
        <w:rPr>
          <w:sz w:val="20"/>
          <w:szCs w:val="20"/>
          <w:color w:val="auto"/>
        </w:rPr>
        <w:tab/>
      </w:r>
      <w:r>
        <w:rPr>
          <w:rFonts w:ascii="Arial" w:cs="Arial" w:eastAsia="Arial" w:hAnsi="Arial"/>
          <w:sz w:val="16"/>
          <w:szCs w:val="16"/>
          <w:b w:val="1"/>
          <w:bCs w:val="1"/>
          <w:color w:val="auto"/>
        </w:rPr>
        <w:t>Red Violet, Inc.</w:t>
      </w:r>
    </w:p>
    <w:p>
      <w:pPr>
        <w:spacing w:after="0" w:line="283"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23495</wp:posOffset>
            </wp:positionV>
            <wp:extent cx="25546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Daniel MacLachlan</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080" w:val="left"/>
          <w:tab w:leader="none" w:pos="6540" w:val="left"/>
        </w:tabs>
        <w:rPr>
          <w:sz w:val="20"/>
          <w:szCs w:val="20"/>
          <w:color w:val="auto"/>
        </w:rPr>
      </w:pPr>
      <w:r>
        <w:rPr>
          <w:rFonts w:ascii="Arial" w:cs="Arial" w:eastAsia="Arial" w:hAnsi="Arial"/>
          <w:sz w:val="18"/>
          <w:szCs w:val="18"/>
          <w:color w:val="auto"/>
        </w:rPr>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23495</wp:posOffset>
            </wp:positionV>
            <wp:extent cx="29743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Derek Dubner</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080" w:val="left"/>
          <w:tab w:leader="none" w:pos="6540" w:val="left"/>
        </w:tabs>
        <w:rPr>
          <w:sz w:val="20"/>
          <w:szCs w:val="20"/>
          <w:color w:val="auto"/>
        </w:rPr>
      </w:pPr>
      <w:r>
        <w:rPr>
          <w:rFonts w:ascii="Arial" w:cs="Arial" w:eastAsia="Arial" w:hAnsi="Arial"/>
          <w:sz w:val="18"/>
          <w:szCs w:val="18"/>
          <w:color w:val="auto"/>
        </w:rPr>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23495</wp:posOffset>
            </wp:positionV>
            <wp:extent cx="29743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Daniel MacLachlan</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2023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89"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Derek Dubner</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2023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89"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Daniel MacLachlan</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2023-11-07T16:08:14Z</dcterms:created>
  <dcterms:modified xsi:type="dcterms:W3CDTF">2023-11-07T16:08:14Z</dcterms:modified>
</cp:coreProperties>
</file>