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8" w:lineRule="exact"/>
        <w:rPr>
          <w:sz w:val="24"/>
          <w:szCs w:val="24"/>
          <w:color w:val="auto"/>
        </w:rPr>
      </w:pPr>
    </w:p>
    <w:p>
      <w:pPr>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-7620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460" w:space="720"/>
            <w:col w:w="3240"/>
          </w:cols>
          <w:pgMar w:left="240" w:top="373" w:right="23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340" w:space="720"/>
            <w:col w:w="3360"/>
          </w:cols>
          <w:pgMar w:left="240" w:top="373" w:right="239" w:bottom="1440" w:gutter="0" w:footer="0" w:header="0"/>
          <w:type w:val="continuous"/>
        </w:sectPr>
      </w:pPr>
    </w:p>
    <w:p>
      <w:pPr>
        <w:ind w:left="4300"/>
        <w:spacing w:after="0"/>
        <w:rPr>
          <w:sz w:val="20"/>
          <w:szCs w:val="20"/>
          <w:color w:val="auto"/>
        </w:rPr>
      </w:pPr>
      <w:r>
        <w:rPr>
          <w:rFonts w:ascii="Arial" w:cs="Arial" w:eastAsia="Arial" w:hAnsi="Arial"/>
          <w:sz w:val="18"/>
          <w:szCs w:val="18"/>
          <w:b w:val="1"/>
          <w:bCs w:val="1"/>
          <w:color w:val="auto"/>
        </w:rPr>
        <w:t>2650 North Military Trail, Suite 300,</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Boca Raton, Florida 33431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373" w:right="23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52070</wp:posOffset>
            </wp:positionV>
            <wp:extent cx="2298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6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6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280" w:type="dxa"/>
            <w:vAlign w:val="bottom"/>
            <w:gridSpan w:val="6"/>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04"/>
        </w:trPr>
        <w:tc>
          <w:tcPr>
            <w:tcW w:w="44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44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Title of each class</w:t>
            </w:r>
          </w:p>
        </w:tc>
        <w:tc>
          <w:tcPr>
            <w:tcW w:w="3820" w:type="dxa"/>
            <w:vAlign w:val="bottom"/>
            <w:gridSpan w:val="3"/>
          </w:tcPr>
          <w:p>
            <w:pPr>
              <w:jc w:val="center"/>
              <w:ind w:right="600"/>
              <w:spacing w:after="0"/>
              <w:rPr>
                <w:sz w:val="20"/>
                <w:szCs w:val="20"/>
                <w:color w:val="auto"/>
              </w:rPr>
            </w:pPr>
            <w:r>
              <w:rPr>
                <w:rFonts w:ascii="Arial" w:cs="Arial" w:eastAsia="Arial" w:hAnsi="Arial"/>
                <w:sz w:val="13"/>
                <w:szCs w:val="13"/>
                <w:color w:val="auto"/>
                <w:w w:val="90"/>
              </w:rPr>
              <w:t>Trading Symbol</w:t>
            </w:r>
          </w:p>
        </w:tc>
        <w:tc>
          <w:tcPr>
            <w:tcW w:w="3140" w:type="dxa"/>
            <w:vAlign w:val="bottom"/>
          </w:tcPr>
          <w:p>
            <w:pPr>
              <w:ind w:left="320"/>
              <w:spacing w:after="0"/>
              <w:rPr>
                <w:sz w:val="20"/>
                <w:szCs w:val="20"/>
                <w:color w:val="auto"/>
              </w:rPr>
            </w:pPr>
            <w:r>
              <w:rPr>
                <w:rFonts w:ascii="Arial" w:cs="Arial" w:eastAsia="Arial" w:hAnsi="Arial"/>
                <w:sz w:val="13"/>
                <w:szCs w:val="13"/>
                <w:color w:val="auto"/>
              </w:rPr>
              <w:t>Name of each exchange on which registered</w:t>
            </w:r>
          </w:p>
        </w:tc>
      </w:tr>
      <w:tr>
        <w:trPr>
          <w:trHeight w:val="200"/>
        </w:trPr>
        <w:tc>
          <w:tcPr>
            <w:tcW w:w="20" w:type="dxa"/>
            <w:vAlign w:val="bottom"/>
          </w:tcPr>
          <w:p>
            <w:pPr>
              <w:spacing w:after="0"/>
              <w:rPr>
                <w:sz w:val="17"/>
                <w:szCs w:val="17"/>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260" w:type="dxa"/>
            <w:vAlign w:val="bottom"/>
          </w:tcPr>
          <w:p>
            <w:pPr>
              <w:spacing w:after="0"/>
              <w:rPr>
                <w:sz w:val="17"/>
                <w:szCs w:val="17"/>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The NASDAQ Stock Market LLC</w:t>
            </w:r>
          </w:p>
        </w:tc>
      </w:tr>
    </w:tbl>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2019, the registrant had 10,286,613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gridSpan w:val="11"/>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780" w:type="dxa"/>
            <w:vAlign w:val="bottom"/>
            <w:gridSpan w:val="9"/>
            <w:vMerge w:val="restart"/>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0000EE"/>
            </w:tcBorders>
            <w:gridSpan w:val="11"/>
            <w:vMerge w:val="continue"/>
          </w:tcPr>
          <w:p>
            <w:pPr>
              <w:spacing w:after="0"/>
              <w:rPr>
                <w:sz w:val="15"/>
                <w:szCs w:val="15"/>
                <w:color w:val="auto"/>
              </w:rPr>
            </w:pPr>
          </w:p>
        </w:tc>
        <w:tc>
          <w:tcPr>
            <w:tcW w:w="778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2019 and December 31, 2018</w:t>
              </w:r>
            </w:hyperlink>
          </w:p>
        </w:tc>
        <w:tc>
          <w:tcPr>
            <w:tcW w:w="3500" w:type="dxa"/>
            <w:vAlign w:val="bottom"/>
            <w:gridSpan w:val="4"/>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74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2019 and 2018</w:t>
              </w:r>
            </w:hyperlink>
          </w:p>
        </w:tc>
        <w:tc>
          <w:tcPr>
            <w:tcW w:w="226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4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changes in shareholders' equity and member’s capital for the three months ended March 31,</w:t>
              </w:r>
            </w:hyperlink>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 and 2018</w:t>
              </w:r>
            </w:hyperlink>
          </w:p>
        </w:tc>
        <w:tc>
          <w:tcPr>
            <w:tcW w:w="8240" w:type="dxa"/>
            <w:vAlign w:val="bottom"/>
            <w:tcBorders>
              <w:top w:val="single" w:sz="8" w:color="0000EE"/>
            </w:tcBorders>
            <w:gridSpan w:val="14"/>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97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2019 and 2018</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3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26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0"/>
                <w:szCs w:val="20"/>
                <w:color w:val="auto"/>
              </w:rPr>
            </w:pPr>
          </w:p>
        </w:tc>
        <w:tc>
          <w:tcPr>
            <w:tcW w:w="964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0"/>
                <w:szCs w:val="20"/>
                <w:color w:val="auto"/>
              </w:rPr>
            </w:pPr>
          </w:p>
        </w:tc>
        <w:tc>
          <w:tcPr>
            <w:tcW w:w="4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060" w:type="dxa"/>
            <w:vAlign w:val="bottom"/>
            <w:tcBorders>
              <w:top w:val="single" w:sz="8" w:color="0000EE"/>
            </w:tcBorders>
            <w:gridSpan w:val="2"/>
          </w:tcPr>
          <w:p>
            <w:pPr>
              <w:spacing w:after="0"/>
              <w:rPr>
                <w:sz w:val="20"/>
                <w:szCs w:val="20"/>
                <w:color w:val="auto"/>
              </w:rPr>
            </w:pPr>
          </w:p>
        </w:tc>
        <w:tc>
          <w:tcPr>
            <w:tcW w:w="3240" w:type="dxa"/>
            <w:vAlign w:val="bottom"/>
            <w:gridSpan w:val="3"/>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0"/>
                <w:szCs w:val="20"/>
                <w:color w:val="auto"/>
              </w:rPr>
            </w:pP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Controls and Procedures</w:t>
              </w:r>
            </w:hyperlink>
          </w:p>
        </w:tc>
        <w:tc>
          <w:tcPr>
            <w:tcW w:w="7900" w:type="dxa"/>
            <w:vAlign w:val="bottom"/>
            <w:gridSpan w:val="10"/>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8"/>
        </w:trPr>
        <w:tc>
          <w:tcPr>
            <w:tcW w:w="107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60" w:type="dxa"/>
            <w:vAlign w:val="bottom"/>
            <w:tcBorders>
              <w:top w:val="single" w:sz="8" w:color="0000EE"/>
            </w:tcBorders>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240" w:type="dxa"/>
            <w:vAlign w:val="bottom"/>
            <w:tcBorders>
              <w:top w:val="single" w:sz="8" w:color="0000EE"/>
            </w:tcBorders>
          </w:tcPr>
          <w:p>
            <w:pPr>
              <w:spacing w:after="0"/>
              <w:rPr>
                <w:sz w:val="24"/>
                <w:szCs w:val="24"/>
                <w:color w:val="auto"/>
              </w:rPr>
            </w:pPr>
          </w:p>
        </w:tc>
        <w:tc>
          <w:tcPr>
            <w:tcW w:w="810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60" w:type="dxa"/>
            <w:vAlign w:val="bottom"/>
          </w:tcPr>
          <w:p>
            <w:pPr>
              <w:spacing w:after="0"/>
              <w:rPr>
                <w:sz w:val="20"/>
                <w:szCs w:val="20"/>
                <w:color w:val="auto"/>
              </w:rPr>
            </w:pPr>
          </w:p>
        </w:tc>
        <w:tc>
          <w:tcPr>
            <w:tcW w:w="96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0"/>
                <w:szCs w:val="20"/>
                <w:color w:val="auto"/>
              </w:rPr>
            </w:pPr>
          </w:p>
        </w:tc>
        <w:tc>
          <w:tcPr>
            <w:tcW w:w="4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Unregistered Sales of Equity Securities and Use of Proceeds</w:t>
              </w:r>
            </w:hyperlink>
          </w:p>
        </w:tc>
        <w:tc>
          <w:tcPr>
            <w:tcW w:w="5320" w:type="dxa"/>
            <w:vAlign w:val="bottom"/>
            <w:gridSpan w:val="6"/>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0"/>
                <w:szCs w:val="20"/>
                <w:color w:val="auto"/>
              </w:rPr>
            </w:pPr>
          </w:p>
        </w:tc>
        <w:tc>
          <w:tcPr>
            <w:tcW w:w="96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0"/>
                <w:szCs w:val="20"/>
                <w:color w:val="auto"/>
              </w:rPr>
            </w:pPr>
          </w:p>
        </w:tc>
        <w:tc>
          <w:tcPr>
            <w:tcW w:w="2340" w:type="dxa"/>
            <w:vAlign w:val="bottom"/>
            <w:tcBorders>
              <w:top w:val="single" w:sz="8" w:color="0000EE"/>
            </w:tcBorders>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7300" w:type="dxa"/>
            <w:vAlign w:val="bottom"/>
            <w:gridSpan w:val="8"/>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60" w:type="dxa"/>
            <w:vAlign w:val="bottom"/>
          </w:tcPr>
          <w:p>
            <w:pPr>
              <w:spacing w:after="0"/>
              <w:rPr>
                <w:sz w:val="20"/>
                <w:szCs w:val="20"/>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Other Information</w:t>
              </w:r>
            </w:hyperlink>
          </w:p>
        </w:tc>
        <w:tc>
          <w:tcPr>
            <w:tcW w:w="380" w:type="dxa"/>
            <w:vAlign w:val="bottom"/>
            <w:tcBorders>
              <w:top w:val="single" w:sz="8" w:color="0000EE"/>
            </w:tcBorders>
            <w:gridSpan w:val="3"/>
          </w:tcPr>
          <w:p>
            <w:pPr>
              <w:spacing w:after="0"/>
              <w:rPr>
                <w:sz w:val="20"/>
                <w:szCs w:val="20"/>
                <w:color w:val="auto"/>
              </w:rPr>
            </w:pPr>
          </w:p>
        </w:tc>
        <w:tc>
          <w:tcPr>
            <w:tcW w:w="7980" w:type="dxa"/>
            <w:vAlign w:val="bottom"/>
            <w:gridSpan w:val="11"/>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0"/>
                <w:szCs w:val="20"/>
                <w:color w:val="auto"/>
              </w:rPr>
            </w:pPr>
          </w:p>
        </w:tc>
        <w:tc>
          <w:tcPr>
            <w:tcW w:w="96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8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7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69"/>
        </w:trPr>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140" w:type="dxa"/>
            <w:vAlign w:val="bottom"/>
            <w:gridSpan w:val="14"/>
          </w:tcPr>
          <w:p>
            <w:pPr>
              <w:jc w:val="right"/>
              <w:ind w:right="14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ASSETS:</w:t>
            </w:r>
          </w:p>
        </w:tc>
        <w:tc>
          <w:tcPr>
            <w:tcW w:w="7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$25 and $77</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as of March 31, 2019 and December 31, 2018,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CFF0FC"/>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94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issued and outstanding, as of March 31, 2019 and December 31, 2018</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10,286,613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10,266,613 shares issued and outstanding, as of March 31, 2019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(4,784)</w:t>
            </w: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FF0FC"/>
            </w:tcBorders>
          </w:tcPr>
          <w:p>
            <w:pPr>
              <w:spacing w:after="0"/>
              <w:rPr>
                <w:sz w:val="22"/>
                <w:szCs w:val="22"/>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8"/>
                <w:szCs w:val="18"/>
                <w:color w:val="auto"/>
              </w:rPr>
              <w:t>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r>
      <w:tr>
        <w:trPr>
          <w:trHeight w:val="210"/>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4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10,267,680</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MEMBER’S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940" w:type="dxa"/>
            <w:vAlign w:val="bottom"/>
            <w:gridSpan w:val="3"/>
            <w:vMerge w:val="restart"/>
          </w:tcPr>
          <w:p>
            <w:pPr>
              <w:jc w:val="right"/>
              <w:ind w:right="31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Member's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10,286,613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360" w:type="dxa"/>
            <w:vAlign w:val="bottom"/>
          </w:tcPr>
          <w:p>
            <w:pPr>
              <w:spacing w:after="0"/>
              <w:rPr>
                <w:sz w:val="24"/>
                <w:szCs w:val="24"/>
                <w:color w:val="auto"/>
              </w:rPr>
            </w:pPr>
          </w:p>
        </w:tc>
        <w:tc>
          <w:tcPr>
            <w:tcW w:w="1940" w:type="dxa"/>
            <w:vAlign w:val="bottom"/>
            <w:gridSpan w:val="3"/>
            <w:vMerge w:val="restart"/>
          </w:tcPr>
          <w:p>
            <w:pPr>
              <w:jc w:val="right"/>
              <w:ind w:right="31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Member's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Contribution by Fluent, Inc., including</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Arial" w:cs="Arial" w:eastAsia="Arial" w:hAnsi="Arial"/>
                <w:sz w:val="18"/>
                <w:szCs w:val="18"/>
                <w:color w:val="auto"/>
              </w:rPr>
              <w:t>allocation of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Spin-off from Fluent, Inc.</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10,265,613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(40,262)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Balance at March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10,266,613</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84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(recovery of)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Allocation of expenses from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Noncash lease expenses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(1,186)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(2,825)</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(1,370)</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(1,386)</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contributed by Fluent, Inc.</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19,728</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19,793</w:t>
            </w:r>
          </w:p>
        </w:tc>
        <w:tc>
          <w:tcPr>
            <w:tcW w:w="12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80" w:type="dxa"/>
            <w:vAlign w:val="bottom"/>
          </w:tcPr>
          <w:p>
            <w:pPr>
              <w:spacing w:after="0"/>
              <w:rPr>
                <w:sz w:val="20"/>
                <w:szCs w:val="20"/>
                <w:color w:val="auto"/>
              </w:rPr>
            </w:pP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accompanying unaudited condensed consolidated financial statements of Red Violet, Inc. (“red violet” or the “Company”), a Delaware corporation,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March 26, 2018, Fluent, Inc. (“Fluent”) completed a spin-off of its risk management business from its digital marketing business by way of a distribution of all the shares of common stock of Fluent’s then wholly-owned subsidiary, red violet, to Fluent’s stockholders as of the record date and certain warrant holders (the “Spin-off”).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the Company owns Fluent subsidiaries that previously operated Fluent’s risk management business. The Company accounted for the Spin-off in accordance with ASC 805-50-30-5 </w:t>
      </w:r>
      <w:r>
        <w:rPr>
          <w:rFonts w:ascii="Arial" w:cs="Arial" w:eastAsia="Arial" w:hAnsi="Arial"/>
          <w:sz w:val="18"/>
          <w:szCs w:val="18"/>
          <w:i w:val="1"/>
          <w:iCs w:val="1"/>
          <w:color w:val="auto"/>
        </w:rPr>
        <w:t xml:space="preserve">Initial Measurement- Transactions Between Entities Under Common Control </w:t>
      </w:r>
      <w:r>
        <w:rPr>
          <w:rFonts w:ascii="Arial" w:cs="Arial" w:eastAsia="Arial" w:hAnsi="Arial"/>
          <w:sz w:val="18"/>
          <w:szCs w:val="18"/>
          <w:color w:val="auto"/>
        </w:rPr>
        <w:t>–</w:t>
      </w:r>
      <w:r>
        <w:rPr>
          <w:rFonts w:ascii="Arial" w:cs="Arial" w:eastAsia="Arial" w:hAnsi="Arial"/>
          <w:sz w:val="18"/>
          <w:szCs w:val="18"/>
          <w:i w:val="1"/>
          <w:iCs w:val="1"/>
          <w:color w:val="auto"/>
        </w:rPr>
        <w:t xml:space="preserve"> Transfer Date Measurement </w:t>
      </w:r>
      <w:r>
        <w:rPr>
          <w:rFonts w:ascii="Arial" w:cs="Arial" w:eastAsia="Arial" w:hAnsi="Arial"/>
          <w:sz w:val="18"/>
          <w:szCs w:val="18"/>
          <w:color w:val="auto"/>
        </w:rPr>
        <w:t>and therefore the net assets transferred from</w:t>
      </w:r>
      <w:r>
        <w:rPr>
          <w:rFonts w:ascii="Arial" w:cs="Arial" w:eastAsia="Arial" w:hAnsi="Arial"/>
          <w:sz w:val="18"/>
          <w:szCs w:val="18"/>
          <w:i w:val="1"/>
          <w:iCs w:val="1"/>
          <w:color w:val="auto"/>
        </w:rPr>
        <w:t xml:space="preserve"> </w:t>
      </w:r>
      <w:r>
        <w:rPr>
          <w:rFonts w:ascii="Arial" w:cs="Arial" w:eastAsia="Arial" w:hAnsi="Arial"/>
          <w:sz w:val="18"/>
          <w:szCs w:val="18"/>
          <w:color w:val="auto"/>
        </w:rPr>
        <w:t>Fluent to red violet upon the Spin-off were reflected in red violet’s condensed consolidated financial statements at Fluent’s carrying values at the time of the Spin-off.</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2019.</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2018 (“2018 Form 10-K”).</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condensed consolidated balance sheet as of December 31, 2018 included herein was derived from the audited financial statements as of that date included in the 2018 Form 10-K, but does not include all disclosures required by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 For periods prior to the Spin-off, these financial statements were prepared on a consolidated and combined basis because certain of the entities were under common control.</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the Spin-off was completed on March 26, 2018, the Company has reflected the Spin-off in these financial statements as if it occurred on March 31, 2018 as the Company determined that the impact is not material to the condensed consolidated financial statements.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historical condensed consolidated and combined financial results presented prior to the Spin-off may not be indicative of the results that would have been achieved by the Company had it operated as a separate, standalone entity prior to the Spin-off. The condensed consolidated and combined financial statements presented prior to the Spin-off do not reflect any changes that may occur in the Company’s operations in connection with or as a result of the Spin-off.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31F20"/>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180"/>
        <w:spacing w:after="0" w:line="293" w:lineRule="auto"/>
        <w:rPr>
          <w:sz w:val="20"/>
          <w:szCs w:val="20"/>
          <w:color w:val="auto"/>
        </w:rPr>
      </w:pPr>
      <w:r>
        <w:rPr>
          <w:rFonts w:ascii="Arial" w:cs="Arial" w:eastAsia="Arial" w:hAnsi="Arial"/>
          <w:sz w:val="16"/>
          <w:szCs w:val="16"/>
          <w:color w:val="auto"/>
        </w:rPr>
        <w:t>In February 2016, FASB issued ASU No. 2016-02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is effective for public entities and private entities in the first quarter of 2019 and the first quarter of 2020, respectively, on a modified retrospective basis. The Company adopted Topic 842 in the first quarter of 2019. The Company recorded a right-of-use asset and a total operating lease obligation on its condensed consolidated balance sheet of approximately $3.0 million and $3.4 million, respectively, upon the adoption. Refer to Note 1(c) below for further details.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2016, FASB issued ASU No. 2016-13 (“ASU 2016-13”), “Financial Instruments - Credit Losses (Topic 326): Measurement of Credit Losses on Financial Instruments.” In November 2018, FASB issued ASU No. 2018-19, “Codification Improvements to Topic 326, Financial Instruments-Credit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public companies beginning January 1, 2020, with early adoption permitted, on a modified retrospective approach. The Company is currently evaluating the impact this guidance will have on its consolidated financial statements and related disclosures.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2018, FASB issued ASU No. 2018-15 (“ASU 2018-15”), “Intangibles—Goodwill and Other—Internal-Use Software (Subtopic 350-40): Customer's Accounting for Implementation Costs Incurred in a Cloud Computing Arrangement That Is a Service Contract,” which requires an entity (customer)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Leases</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4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a summary of the Company’s lease information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Operating lease costs</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2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xml:space="preserve">Weighted average discount rate for operating leases </w:t>
            </w:r>
            <w:r>
              <w:rPr>
                <w:rFonts w:ascii="Arial" w:cs="Arial" w:eastAsia="Arial" w:hAnsi="Arial"/>
                <w:sz w:val="15"/>
                <w:szCs w:val="15"/>
                <w:color w:val="auto"/>
              </w:rPr>
              <w:t>(1)</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bl>
    <w:p>
      <w:pPr>
        <w:spacing w:after="0" w:line="201" w:lineRule="exact"/>
        <w:rPr>
          <w:sz w:val="20"/>
          <w:szCs w:val="20"/>
          <w:color w:val="auto"/>
        </w:rPr>
      </w:pPr>
    </w:p>
    <w:p>
      <w:pPr>
        <w:ind w:left="380" w:right="10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weighted average remaining operating lease term was 5.6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As of March 31, 2019, scheduled future maturities and present value of the operating lease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maturities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Present value included in condensed consolidated balance sheet: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Loss per share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8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Prior to the Spin-off, the financial information of red violet represented the consolidated and combined figures of red violet and its subsidiaries. red violet only had 1,000 shares of common stock outstanding, all of which Fluent owned. On March 26, 2018, upon the Spin-off of red violet, an aggregate of 10,266,613 shares of red violet common stock were distributed to Fluent stockholders and certain warrant holders. This number of shares remained outstanding as of March 31, 2018 and is utilized to calculate loss per share for the three months ended March 31, 2018, as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10,267,680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total of 2,267,500 and 56,000 shares of unvested restricted stock units (“RSUs”) have been excluded from the diluted loss per share calculation for the three months ended March 31, 2019 and 2018, respectively, as the impact is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5"/>
              </w:rPr>
              <w:t>December 31, 2018</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14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2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6"/>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gross amount associated with software developed for internal use represents capitalized costs of internally-developed software, including eligible salaries and staff benefits, share-based compensation, traveling expenses incurred by relevant employees, and other relevant costs.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Amortization expenses of $554 and $373 for the three months ended March 31, 2019 and 2018, respectively, were included in depreciation and amortization expense. As of March 31, 2019, intangible assets of $4,083, included in the gross amounts of software developed for internal use, have not started amortization, as they are not ready for their intended 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Company capitalized costs of internally-developed software of $1,580 and $1,551 during the three months ended March 31, 2019 and 2018, respectively.</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2019, estimated amortization expense related to the Company’s intangible assets for the remainder of 2019 through 2023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March 31, 2019 and December 31, 2018, the balance of goodwill of $5,227 was as a result of the acquisition of Interactive Data, LLC (“Interactive Data”), a wholly-owned subsidiary of red violet, effective on October 2, 2014.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and December 31, 2018, there are no events or changes in circumstances to indicate that goodwill is impaired.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On January 1, 2018, the Company adopted ASC 606, “Revenue from Contracts with Customers,” (“Topic 606”) using the modi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6"/>
          <w:szCs w:val="16"/>
          <w:color w:val="auto"/>
        </w:rPr>
        <w:t></w:t>
      </w:r>
      <w:r>
        <w:rPr>
          <w:rFonts w:ascii="Arial" w:cs="Arial" w:eastAsia="Arial" w:hAnsi="Arial"/>
          <w:sz w:val="16"/>
          <w:szCs w:val="16"/>
          <w:color w:val="auto"/>
        </w:rPr>
        <w:t>cit as of January 1, 2018 due to the adoption of Topic 606. Revenue is recognized when control of goods or services is transferred to the Company’s customers, in an amount that re</w:t>
      </w:r>
      <w:r>
        <w:rPr>
          <w:rFonts w:ascii="Arial Unicode MS" w:cs="Arial Unicode MS" w:eastAsia="Arial Unicode MS" w:hAnsi="Arial Unicode MS"/>
          <w:sz w:val="16"/>
          <w:szCs w:val="16"/>
          <w:color w:val="auto"/>
        </w:rPr>
        <w:t></w:t>
      </w:r>
      <w:r>
        <w:rPr>
          <w:rFonts w:ascii="Arial" w:cs="Arial" w:eastAsia="Arial" w:hAnsi="Arial"/>
          <w:sz w:val="16"/>
          <w:szCs w:val="16"/>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months ended March 31, 2019, 67% of total revenue was attributable to customers with pricing contracts versus 33% attributable to transactional customers. For the three months ended March 31, 2018, 44% of total revenue was attributable to customers with pricing contracts versus 56% attributable to transactional customers. Pricing contracts are generally annual contracts or longer, with auto renewal.</w:t>
      </w:r>
    </w:p>
    <w:p>
      <w:pPr>
        <w:spacing w:after="0" w:line="181" w:lineRule="exact"/>
        <w:rPr>
          <w:sz w:val="20"/>
          <w:szCs w:val="20"/>
          <w:color w:val="auto"/>
        </w:rPr>
      </w:pPr>
    </w:p>
    <w:p>
      <w:pPr>
        <w:ind w:right="60"/>
        <w:spacing w:after="0" w:line="221" w:lineRule="exact"/>
        <w:rPr>
          <w:sz w:val="20"/>
          <w:szCs w:val="20"/>
          <w:color w:val="auto"/>
        </w:rPr>
      </w:pPr>
      <w:r>
        <w:rPr>
          <w:rFonts w:ascii="Arial" w:cs="Arial" w:eastAsia="Arial" w:hAnsi="Arial"/>
          <w:sz w:val="16"/>
          <w:szCs w:val="16"/>
          <w:color w:val="auto"/>
        </w:rPr>
        <w:t>If a customer pays consideration before the Company transfers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March 31, 2019 and December 31, 2018, the balance of deferred revenue was $49 and $26, respectively, all of which is expected to be realized in the next 12 months. In relation to the deferred revenue balance as of December 31, 2018, $16 was recognized into revenue during the three months ended March 31,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300"/>
        <w:spacing w:after="0" w:line="302" w:lineRule="auto"/>
        <w:rPr>
          <w:sz w:val="20"/>
          <w:szCs w:val="20"/>
          <w:color w:val="auto"/>
        </w:rPr>
      </w:pPr>
      <w:r>
        <w:rPr>
          <w:rFonts w:ascii="Arial" w:cs="Arial" w:eastAsia="Arial" w:hAnsi="Arial"/>
          <w:sz w:val="16"/>
          <w:szCs w:val="16"/>
          <w:color w:val="auto"/>
        </w:rPr>
        <w:t>As of March 31, 2019, $3,963 of revenue is expected to be recognized in the future for outstanding performance obligations, primarily related to pricing contracts that have a term of more than 12 months. $1,392 of revenue will be recognized in the remainder of 2019, $1,603 in 2020, and $968 in 2021.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red violet is a “C” corporation, while its subsidiaries are all limited liability companies. Before the Spin-off, red violet and its subsidiaries were consolidated with Fluent for U.S. federal income tax purposes. However, for purposes of these financial statements, the income tax provisions prior to the Spin-off were prepared assuming the entities filed separate tax returns.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effective income tax rate differed from the statutory federal income tax rate of 21% for the three months ended March 31, 2019 and 2018. For the three months ended March 31, 2019 and 2018, the effective income tax rate was 0%, and the difference is primarily the result of the full valuation allowance applied against the Company’s deferred tax assets.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2015 remain open for tax examinations.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March 31, 2019 and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March 22, 2018, the board of directors of the Company and Fluent, in its capacity as sole stockholder of red violet prior to the Spin-off, approved the Red Violet, Inc. 2018 Stock Incentive Plan, (the “2018 Plan”), which became effective immediately prior to the Spin-off.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there were 700,500 shares of common stock reserved for issuance under the 2018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Details of unvested RSUs activity during the three months ended March 31, 2019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Unvested as of December 31, 2018 </w:t>
            </w:r>
            <w:r>
              <w:rPr>
                <w:rFonts w:ascii="Arial" w:cs="Arial" w:eastAsia="Arial" w:hAnsi="Arial"/>
                <w:sz w:val="15"/>
                <w:szCs w:val="15"/>
                <w:color w:val="auto"/>
              </w:rPr>
              <w:t>(1)</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2,121,000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183,500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Vested not delivered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Unvested as of March 31, 2019</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2,267,500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60" w:hanging="372"/>
        <w:spacing w:after="0" w:line="28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September 5, 2018, the Company’s compensation committee approved the grant of an aggregate of 1,487,500 RSUs, subject to both time- and performance-based requirements, to certain of its executive officers and directors, at a grant date fair value of $7.69 per share, under the 2018 Plan, with a three-year vesting period. Such RSU grants shall not vest unless and until the Company has, for any fiscal quarter in which the RSUs are outstanding,</w:t>
      </w:r>
    </w:p>
    <w:p>
      <w:pPr>
        <w:ind w:left="600" w:hanging="214"/>
        <w:spacing w:after="0"/>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gross revenue determined in accordance with the Company’s reviewed or audited financial statements in excess of $7.0 million for such fiscal quarter,</w:t>
      </w:r>
    </w:p>
    <w:p>
      <w:pPr>
        <w:spacing w:after="0" w:line="32" w:lineRule="exact"/>
        <w:rPr>
          <w:rFonts w:ascii="Arial" w:cs="Arial" w:eastAsia="Arial" w:hAnsi="Arial"/>
          <w:sz w:val="16"/>
          <w:szCs w:val="16"/>
          <w:color w:val="auto"/>
        </w:rPr>
      </w:pPr>
    </w:p>
    <w:p>
      <w:pPr>
        <w:ind w:left="380" w:right="60" w:firstLine="6"/>
        <w:spacing w:after="0" w:line="292" w:lineRule="auto"/>
        <w:tabs>
          <w:tab w:leader="none" w:pos="645" w:val="left"/>
        </w:tabs>
        <w:numPr>
          <w:ilvl w:val="1"/>
          <w:numId w:val="4"/>
        </w:numPr>
        <w:rPr>
          <w:rFonts w:ascii="Arial" w:cs="Arial" w:eastAsia="Arial" w:hAnsi="Arial"/>
          <w:sz w:val="16"/>
          <w:szCs w:val="16"/>
          <w:color w:val="auto"/>
        </w:rPr>
      </w:pPr>
      <w:r>
        <w:rPr>
          <w:rFonts w:ascii="Arial" w:cs="Arial" w:eastAsia="Arial" w:hAnsi="Arial"/>
          <w:sz w:val="16"/>
          <w:szCs w:val="16"/>
          <w:color w:val="auto"/>
        </w:rPr>
        <w:t>positive adjusted EBITDA, as determined based on amounts derived from the Company’s reviewed or audited financial statements for such fiscal quarter, and (iii) the participant continues to provide services to the Company either as an employee, director or consultant on the last date of the quarter that the performance criteria is met (collectively, the “Performance Criteria”). If the Performance Criteria are met, the RSUs will vest one-third annually on each of July 1, 2019, July 1, 2020 and July 1, 2021 (“Time-Based Vesting Requirement”). In the event of a change of control, all RSUs which have not vested on the date of such change of control shall immediately vest even if the Performance Criteria has not been met.</w:t>
      </w:r>
    </w:p>
    <w:p>
      <w:pPr>
        <w:spacing w:after="0" w:line="162" w:lineRule="exact"/>
        <w:rPr>
          <w:rFonts w:ascii="Arial" w:cs="Arial" w:eastAsia="Arial" w:hAnsi="Arial"/>
          <w:sz w:val="16"/>
          <w:szCs w:val="16"/>
          <w:color w:val="auto"/>
        </w:rPr>
      </w:pPr>
    </w:p>
    <w:p>
      <w:pPr>
        <w:ind w:left="380" w:right="30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16, 2019, an aggregate of 183,500 RSUs were granted to certain employees of the Company, at a grant date fair value of $7.25 per share, under the 2018 Plan, with vesting periods ranging from three to four years. Among these grants, 90,000 RSUs were also subject to the Performance Criteria, as defined above.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amortization of share-based compensation expense has been recognized in relation to RSUs with Performance Criteria, because, as of March 31, 2019, the Company determined that it is not probable that the Performance Criteria will be met.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2019, unrecognized share-based compensation expense associated with the granted RSUs, excluding those RSUs with Performance Criteria, amounted to $4,197, which is expected to be recognized over a remaining weighted average period of 2.6 years.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Share-based compensation was allocated to the following accounts in the condensed consolidated financial statements for the three months ended March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34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40" w:type="dxa"/>
            <w:vAlign w:val="bottom"/>
            <w:tcBorders>
              <w:bottom w:val="single" w:sz="8" w:color="CFF0FC"/>
            </w:tcBorders>
            <w:vMerge w:val="continue"/>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amounts recorded in the three months ended March 31, 2018 included an allocation of share-based compensation related to the share-based awards granted by Fluent to Company employees or non-employees prior to the Spin-off.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7, 2018, the Company entered into an executive chairman services agreement with Mr. Brauser, the then Executive Chairman of the Company, pursuant to which Mr. Brauser will be providing recommendations on organizational and capital structure, future acquisitions and strategic transactions (“Services Agreement”), for a term of one year, automatically renewing for additional one-year periods unless either party provides written notice to the other of its intent not to renew not fewer than 30 days prior to the expiration of the then current term. Mr. Brauser remains a consultant to the Company and continues to provide services under the existing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$90 during the three months ended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by Fluent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Contribution by Fluent represents cash funding provided or the portion of certain expenses allocated by Fluent to red violet, on or prior to the Spin-off.</w:t>
      </w:r>
    </w:p>
    <w:p>
      <w:pPr>
        <w:spacing w:after="0" w:line="23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These allocated expenses are primarily corporate employee salaries and benefits of the functional groups (inclusive of executive management, accounting, administrative and information technology) and corporate administrative expenses (inclusive of legal services, accounting and finance services and other corporate and infrastructure services). Corporate employee salaries and benefits were allocated on the basis of time spent, and corporate administrative expenses were allocated on the basis of relative percentage of services utilized or benefit received. red violet recorded expenses of $325 for the three months ended March 31, 2018 as a result of the allocation of expenses from Fluent. Upon the Spin-off, Fluent no longer allocates any expenses to red violet.</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share-based compensation of $344, relating to the share-based awards granted by Fluent prior to the Spin-off, was recorded during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incurred data costs of $1,688 and $1,241 for the three months ended March 31, 2019 and 2018, respectively, under certain data licensing agreements. As of March 31, 2019, material capital commitments under certain data licensing agreements were $20,275, shown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21, 2018, the U.S. Supreme Court in South Dakota v. Wayfair, Inc. et al, overturned prior law which required physical presence for nexus and endorsed economic nexus as a basis for South Dakota to require online merchants to collect and remit sales taxes, even if the business does not have an in-state physical presence (the "Wayfair Decision"). As of March 31, 2019, more than thirty states have enacted their own interpretation of the Wayfair Decision. The Company collects and remits sales tax in certain states, as a result of the Wayfair Decision and as a result of its continued overall compliance and review practice related to its sales and use tax obligations. In addition, the Company is currently undergoing a state sales and use tax examination. Based upon its analysis of potential sales and use tax labilities, the Company determined that there were no matters that required an accrual as of the balance sheet date, March 31, 2019. In addition, the Company does not believe that any adverse decision regarding sales and use tax lability would result in any material impact on its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3" w:name="page14"/>
    <w:bookmarkEnd w:id="13"/>
    <w:p>
      <w:pPr>
        <w:spacing w:after="0" w:line="279" w:lineRule="auto"/>
        <w:rPr>
          <w:sz w:val="20"/>
          <w:szCs w:val="20"/>
          <w:color w:val="auto"/>
        </w:rPr>
      </w:pPr>
      <w:r>
        <w:rPr>
          <w:rFonts w:ascii="Arial" w:cs="Arial" w:eastAsia="Arial" w:hAnsi="Arial"/>
          <w:sz w:val="17"/>
          <w:szCs w:val="17"/>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01"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Quarterly Report on Form 10-Q, as well as the disclosures made in the Company’s Annual Report on Form 10-K for the year ended December 31, 2018 filed on March 7, 2019 (“2018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are building out our sales organization to drive current products and to introduce new products into the market place. We will incur increased compensation expenses relating to our sales and marketing, support, administrative, infrastructure, and engineering-related personnel as we increase headcount in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discussion and analysis to “we,” “us,” “our,” “red violet,” or the “Company,” refer to Red Violet, Inc. and its consolidated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dedicated to making the world a safer place and reducing the cost of doing business. We specialize in big data analysis, providing cloud-based, mission-critical solutions to enterprises in a variety of industries.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the collection industry,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2019, idiCORE had over 4,000 customers and FOREWARN had over 15,400 users.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67% of total revenue for the three months ended March 31,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ind w:right="60"/>
        <w:spacing w:after="0" w:line="293" w:lineRule="auto"/>
        <w:rPr>
          <w:sz w:val="20"/>
          <w:szCs w:val="20"/>
          <w:color w:val="auto"/>
        </w:rPr>
      </w:pPr>
      <w:r>
        <w:rPr>
          <w:rFonts w:ascii="Arial" w:cs="Arial" w:eastAsia="Arial" w:hAnsi="Arial"/>
          <w:sz w:val="16"/>
          <w:szCs w:val="16"/>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26, 2018, Fluent, Inc. (“Fluent”) spun off its risk management business by way of a distribution of all of the shares of common stock of its then wholly-owned subsidiary, red violet, to its stockholders as of the record date and certain warrant holders (the “Spin-off”). Upon the Spin-off, red violet owned Fluent subsidiaries that previously operated Fluent’s risk management business, and red violet became an independent public company. For periods prior to the Spin-off, these financial statements were prepared on a consolidated and combined basis because certain of the entities were under common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additional information, please refer to our 2018 Form 10-K. There have been no material changes to Critical Accounting Policies and Estimates disclosed in our 2018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as compared to the three months ended March 31, 2018:</w:t>
      </w:r>
    </w:p>
    <w:p>
      <w:pPr>
        <w:spacing w:after="0" w:line="22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72% to $5.7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improved by $0.7 million to $1.4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per share improved by $0.07 to $0.13.</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profit increased 134% to $3.1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margin increased to 53% from 39%.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improved by $1.0 million to negative $0.4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and write-off of long-lived assets, as noted in the tables below. We define adjusted gross profit as revenue less cost of revenue (exclusive of depreciation and amortization), and adjusted gross margin as adjusted gross profit as a percentage of revenue.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5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Interest income, net</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w:t>
            </w:r>
          </w:p>
        </w:tc>
        <w:tc>
          <w:tcPr>
            <w:tcW w:w="1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w:t>
            </w:r>
          </w:p>
        </w:tc>
        <w:tc>
          <w:tcPr>
            <w:tcW w:w="15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5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5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gross profit</w:t>
            </w:r>
          </w:p>
        </w:tc>
        <w:tc>
          <w:tcPr>
            <w:tcW w:w="15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3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Adjusted gross margin</w:t>
            </w:r>
          </w:p>
        </w:tc>
        <w:tc>
          <w:tcPr>
            <w:tcW w:w="1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present adjusted EBITDA, adjusted gross profit and adjusted gross margin as supplemental measures of our operating performance because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of our business, evaluate the performance of our senior management and measure the operating strength of our business.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Adjusted EBITDA, adjusted gross profit and adjusted gross margin are measures frequently used by securities analysts, investors and other interested parties in their evaluation of the operating performance of companies similar to ours and are indicators of the operational strength of our business. Adjusted EBITDA eliminates the uneven effect of considerable amounts of non-cash depreciation and amortization, share-based compensation expense and the impact of other items. Adjusted gross profit and adjusted gross margin are calculated by using cost of revenue (exclusive of depreciation and amortization).</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Adjusted EBITDA, adjusted gross profit and adjusted gross margin are not intended to be performance measures that should be regarded as an alternative to, or more meaningful than, either loss before income taxes or net loss as indicators of operating performance or to cash flows from operating activities as a measure of liquidity.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 Revenue increased $2.4 million or 72% to $5.7 million for the three months ended March 31, 2019 from $3.3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2018. This increase was driven by strong growth in volume from onboarding of new customers and usage from existing customers. Our idiCORE billable customer base grew from approximately 2,900 customers as of March 31, 2018 to 4,000 customers as of March 31, 2019.</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increased $0.7 million or 32% to $2.7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2019 from $2.0 million for the three months ended March 31, 2018. Our cost of revenue primarily includes data acquisition costs. Data acquisition costs consist primarily of the costs to acquire data either on a transactional basis or through flat-fee data licensing agreements, including unlimited usage agreements. We continue to expand our relationships with our key data suppliers, including our largest data supplier which accounted for approximately 41% of our total data acquisition costs for the three months ended March 31, 2019 compared to approximately 48% for the three months ended March 31, 2018. Other cost of revenue items include expenses related to third-party infrastructure fees.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47% for the three months ended March 31, 2019 from 61% for the three months ended March 31,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sectPr>
      </w:pPr>
    </w:p>
    <w:bookmarkStart w:id="17" w:name="page18"/>
    <w:bookmarkEnd w:id="17"/>
    <w:p>
      <w:pPr>
        <w:ind w:right="60"/>
        <w:spacing w:after="0" w:line="276" w:lineRule="auto"/>
        <w:rPr>
          <w:sz w:val="20"/>
          <w:szCs w:val="20"/>
          <w:color w:val="auto"/>
        </w:rPr>
      </w:pPr>
      <w:r>
        <w:rPr>
          <w:rFonts w:ascii="Arial" w:cs="Arial" w:eastAsia="Arial" w:hAnsi="Arial"/>
          <w:sz w:val="17"/>
          <w:szCs w:val="17"/>
          <w:b w:val="1"/>
          <w:bCs w:val="1"/>
          <w:i w:val="1"/>
          <w:iCs w:val="1"/>
          <w:color w:val="auto"/>
        </w:rPr>
        <w:t>Sales and marketing expenses</w:t>
      </w:r>
      <w:r>
        <w:rPr>
          <w:rFonts w:ascii="Arial" w:cs="Arial" w:eastAsia="Arial" w:hAnsi="Arial"/>
          <w:sz w:val="17"/>
          <w:szCs w:val="17"/>
          <w:color w:val="auto"/>
        </w:rPr>
        <w:t>. Sales and marketing expenses increased $0.4 million or 38% to $1.5 million for the three months ended March 31, 2019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 million for the three months ended March 31, 2018. Sales and marketing expenses consist of salaries and benefits, advertising and marketing, traveling expenses, and share-based compensation expense, incurred by our sales team, and provision for (recovery of) bad debts. The increase in the three months ended March 31, 2019 was primarily attributable to the increase in salaries and benefits resulting from increased headcount as we continue to invest in the expansion of our sales organization, and the increase in provision for bad debts.</w:t>
      </w:r>
    </w:p>
    <w:p>
      <w:pPr>
        <w:spacing w:after="0" w:line="1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$0.5 million or 28% to $2.4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2019 from $1.9 million for the three months ended March 31, 2018. For the three months ended March 31, 2019 and 2018, our general and administrative expenses consisted primarily of employee salaries and benefits of $1.0 million and $0.8 million, share-based compensation expense of $0.2 million and $0.1 million, and professional fees of $0.7 million and $0.5 million, respectively.</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$0.1 million or 37% to $0.6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from $0.5 million for the three months ended March 31, 2018. The increase in depreciation and amortization for the three months ended March 31, 2019 resulted from the amortization of software developed for internal use that became ready for its intended use after the first quarter of 2018.</w:t>
      </w:r>
    </w:p>
    <w:p>
      <w:pPr>
        <w:spacing w:after="0" w:line="14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Loss before income taxes</w:t>
      </w:r>
      <w:r>
        <w:rPr>
          <w:rFonts w:ascii="Arial" w:cs="Arial" w:eastAsia="Arial" w:hAnsi="Arial"/>
          <w:sz w:val="16"/>
          <w:szCs w:val="16"/>
          <w:color w:val="auto"/>
        </w:rPr>
        <w:t>. We had a loss before income taxes of $1.4 million for the three months ended March 31, 2019 as compared to $2.1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The decrease in loss before income taxes resulted from the increase in revenue and the decrease in our cost of revenue as a percentage of revenue, which were partially offset by the increases in salaries and benefits, professional fees and depreciation and amortization.</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three months ended March 31, 2019 and 2018.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March 31, 2019 and 2018. See Note 6, “Income Taxes,” included in “Notes to Condensed Consolidated Financial Statements,” for details.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$1.4 million was recognized for the three months ended March 31, 2019 as compared to $2.1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2018, as a result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Cash flows used in operating activities</w:t>
      </w:r>
      <w:r>
        <w:rPr>
          <w:rFonts w:ascii="Arial" w:cs="Arial" w:eastAsia="Arial" w:hAnsi="Arial"/>
          <w:sz w:val="17"/>
          <w:szCs w:val="17"/>
          <w:color w:val="auto"/>
        </w:rPr>
        <w:t>. For the three months ended March 31, 2019, net cash used in operating activities was $1.2 million, primarily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net loss of $1.4 million, adjusted for certain non-cash items (consisting of share-based compensation expense, depreciation and amortization, write-off of long-lived assets, provision for (recovery of) bad debts and noncash lease expenses) totaling $1.2 million, and the cash used in net working capital of $1.0 million, primarily the result of the increase in accounts receivable, following the increase in revenue, and prepaid expenses and other current assets, and the decrease in operating lease liabilities. For the three months ended March 31, 2018, net cash used in operating activities was $2.8 million, primarily the result of the net loss of $2.1 million, adjusted for certain non-cash items of an aggregate of $0.9 million, and the cash used in net working capital of $1.7 million, primarily the result of the increase in accounts receivable and prepaid expenses and other current assets, and the decrease in accrued expenses and other current liabilities.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Net cash used in investing activities for the three months ended March 31, 2019 and 2018 was $1.4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capitalized costs included in intangible assets for the corresponding periods.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Cash flows provided by financing activities</w:t>
      </w:r>
      <w:r>
        <w:rPr>
          <w:rFonts w:ascii="Arial" w:cs="Arial" w:eastAsia="Arial" w:hAnsi="Arial"/>
          <w:sz w:val="18"/>
          <w:szCs w:val="18"/>
          <w:color w:val="auto"/>
        </w:rPr>
        <w:t>. Net cash provided by financing activities for the three months ended March 31, 2018 was $23.9 million (inclusive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$20.0 million cash contribution by Fluent to red violet upon the Spin-off) as a result of capital contributed by Fluent during the corresponding period. We had no cash flows used in/provided by financing activities for the three months ended March 31, 2019.</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2019, we had material commitments under certain data licensing agreements of $20.3 million. We anticipate funding our operations using available cash and cash flow generated from operations within the next twelve months.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reported net loss of $1.4 million and $2.1 million for the three months ended March 31, 2019 and 2018, respectively. As of March 31, 2019, we had a total shareholders’ equity balance of $35.3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As of March 31, 2019, we had cash and cash equivalents of approximately $7.3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 Subject to revenue growth, we may have to raise capital through the issuance of additional equity and/or debt, which, if we are able to obtain, could have the effect of diluting stockholders. Any equity or debt financings, if available at all, may be on terms which are not favorable to us. If our operations do not generate positive cash flow in the upcoming year, or if we are not able to obtain additional equity or debt financing on terms and conditions acceptable to us, if at all, we may be unable to implement our business plan, or even continue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did not have any off-balance sheet arrangements, as defined in Item 303(a)(4)(ii) of Regulation S-K.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as defined in Rule 12b-2 of the Exchange Act, we are not required to include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March 31, 2019.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first quarter of 2019 that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2018 filed with the Securities and Exchange Commission on March 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Incorporated by Reference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12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Exhibit No.</w:t>
            </w:r>
          </w:p>
        </w:tc>
        <w:tc>
          <w:tcPr>
            <w:tcW w:w="4380" w:type="dxa"/>
            <w:vAlign w:val="bottom"/>
            <w:gridSpan w:val="9"/>
          </w:tcPr>
          <w:p>
            <w:pPr>
              <w:spacing w:after="0" w:line="143"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60" w:type="dxa"/>
            <w:vAlign w:val="bottom"/>
          </w:tcPr>
          <w:p>
            <w:pPr>
              <w:spacing w:after="0" w:line="143" w:lineRule="exact"/>
              <w:rPr>
                <w:sz w:val="20"/>
                <w:szCs w:val="20"/>
                <w:color w:val="auto"/>
              </w:rPr>
            </w:pPr>
            <w:r>
              <w:rPr>
                <w:rFonts w:ascii="Arial" w:cs="Arial" w:eastAsia="Arial" w:hAnsi="Arial"/>
                <w:sz w:val="13"/>
                <w:szCs w:val="13"/>
                <w:b w:val="1"/>
                <w:bCs w:val="1"/>
                <w:color w:val="auto"/>
              </w:rPr>
              <w:t>Form</w:t>
            </w:r>
          </w:p>
        </w:tc>
        <w:tc>
          <w:tcPr>
            <w:tcW w:w="60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w w:val="97"/>
              </w:rPr>
              <w:t>File No.</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Exhibit</w:t>
            </w:r>
          </w:p>
        </w:tc>
        <w:tc>
          <w:tcPr>
            <w:tcW w:w="1360" w:type="dxa"/>
            <w:vAlign w:val="bottom"/>
          </w:tcPr>
          <w:p>
            <w:pPr>
              <w:spacing w:after="0" w:line="143"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96"/>
        </w:trPr>
        <w:tc>
          <w:tcPr>
            <w:tcW w:w="1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17"/>
                <w:szCs w:val="17"/>
                <w:color w:val="auto"/>
              </w:rPr>
            </w:pPr>
          </w:p>
        </w:tc>
        <w:tc>
          <w:tcPr>
            <w:tcW w:w="4120" w:type="dxa"/>
            <w:vAlign w:val="bottom"/>
            <w:tcBorders>
              <w:top w:val="single" w:sz="8" w:color="auto"/>
              <w:bottom w:val="single" w:sz="8" w:color="0000EE"/>
            </w:tcBorders>
            <w:gridSpan w:val="7"/>
          </w:tcPr>
          <w:p>
            <w:pPr>
              <w:spacing w:after="0"/>
              <w:rPr>
                <w:rFonts w:ascii="Arial" w:cs="Arial" w:eastAsia="Arial" w:hAnsi="Arial"/>
                <w:sz w:val="14"/>
                <w:szCs w:val="14"/>
                <w:color w:val="0000EE"/>
                <w:w w:val="95"/>
              </w:rPr>
            </w:pPr>
            <w:hyperlink w:anchor="page24">
              <w:r>
                <w:rPr>
                  <w:rFonts w:ascii="Arial" w:cs="Arial" w:eastAsia="Arial" w:hAnsi="Arial"/>
                  <w:sz w:val="14"/>
                  <w:szCs w:val="14"/>
                  <w:color w:val="0000EE"/>
                  <w:w w:val="95"/>
                </w:rPr>
                <w:t>Certification of Chief Executive Officer filed pursuant to Exchange Act</w:t>
              </w:r>
            </w:hyperlink>
          </w:p>
        </w:tc>
        <w:tc>
          <w:tcPr>
            <w:tcW w:w="26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9"/>
          </w:tcPr>
          <w:p>
            <w:pPr>
              <w:spacing w:after="0" w:line="129" w:lineRule="exact"/>
              <w:rPr>
                <w:rFonts w:ascii="Arial" w:cs="Arial" w:eastAsia="Arial" w:hAnsi="Arial"/>
                <w:sz w:val="14"/>
                <w:szCs w:val="14"/>
                <w:color w:val="0000EE"/>
                <w:w w:val="93"/>
              </w:rPr>
            </w:pPr>
            <w:hyperlink w:anchor="page24">
              <w:r>
                <w:rPr>
                  <w:rFonts w:ascii="Arial" w:cs="Arial" w:eastAsia="Arial" w:hAnsi="Arial"/>
                  <w:sz w:val="14"/>
                  <w:szCs w:val="14"/>
                  <w:color w:val="0000EE"/>
                  <w:w w:val="93"/>
                </w:rPr>
                <w:t>Rules 13a-14(a) and 15d-14(a) of the Securities and Exchange Act of 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1"/>
                <w:szCs w:val="11"/>
                <w:color w:val="auto"/>
              </w:rPr>
            </w:pPr>
          </w:p>
        </w:tc>
        <w:tc>
          <w:tcPr>
            <w:tcW w:w="4300" w:type="dxa"/>
            <w:vAlign w:val="bottom"/>
            <w:tcBorders>
              <w:top w:val="single" w:sz="8" w:color="0000EE"/>
            </w:tcBorders>
            <w:gridSpan w:val="8"/>
          </w:tcPr>
          <w:p>
            <w:pPr>
              <w:spacing w:after="0" w:line="129" w:lineRule="exact"/>
              <w:rPr>
                <w:rFonts w:ascii="Arial" w:cs="Arial" w:eastAsia="Arial" w:hAnsi="Arial"/>
                <w:sz w:val="14"/>
                <w:szCs w:val="14"/>
                <w:color w:val="0000EE"/>
                <w:w w:val="96"/>
              </w:rPr>
            </w:pPr>
            <w:hyperlink w:anchor="page24">
              <w:r>
                <w:rPr>
                  <w:rFonts w:ascii="Arial" w:cs="Arial" w:eastAsia="Arial" w:hAnsi="Arial"/>
                  <w:sz w:val="14"/>
                  <w:szCs w:val="14"/>
                  <w:color w:val="0000EE"/>
                  <w:w w:val="96"/>
                </w:rPr>
                <w:t>as adopted pursuant to Section 302 of the Sarbanes-Oxley Act of 2002.</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100" w:type="dxa"/>
            <w:vAlign w:val="bottom"/>
            <w:tcBorders>
              <w:top w:val="single" w:sz="8" w:color="0000EE"/>
            </w:tcBorders>
            <w:gridSpan w:val="6"/>
          </w:tcPr>
          <w:p>
            <w:pPr>
              <w:spacing w:after="0" w:line="142" w:lineRule="exact"/>
              <w:rPr>
                <w:rFonts w:ascii="Arial" w:cs="Arial" w:eastAsia="Arial" w:hAnsi="Arial"/>
                <w:sz w:val="14"/>
                <w:szCs w:val="14"/>
                <w:color w:val="0000EE"/>
                <w:w w:val="96"/>
              </w:rPr>
            </w:pPr>
            <w:hyperlink w:anchor="page25">
              <w:r>
                <w:rPr>
                  <w:rFonts w:ascii="Arial" w:cs="Arial" w:eastAsia="Arial" w:hAnsi="Arial"/>
                  <w:sz w:val="14"/>
                  <w:szCs w:val="14"/>
                  <w:color w:val="0000EE"/>
                  <w:w w:val="96"/>
                </w:rPr>
                <w:t>Certification of Chief Financial Officer filed pursuant to Exchange Act</w:t>
              </w:r>
            </w:hyperlink>
          </w:p>
        </w:tc>
        <w:tc>
          <w:tcPr>
            <w:tcW w:w="2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80" w:type="dxa"/>
            <w:vAlign w:val="bottom"/>
            <w:tcBorders>
              <w:top w:val="single" w:sz="8" w:color="0000EE"/>
            </w:tcBorders>
            <w:gridSpan w:val="5"/>
          </w:tcPr>
          <w:p>
            <w:pPr>
              <w:spacing w:after="0" w:line="129" w:lineRule="exact"/>
              <w:rPr>
                <w:rFonts w:ascii="Arial" w:cs="Arial" w:eastAsia="Arial" w:hAnsi="Arial"/>
                <w:sz w:val="14"/>
                <w:szCs w:val="14"/>
                <w:color w:val="0000EE"/>
                <w:w w:val="94"/>
              </w:rPr>
            </w:pPr>
            <w:hyperlink w:anchor="page25">
              <w:r>
                <w:rPr>
                  <w:rFonts w:ascii="Arial" w:cs="Arial" w:eastAsia="Arial" w:hAnsi="Arial"/>
                  <w:sz w:val="14"/>
                  <w:szCs w:val="14"/>
                  <w:color w:val="0000EE"/>
                  <w:w w:val="94"/>
                </w:rPr>
                <w:t>Rules 13a-14(a) and 15d-14(a) of the Securities and Exchange Act of</w:t>
              </w:r>
            </w:hyperlink>
          </w:p>
        </w:tc>
        <w:tc>
          <w:tcPr>
            <w:tcW w:w="300" w:type="dxa"/>
            <w:vAlign w:val="bottom"/>
            <w:gridSpan w:val="4"/>
          </w:tcPr>
          <w:p>
            <w:pPr>
              <w:jc w:val="right"/>
              <w:ind w:right="80"/>
              <w:spacing w:after="0" w:line="129" w:lineRule="exact"/>
              <w:rPr>
                <w:rFonts w:ascii="Arial" w:cs="Arial" w:eastAsia="Arial" w:hAnsi="Arial"/>
                <w:sz w:val="12"/>
                <w:szCs w:val="12"/>
                <w:color w:val="0000EE"/>
                <w:w w:val="74"/>
              </w:rPr>
            </w:pPr>
            <w:hyperlink w:anchor="page25">
              <w:r>
                <w:rPr>
                  <w:rFonts w:ascii="Arial" w:cs="Arial" w:eastAsia="Arial" w:hAnsi="Arial"/>
                  <w:sz w:val="12"/>
                  <w:szCs w:val="12"/>
                  <w:color w:val="0000EE"/>
                  <w:w w:val="74"/>
                </w:rPr>
                <w:t>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1"/>
                <w:szCs w:val="11"/>
                <w:color w:val="auto"/>
              </w:rPr>
            </w:pPr>
          </w:p>
        </w:tc>
        <w:tc>
          <w:tcPr>
            <w:tcW w:w="4300" w:type="dxa"/>
            <w:vAlign w:val="bottom"/>
            <w:tcBorders>
              <w:top w:val="single" w:sz="8" w:color="0000EE"/>
            </w:tcBorders>
            <w:gridSpan w:val="8"/>
          </w:tcPr>
          <w:p>
            <w:pPr>
              <w:spacing w:after="0" w:line="129" w:lineRule="exact"/>
              <w:rPr>
                <w:rFonts w:ascii="Arial" w:cs="Arial" w:eastAsia="Arial" w:hAnsi="Arial"/>
                <w:sz w:val="14"/>
                <w:szCs w:val="14"/>
                <w:color w:val="0000EE"/>
                <w:w w:val="96"/>
              </w:rPr>
            </w:pPr>
            <w:hyperlink w:anchor="page25">
              <w:r>
                <w:rPr>
                  <w:rFonts w:ascii="Arial" w:cs="Arial" w:eastAsia="Arial" w:hAnsi="Arial"/>
                  <w:sz w:val="14"/>
                  <w:szCs w:val="14"/>
                  <w:color w:val="0000EE"/>
                  <w:w w:val="96"/>
                </w:rPr>
                <w:t>as adopted pursuant to Section 302 of the Sarbanes-Oxley Act of 2002</w:t>
              </w:r>
              <w:r>
                <w:rPr>
                  <w:rFonts w:ascii="Arial" w:cs="Arial" w:eastAsia="Arial" w:hAnsi="Arial"/>
                  <w:sz w:val="14"/>
                  <w:szCs w:val="14"/>
                  <w:u w:val="single" w:color="auto"/>
                  <w:color w:val="000000"/>
                  <w:w w:val="96"/>
                </w:rPr>
                <w:t>.</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3"/>
          </w:tcPr>
          <w:p>
            <w:pPr>
              <w:spacing w:after="0" w:line="142" w:lineRule="exact"/>
              <w:rPr>
                <w:rFonts w:ascii="Arial" w:cs="Arial" w:eastAsia="Arial" w:hAnsi="Arial"/>
                <w:sz w:val="14"/>
                <w:szCs w:val="14"/>
                <w:color w:val="0000EE"/>
                <w:w w:val="93"/>
              </w:rPr>
            </w:pPr>
            <w:hyperlink w:anchor="page26">
              <w:r>
                <w:rPr>
                  <w:rFonts w:ascii="Arial" w:cs="Arial" w:eastAsia="Arial" w:hAnsi="Arial"/>
                  <w:sz w:val="14"/>
                  <w:szCs w:val="14"/>
                  <w:color w:val="0000EE"/>
                  <w:w w:val="93"/>
                </w:rPr>
                <w:t>Certification by Chief Executive Officer pursuant to 18 U.S.C. Section</w:t>
              </w:r>
            </w:hyperlink>
          </w:p>
        </w:tc>
        <w:tc>
          <w:tcPr>
            <w:tcW w:w="20" w:type="dxa"/>
            <w:vAlign w:val="bottom"/>
            <w:tcBorders>
              <w:bottom w:val="single" w:sz="8" w:color="0000EE"/>
            </w:tcBorders>
          </w:tcPr>
          <w:p>
            <w:pPr>
              <w:spacing w:after="0"/>
              <w:rPr>
                <w:sz w:val="12"/>
                <w:szCs w:val="12"/>
                <w:color w:val="auto"/>
              </w:rPr>
            </w:pPr>
          </w:p>
        </w:tc>
        <w:tc>
          <w:tcPr>
            <w:tcW w:w="32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60" w:type="dxa"/>
            <w:vAlign w:val="bottom"/>
            <w:gridSpan w:val="4"/>
          </w:tcPr>
          <w:p>
            <w:pPr>
              <w:spacing w:after="0" w:line="129" w:lineRule="exact"/>
              <w:rPr>
                <w:rFonts w:ascii="Arial" w:cs="Arial" w:eastAsia="Arial" w:hAnsi="Arial"/>
                <w:sz w:val="14"/>
                <w:szCs w:val="14"/>
                <w:color w:val="0000EE"/>
                <w:w w:val="91"/>
              </w:rPr>
            </w:pPr>
            <w:hyperlink w:anchor="page26">
              <w:r>
                <w:rPr>
                  <w:rFonts w:ascii="Arial" w:cs="Arial" w:eastAsia="Arial" w:hAnsi="Arial"/>
                  <w:sz w:val="14"/>
                  <w:szCs w:val="14"/>
                  <w:color w:val="0000EE"/>
                  <w:w w:val="91"/>
                </w:rPr>
                <w:t>1350, as adopted pursuant to Section 906 of the Sarbanes-Oxley Act of</w:t>
              </w:r>
            </w:hyperlink>
          </w:p>
        </w:tc>
        <w:tc>
          <w:tcPr>
            <w:tcW w:w="320" w:type="dxa"/>
            <w:vAlign w:val="bottom"/>
            <w:gridSpan w:val="5"/>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vMerge w:val="restart"/>
          </w:tcPr>
          <w:p>
            <w:pPr>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11"/>
                <w:szCs w:val="11"/>
                <w:color w:val="auto"/>
              </w:rPr>
            </w:pPr>
          </w:p>
        </w:tc>
        <w:tc>
          <w:tcPr>
            <w:tcW w:w="402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2002</w:t>
              </w:r>
              <w:r>
                <w:rPr>
                  <w:rFonts w:ascii="Arial" w:cs="Arial" w:eastAsia="Arial" w:hAnsi="Arial"/>
                  <w:sz w:val="14"/>
                  <w:szCs w:val="14"/>
                  <w:color w:val="000000"/>
                </w:rPr>
                <w:t>.</w:t>
              </w:r>
            </w:hyperlink>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9"/>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Certification by Chief Financial Officer pursuant to 18 U.S.C. Section</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9"/>
          </w:tcPr>
          <w:p>
            <w:pPr>
              <w:spacing w:after="0" w:line="129" w:lineRule="exact"/>
              <w:rPr>
                <w:rFonts w:ascii="Arial" w:cs="Arial" w:eastAsia="Arial" w:hAnsi="Arial"/>
                <w:sz w:val="14"/>
                <w:szCs w:val="14"/>
                <w:color w:val="0000EE"/>
                <w:w w:val="98"/>
              </w:rPr>
            </w:pPr>
            <w:hyperlink w:anchor="page27">
              <w:r>
                <w:rPr>
                  <w:rFonts w:ascii="Arial" w:cs="Arial" w:eastAsia="Arial" w:hAnsi="Arial"/>
                  <w:sz w:val="14"/>
                  <w:szCs w:val="14"/>
                  <w:color w:val="0000EE"/>
                  <w:w w:val="98"/>
                </w:rPr>
                <w:t>1350, as adopted pursuant to Section 906 of the Sarbanes-Oxley Act of</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2002</w:t>
              </w:r>
              <w:r>
                <w:rPr>
                  <w:rFonts w:ascii="Arial" w:cs="Arial" w:eastAsia="Arial" w:hAnsi="Arial"/>
                  <w:sz w:val="14"/>
                  <w:szCs w:val="14"/>
                  <w:color w:val="000000"/>
                </w:rPr>
                <w:t>.</w:t>
              </w:r>
            </w:hyperlink>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101.INS</w:t>
            </w:r>
          </w:p>
        </w:tc>
        <w:tc>
          <w:tcPr>
            <w:tcW w:w="280" w:type="dxa"/>
            <w:vAlign w:val="bottom"/>
            <w:shd w:val="clear" w:color="auto" w:fill="0000EE"/>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line="20" w:lineRule="exact"/>
              <w:rPr>
                <w:sz w:val="1"/>
                <w:szCs w:val="1"/>
                <w:color w:val="auto"/>
              </w:rPr>
            </w:pPr>
          </w:p>
        </w:tc>
      </w:tr>
      <w:tr>
        <w:trPr>
          <w:trHeight w:val="150"/>
        </w:trPr>
        <w:tc>
          <w:tcPr>
            <w:tcW w:w="1260" w:type="dxa"/>
            <w:vAlign w:val="bottom"/>
            <w:gridSpan w:val="2"/>
            <w:vMerge w:val="continue"/>
          </w:tcPr>
          <w:p>
            <w:pPr>
              <w:spacing w:after="0"/>
              <w:rPr>
                <w:sz w:val="13"/>
                <w:szCs w:val="13"/>
                <w:color w:val="auto"/>
              </w:rPr>
            </w:pPr>
          </w:p>
        </w:tc>
        <w:tc>
          <w:tcPr>
            <w:tcW w:w="4380" w:type="dxa"/>
            <w:vAlign w:val="bottom"/>
            <w:gridSpan w:val="9"/>
          </w:tcPr>
          <w:p>
            <w:pPr>
              <w:spacing w:after="0" w:line="151" w:lineRule="exact"/>
              <w:rPr>
                <w:sz w:val="20"/>
                <w:szCs w:val="20"/>
                <w:color w:val="auto"/>
              </w:rPr>
            </w:pPr>
            <w:r>
              <w:rPr>
                <w:rFonts w:ascii="Arial" w:cs="Arial" w:eastAsia="Arial" w:hAnsi="Arial"/>
                <w:sz w:val="14"/>
                <w:szCs w:val="14"/>
                <w:color w:val="auto"/>
              </w:rPr>
              <w:t>XBRL Instance Document</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4380" w:type="dxa"/>
            <w:vAlign w:val="bottom"/>
            <w:gridSpan w:val="9"/>
          </w:tcPr>
          <w:p>
            <w:pPr>
              <w:spacing w:after="0"/>
              <w:rPr>
                <w:sz w:val="20"/>
                <w:szCs w:val="20"/>
                <w:color w:val="auto"/>
              </w:rPr>
            </w:pPr>
            <w:r>
              <w:rPr>
                <w:rFonts w:ascii="Arial" w:cs="Arial" w:eastAsia="Arial" w:hAnsi="Arial"/>
                <w:sz w:val="14"/>
                <w:szCs w:val="14"/>
                <w:color w:val="auto"/>
              </w:rPr>
              <w:t>XBRL Taxonomy Extension Schema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4380" w:type="dxa"/>
            <w:vAlign w:val="bottom"/>
            <w:gridSpan w:val="9"/>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4380" w:type="dxa"/>
            <w:vAlign w:val="bottom"/>
            <w:gridSpan w:val="9"/>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4380" w:type="dxa"/>
            <w:vAlign w:val="bottom"/>
            <w:gridSpan w:val="9"/>
          </w:tcPr>
          <w:p>
            <w:pPr>
              <w:spacing w:after="0"/>
              <w:rPr>
                <w:sz w:val="20"/>
                <w:szCs w:val="20"/>
                <w:color w:val="auto"/>
              </w:rPr>
            </w:pPr>
            <w:r>
              <w:rPr>
                <w:rFonts w:ascii="Arial" w:cs="Arial" w:eastAsia="Arial" w:hAnsi="Arial"/>
                <w:sz w:val="14"/>
                <w:szCs w:val="14"/>
                <w:color w:val="auto"/>
              </w:rPr>
              <w:t>XBRL Taxonomy Extension Label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2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4380" w:type="dxa"/>
            <w:vAlign w:val="bottom"/>
            <w:gridSpan w:val="9"/>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260" w:right="40" w:hanging="1252"/>
        <w:spacing w:after="0" w:line="253" w:lineRule="auto"/>
        <w:tabs>
          <w:tab w:leader="none" w:pos="1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Red Violet, Inc.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2019</w:t>
      </w:r>
    </w:p>
    <w:p>
      <w:pPr>
        <w:spacing w:after="0" w:line="23" w:lineRule="exact"/>
        <w:rPr>
          <w:sz w:val="20"/>
          <w:szCs w:val="20"/>
          <w:color w:val="auto"/>
        </w:rPr>
      </w:pPr>
    </w:p>
    <w:p>
      <w:pPr>
        <w:ind w:left="68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073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8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Jacky Wang</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Jacky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121"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May 7, 2019</w:t>
      </w:r>
      <w:r>
        <w:rPr>
          <w:sz w:val="20"/>
          <w:szCs w:val="20"/>
          <w:color w:val="auto"/>
        </w:rPr>
        <w:tab/>
      </w:r>
      <w:r>
        <w:rPr>
          <w:rFonts w:ascii="Arial" w:cs="Arial" w:eastAsia="Arial" w:hAnsi="Arial"/>
          <w:sz w:val="16"/>
          <w:szCs w:val="16"/>
          <w:color w:val="auto"/>
        </w:rPr>
        <w:t>By:  /s/ Derek Dubner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May 7, 2019</w:t>
      </w:r>
      <w:r>
        <w:rPr>
          <w:sz w:val="20"/>
          <w:szCs w:val="20"/>
          <w:color w:val="auto"/>
        </w:rPr>
        <w:tab/>
      </w:r>
      <w:r>
        <w:rPr>
          <w:rFonts w:ascii="Arial" w:cs="Arial" w:eastAsia="Arial" w:hAnsi="Arial"/>
          <w:sz w:val="17"/>
          <w:szCs w:val="17"/>
          <w:color w:val="auto"/>
        </w:rPr>
        <w:t>By:  /s/ Daniel MacLachlan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2019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Red Violet, Inc.</w:t>
      </w:r>
    </w:p>
    <w:p>
      <w:pPr>
        <w:spacing w:after="0" w:line="264"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May 7, 2019</w:t>
      </w:r>
      <w:r>
        <w:rPr>
          <w:sz w:val="20"/>
          <w:szCs w:val="20"/>
          <w:color w:val="auto"/>
        </w:rPr>
        <w:tab/>
      </w:r>
      <w:r>
        <w:rPr>
          <w:rFonts w:ascii="Arial" w:cs="Arial" w:eastAsia="Arial" w:hAnsi="Arial"/>
          <w:sz w:val="16"/>
          <w:szCs w:val="16"/>
          <w:color w:val="auto"/>
        </w:rPr>
        <w:t>By:  /s/ Derek Dubner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2019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Red Violet, Inc.</w:t>
      </w:r>
    </w:p>
    <w:p>
      <w:pPr>
        <w:spacing w:after="0" w:line="264"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May 7, 2019</w:t>
      </w:r>
      <w:r>
        <w:rPr>
          <w:sz w:val="20"/>
          <w:szCs w:val="20"/>
          <w:color w:val="auto"/>
        </w:rPr>
        <w:tab/>
      </w:r>
      <w:r>
        <w:rPr>
          <w:rFonts w:ascii="Arial" w:cs="Arial" w:eastAsia="Arial" w:hAnsi="Arial"/>
          <w:sz w:val="17"/>
          <w:szCs w:val="17"/>
          <w:color w:val="auto"/>
        </w:rPr>
        <w:t>By:  /s/ Daniel MacLachlan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lowerRoman"/>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2019-12-28T12:40:25Z</dcterms:created>
  <dcterms:modified xsi:type="dcterms:W3CDTF">2019-12-28T12:40:25Z</dcterms:modified>
</cp:coreProperties>
</file>