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112395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37" w:lineRule="exact"/>
        <w:rPr>
          <w:sz w:val="24"/>
          <w:szCs w:val="24"/>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-5080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520" w:type="dxa"/>
            <w:vAlign w:val="bottom"/>
            <w:gridSpan w:val="4"/>
          </w:tcPr>
          <w:p>
            <w:pPr>
              <w:jc w:val="center"/>
              <w:ind w:righ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220"/>
        </w:trPr>
        <w:tc>
          <w:tcPr>
            <w:tcW w:w="6520" w:type="dxa"/>
            <w:vAlign w:val="bottom"/>
            <w:gridSpan w:val="4"/>
          </w:tcPr>
          <w:p>
            <w:pPr>
              <w:jc w:val="center"/>
              <w:ind w:right="72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240" w:type="dxa"/>
            <w:vAlign w:val="bottom"/>
            <w:gridSpan w:val="2"/>
          </w:tcPr>
          <w:p>
            <w:pPr>
              <w:jc w:val="center"/>
              <w:ind w:left="883"/>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3"/>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0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2650 North Military Trail, Suite 300, Boca Raton, Florida 33431</w:t>
            </w:r>
          </w:p>
        </w:tc>
      </w:t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gridSpan w:val="4"/>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82"/>
        </w:trPr>
        <w:tc>
          <w:tcPr>
            <w:tcW w:w="3120" w:type="dxa"/>
            <w:vAlign w:val="bottom"/>
          </w:tcPr>
          <w:p>
            <w:pPr>
              <w:spacing w:after="0"/>
              <w:rPr>
                <w:sz w:val="24"/>
                <w:szCs w:val="24"/>
                <w:color w:val="auto"/>
              </w:rPr>
            </w:pPr>
          </w:p>
        </w:tc>
        <w:tc>
          <w:tcPr>
            <w:tcW w:w="3400" w:type="dxa"/>
            <w:vAlign w:val="bottom"/>
            <w:gridSpan w:val="3"/>
          </w:tcPr>
          <w:p>
            <w:pPr>
              <w:jc w:val="center"/>
              <w:ind w:left="1719"/>
              <w:spacing w:after="0"/>
              <w:rPr>
                <w:sz w:val="20"/>
                <w:szCs w:val="20"/>
                <w:color w:val="auto"/>
              </w:rPr>
            </w:pPr>
            <w:r>
              <w:rPr>
                <w:rFonts w:ascii="Times New Roman" w:cs="Times New Roman" w:eastAsia="Times New Roman" w:hAnsi="Times New Roman"/>
                <w:sz w:val="18"/>
                <w:szCs w:val="18"/>
                <w:b w:val="1"/>
                <w:bCs w:val="1"/>
                <w:color w:val="auto"/>
                <w:w w:val="99"/>
              </w:rPr>
              <w:t>(561) 757-4000</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gridSpan w:val="4"/>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82"/>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0"/>
        </w:trPr>
        <w:tc>
          <w:tcPr>
            <w:tcW w:w="3120" w:type="dxa"/>
            <w:vAlign w:val="bottom"/>
          </w:tcPr>
          <w:p>
            <w:pPr>
              <w:spacing w:after="0"/>
              <w:rPr>
                <w:sz w:val="16"/>
                <w:szCs w:val="16"/>
                <w:color w:val="auto"/>
              </w:rPr>
            </w:pPr>
          </w:p>
        </w:tc>
        <w:tc>
          <w:tcPr>
            <w:tcW w:w="6640" w:type="dxa"/>
            <w:vAlign w:val="bottom"/>
            <w:gridSpan w:val="5"/>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78"/>
        </w:trPr>
        <w:tc>
          <w:tcPr>
            <w:tcW w:w="326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r>
      <w:tr>
        <w:trPr>
          <w:trHeight w:val="318"/>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8"/>
        </w:trPr>
        <w:tc>
          <w:tcPr>
            <w:tcW w:w="3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r>
      <w:tr>
        <w:trPr>
          <w:trHeight w:val="196"/>
        </w:trPr>
        <w:tc>
          <w:tcPr>
            <w:tcW w:w="3120" w:type="dxa"/>
            <w:vAlign w:val="bottom"/>
            <w:tcBorders>
              <w:left w:val="single" w:sz="8" w:color="auto"/>
              <w:bottom w:val="single" w:sz="8" w:color="auto"/>
            </w:tcBorders>
          </w:tcPr>
          <w:p>
            <w:pPr>
              <w:jc w:val="center"/>
              <w:ind w:left="61"/>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ind w:right="982"/>
              <w:spacing w:after="0"/>
              <w:rPr>
                <w:sz w:val="20"/>
                <w:szCs w:val="20"/>
                <w:color w:val="auto"/>
              </w:rPr>
            </w:pPr>
            <w:r>
              <w:rPr>
                <w:rFonts w:ascii="Times New Roman" w:cs="Times New Roman" w:eastAsia="Times New Roman" w:hAnsi="Times New Roman"/>
                <w:sz w:val="13"/>
                <w:szCs w:val="13"/>
                <w:color w:val="auto"/>
                <w:w w:val="96"/>
              </w:rPr>
              <w:t>Trading Symbol</w:t>
            </w:r>
          </w:p>
        </w:tc>
        <w:tc>
          <w:tcPr>
            <w:tcW w:w="324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96"/>
        </w:trPr>
        <w:tc>
          <w:tcPr>
            <w:tcW w:w="3120" w:type="dxa"/>
            <w:vAlign w:val="bottom"/>
            <w:tcBorders>
              <w:left w:val="single" w:sz="8" w:color="auto"/>
              <w:bottom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ind w:right="962"/>
              <w:spacing w:after="0"/>
              <w:rPr>
                <w:sz w:val="20"/>
                <w:szCs w:val="20"/>
                <w:color w:val="auto"/>
              </w:rPr>
            </w:pPr>
            <w:r>
              <w:rPr>
                <w:rFonts w:ascii="Times New Roman" w:cs="Times New Roman" w:eastAsia="Times New Roman" w:hAnsi="Times New Roman"/>
                <w:sz w:val="16"/>
                <w:szCs w:val="16"/>
                <w:color w:val="auto"/>
              </w:rPr>
              <w:t>RDVT</w:t>
            </w:r>
          </w:p>
        </w:tc>
        <w:tc>
          <w:tcPr>
            <w:tcW w:w="324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0"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1" w:lineRule="exact"/>
        <w:rPr>
          <w:sz w:val="24"/>
          <w:szCs w:val="24"/>
          <w:color w:val="auto"/>
        </w:rPr>
      </w:pPr>
    </w:p>
    <w:p>
      <w:pPr>
        <w:ind w:right="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97" w:lineRule="exact"/>
        <w:rPr>
          <w:sz w:val="24"/>
          <w:szCs w:val="24"/>
          <w:color w:val="auto"/>
        </w:rPr>
      </w:pPr>
    </w:p>
    <w:p>
      <w:pPr>
        <w:jc w:val="both"/>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2, 2019, the registrant had 10,832,537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7" w:right="2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gridSpan w:val="12"/>
            <w:vMerge w:val="restart"/>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 FINANCIAL INFORMATION</w:t>
              </w:r>
            </w:hyperlink>
          </w:p>
        </w:tc>
        <w:tc>
          <w:tcPr>
            <w:tcW w:w="7720" w:type="dxa"/>
            <w:vAlign w:val="bottom"/>
            <w:gridSpan w:val="10"/>
            <w:vMerge w:val="restart"/>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7"/>
        </w:trPr>
        <w:tc>
          <w:tcPr>
            <w:tcW w:w="2960" w:type="dxa"/>
            <w:vAlign w:val="bottom"/>
            <w:tcBorders>
              <w:bottom w:val="single" w:sz="8" w:color="0000EE"/>
            </w:tcBorders>
            <w:gridSpan w:val="12"/>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2019 and December 31, 2018</w:t>
              </w:r>
            </w:hyperlink>
          </w:p>
        </w:tc>
        <w:tc>
          <w:tcPr>
            <w:tcW w:w="358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78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2019 and 2018</w:t>
              </w:r>
            </w:hyperlink>
          </w:p>
        </w:tc>
        <w:tc>
          <w:tcPr>
            <w:tcW w:w="178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changes in shareholders' equity and member’s capital for the three and six months ended</w:t>
              </w:r>
            </w:hyperlink>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June 30, 2019 and 2018</w:t>
              </w:r>
            </w:hyperlink>
          </w:p>
        </w:tc>
        <w:tc>
          <w:tcPr>
            <w:tcW w:w="790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71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 2019 and 2018</w:t>
              </w:r>
            </w:hyperlink>
          </w:p>
        </w:tc>
        <w:tc>
          <w:tcPr>
            <w:tcW w:w="248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0" w:type="dxa"/>
            <w:vAlign w:val="bottom"/>
          </w:tcPr>
          <w:p>
            <w:pPr>
              <w:spacing w:after="0"/>
              <w:rPr>
                <w:sz w:val="20"/>
                <w:szCs w:val="20"/>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0" w:type="dxa"/>
            <w:vAlign w:val="bottom"/>
          </w:tcPr>
          <w:p>
            <w:pPr>
              <w:spacing w:after="0"/>
              <w:rPr>
                <w:sz w:val="20"/>
                <w:szCs w:val="20"/>
                <w:color w:val="auto"/>
              </w:rPr>
            </w:pPr>
          </w:p>
        </w:tc>
        <w:tc>
          <w:tcPr>
            <w:tcW w:w="43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0"/>
                <w:szCs w:val="20"/>
                <w:color w:val="auto"/>
              </w:rPr>
            </w:pPr>
          </w:p>
        </w:tc>
        <w:tc>
          <w:tcPr>
            <w:tcW w:w="318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0" w:type="dxa"/>
            <w:vAlign w:val="bottom"/>
          </w:tcPr>
          <w:p>
            <w:pPr>
              <w:spacing w:after="0"/>
              <w:rPr>
                <w:sz w:val="20"/>
                <w:szCs w:val="20"/>
                <w:color w:val="auto"/>
              </w:rPr>
            </w:pPr>
          </w:p>
        </w:tc>
        <w:tc>
          <w:tcPr>
            <w:tcW w:w="1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Controls and Procedures</w:t>
              </w:r>
            </w:hyperlink>
          </w:p>
        </w:tc>
        <w:tc>
          <w:tcPr>
            <w:tcW w:w="7820" w:type="dxa"/>
            <w:vAlign w:val="bottom"/>
            <w:gridSpan w:val="11"/>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58"/>
        </w:trPr>
        <w:tc>
          <w:tcPr>
            <w:tcW w:w="10680" w:type="dxa"/>
            <w:vAlign w:val="bottom"/>
            <w:gridSpan w:val="2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 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60" w:type="dxa"/>
            <w:vAlign w:val="bottom"/>
            <w:tcBorders>
              <w:top w:val="single" w:sz="8" w:color="0000EE"/>
            </w:tcBorders>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Legal Proceedings</w:t>
              </w:r>
            </w:hyperlink>
          </w:p>
        </w:tc>
        <w:tc>
          <w:tcPr>
            <w:tcW w:w="240" w:type="dxa"/>
            <w:vAlign w:val="bottom"/>
            <w:tcBorders>
              <w:top w:val="single" w:sz="8" w:color="0000EE"/>
            </w:tcBorders>
          </w:tcPr>
          <w:p>
            <w:pPr>
              <w:spacing w:after="0"/>
              <w:rPr>
                <w:sz w:val="24"/>
                <w:szCs w:val="24"/>
                <w:color w:val="auto"/>
              </w:rPr>
            </w:pPr>
          </w:p>
        </w:tc>
        <w:tc>
          <w:tcPr>
            <w:tcW w:w="804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60" w:type="dxa"/>
            <w:vAlign w:val="bottom"/>
          </w:tcPr>
          <w:p>
            <w:pPr>
              <w:spacing w:after="0"/>
              <w:rPr>
                <w:sz w:val="20"/>
                <w:szCs w:val="20"/>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0" w:type="dxa"/>
            <w:vAlign w:val="bottom"/>
          </w:tcPr>
          <w:p>
            <w:pPr>
              <w:spacing w:after="0"/>
              <w:rPr>
                <w:sz w:val="20"/>
                <w:szCs w:val="20"/>
                <w:color w:val="auto"/>
              </w:rPr>
            </w:pPr>
          </w:p>
        </w:tc>
        <w:tc>
          <w:tcPr>
            <w:tcW w:w="4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Unregistered Sales of Equity Securities and Use of Proceeds</w:t>
              </w:r>
            </w:hyperlink>
          </w:p>
        </w:tc>
        <w:tc>
          <w:tcPr>
            <w:tcW w:w="526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0" w:type="dxa"/>
            <w:vAlign w:val="bottom"/>
          </w:tcPr>
          <w:p>
            <w:pPr>
              <w:spacing w:after="0"/>
              <w:rPr>
                <w:sz w:val="20"/>
                <w:szCs w:val="20"/>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Defaults Upon Senior Securities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0" w:type="dxa"/>
            <w:vAlign w:val="bottom"/>
          </w:tcPr>
          <w:p>
            <w:pPr>
              <w:spacing w:after="0"/>
              <w:rPr>
                <w:sz w:val="20"/>
                <w:szCs w:val="20"/>
                <w:color w:val="auto"/>
              </w:rPr>
            </w:pPr>
          </w:p>
        </w:tc>
        <w:tc>
          <w:tcPr>
            <w:tcW w:w="23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w:t>
              </w:r>
            </w:hyperlink>
            <w:r>
              <w:rPr>
                <w:rFonts w:ascii="Times New Roman" w:cs="Times New Roman" w:eastAsia="Times New Roman" w:hAnsi="Times New Roman"/>
                <w:sz w:val="18"/>
                <w:szCs w:val="18"/>
                <w:color w:val="000000"/>
              </w:rPr>
              <w:t>s</w:t>
            </w:r>
          </w:p>
        </w:tc>
        <w:tc>
          <w:tcPr>
            <w:tcW w:w="7240" w:type="dxa"/>
            <w:vAlign w:val="bottom"/>
            <w:gridSpan w:val="9"/>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60" w:type="dxa"/>
            <w:vAlign w:val="bottom"/>
          </w:tcPr>
          <w:p>
            <w:pPr>
              <w:spacing w:after="0"/>
              <w:rPr>
                <w:sz w:val="20"/>
                <w:szCs w:val="20"/>
                <w:color w:val="auto"/>
              </w:rPr>
            </w:pPr>
          </w:p>
        </w:tc>
        <w:tc>
          <w:tcPr>
            <w:tcW w:w="12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Other Information</w:t>
              </w:r>
            </w:hyperlink>
          </w:p>
        </w:tc>
        <w:tc>
          <w:tcPr>
            <w:tcW w:w="380" w:type="dxa"/>
            <w:vAlign w:val="bottom"/>
            <w:tcBorders>
              <w:top w:val="single" w:sz="8" w:color="0000EE"/>
            </w:tcBorders>
            <w:gridSpan w:val="3"/>
          </w:tcPr>
          <w:p>
            <w:pPr>
              <w:spacing w:after="0"/>
              <w:rPr>
                <w:sz w:val="20"/>
                <w:szCs w:val="20"/>
                <w:color w:val="auto"/>
              </w:rPr>
            </w:pPr>
          </w:p>
        </w:tc>
        <w:tc>
          <w:tcPr>
            <w:tcW w:w="80" w:type="dxa"/>
            <w:vAlign w:val="bottom"/>
            <w:tcBorders>
              <w:top w:val="single" w:sz="8" w:color="auto"/>
            </w:tcBorders>
            <w:gridSpan w:val="2"/>
          </w:tcPr>
          <w:p>
            <w:pPr>
              <w:spacing w:after="0"/>
              <w:rPr>
                <w:sz w:val="20"/>
                <w:szCs w:val="20"/>
                <w:color w:val="auto"/>
              </w:rPr>
            </w:pPr>
          </w:p>
        </w:tc>
        <w:tc>
          <w:tcPr>
            <w:tcW w:w="7840" w:type="dxa"/>
            <w:vAlign w:val="bottom"/>
            <w:gridSpan w:val="1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 w:type="dxa"/>
            <w:vAlign w:val="bottom"/>
          </w:tcPr>
          <w:p>
            <w:pPr>
              <w:spacing w:after="0"/>
              <w:rPr>
                <w:sz w:val="20"/>
                <w:szCs w:val="20"/>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20" w:type="dxa"/>
            <w:vAlign w:val="bottom"/>
            <w:gridSpan w:val="1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80" w:type="dxa"/>
            <w:vAlign w:val="bottom"/>
            <w:gridSpan w:val="2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69"/>
        </w:trPr>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0" w:type="dxa"/>
            <w:vAlign w:val="bottom"/>
            <w:gridSpan w:val="15"/>
          </w:tcPr>
          <w:p>
            <w:pPr>
              <w:jc w:val="right"/>
              <w:ind w:right="13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7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$98 and $77</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of June 30, 2019 and December 31, 2018,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CFF0FC"/>
              <w:bottom w:val="single" w:sz="8" w:color="auto"/>
            </w:tcBorders>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LIABILITIES AND SHAREHOLDERS' EQUITY:</w:t>
            </w:r>
          </w:p>
        </w:tc>
        <w:tc>
          <w:tcPr>
            <w:tcW w:w="394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134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June 30, 2019 and December 31, 2018</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stock—$0.001 par value, 200,000,000 shares authorized, 10,286,613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10,266,613 shares issued and outstanding, as of June 30, 2019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(4,784)</w:t>
            </w: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10,298,613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10,283,232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MEMBER’S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10,286,613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Spin-off from Fluent, Inc.</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10,265,613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10,286,613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10,286,613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 (amount):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Spin-off from Fluent, Inc.</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Spin-off from Fluent, Inc.</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(6,162)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(4,784)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(5,228)</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capital: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by Fluent, Inc., including allocation of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Spin-off from Fluent, Inc.</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(40,262)</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member's capital: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8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(5,228)</w:t>
            </w: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expenses from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contributed by Fluent, Inc.</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liabilities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tcPr>
          <w:p>
            <w:pPr>
              <w:spacing w:after="0"/>
              <w:rPr>
                <w:sz w:val="19"/>
                <w:szCs w:val="19"/>
                <w:color w:val="auto"/>
              </w:rPr>
            </w:pP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(“red violet” or the “Company”), a Delaware corporation, have been prepared in accordance with accounting principles generally accepted in the United States (“US GAAP”) and applicable rules and regulations of the Securities and Exchange Commission regarding interim financial reporting. Certain information and note disclosures normally included in annual financial statements prepared in accordance with US GAAP have been condensed or omitted pursuant to those rules and regulations.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March 26, 2018, Fluent, Inc. (“Fluent”) completed a spin-off of its risk management business from its digital marketing business by way of a distribution of all the shares of common stock of Fluent’s then wholly-owned subsidiary, red violet, to Fluent’s stockholders as of the record date and certain warrant holders (the “Spin-off”).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the Company owns Fluent subsidiaries that previously operated Fluent’s risk management business. The Company accounted for the Spin-off in accordance with ASC 805-50-30-5 </w:t>
      </w:r>
      <w:r>
        <w:rPr>
          <w:rFonts w:ascii="Times New Roman" w:cs="Times New Roman" w:eastAsia="Times New Roman" w:hAnsi="Times New Roman"/>
          <w:sz w:val="18"/>
          <w:szCs w:val="18"/>
          <w:i w:val="1"/>
          <w:iCs w:val="1"/>
          <w:color w:val="auto"/>
        </w:rPr>
        <w:t xml:space="preserve">Initial Measurement- Transactions Between Entities Under Common Control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Transfer Date Measurement </w:t>
      </w:r>
      <w:r>
        <w:rPr>
          <w:rFonts w:ascii="Times New Roman" w:cs="Times New Roman" w:eastAsia="Times New Roman" w:hAnsi="Times New Roman"/>
          <w:sz w:val="18"/>
          <w:szCs w:val="18"/>
          <w:color w:val="auto"/>
        </w:rPr>
        <w:t>and therefore the net assets transferred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Fluent to red violet upon the Spin-off were reflected in red violet’s condensed consolidated financial statements at Fluent’s carrying values at the time of the Spin-off.</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2019.</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2018 (“2018 Form 10-K”).</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2018 included herein was derived from the audited financial statements as of that date included in the 2018 Form 10-K, but does not include all disclosures required by US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transactions among the Company and its subsidiaries have been eliminated upon consolidation. For periods prior to the Spin-off, these financial statements were prepared on a consolidated and combined basis because certain of the entities were under common control.</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Although the Spin-off was completed on March 26, 2018, the Company has reflected the Spin-off in these financial statements as if it occurred on March 31, 2018 as the Company determined that the impact is not material to the condensed consolidated financial statements.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historical condensed consolidated and combined financial results presented prior to the Spin-off may not be indicative of the results that would have been achieved by the Company had it operated as a separate, standalone entity prior to the Spin-off. The condensed consolidated and combined financial statements presented prior to the Spin-off do not reflect any changes that may occur in the Company’s operations in connection with or as a result of the Spin-off.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 w:name="page8"/>
    <w:bookmarkEnd w:id="7"/>
    <w:p>
      <w:pPr>
        <w:ind w:right="120"/>
        <w:spacing w:after="0" w:line="255" w:lineRule="auto"/>
        <w:rPr>
          <w:sz w:val="20"/>
          <w:szCs w:val="20"/>
          <w:color w:val="auto"/>
        </w:rPr>
      </w:pPr>
      <w:r>
        <w:rPr>
          <w:rFonts w:ascii="Times New Roman" w:cs="Times New Roman" w:eastAsia="Times New Roman" w:hAnsi="Times New Roman"/>
          <w:sz w:val="18"/>
          <w:szCs w:val="18"/>
          <w:color w:val="auto"/>
        </w:rPr>
        <w:t>In February 2016, Financial Accounting Standard Board (“FASB”) issued ASU No. 2016-02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is effective for public entities and private entities in the first quarter of 2019 and the first quarter of 2020, respectively, on a modified retrospective basis. The Company adopted Topic 842 in the first quarter of 2019. The Company recorded a right-of-use asset and a total operating lease obligation on its condensed consolidated balance sheet of approximately $3.0 million and $3.4 million, respectively, upon the adoption. Refer to Note 9, Leases, for further details.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2016, FASB issued ASU No. 2016-13 (“ASU 2016-13”), “Financial Instruments - Credit Losses (Topic 326): Measurement of Credit Losses on Financial Instruments.” In November 2018, FASB issued ASU No. 2018-19, “Codification Improvements to Topic 326, Financial Instruments-Credit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public companies beginning January 1, 2020, with early adoption permitted, on a modified retrospective approach. The Company is currently evaluating the impact this guidance will have on its consolidated financial statements and related disclosures.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2018, FASB issued ASU No. 2018-15 (“ASU 2018-15”), “Intangibles—Goodwill and Other—Internal-Use Software (Subtopic 350-40): Customer's Accounting for Implementation Costs Incurred in a Cloud Computing Arrangement That Is a Service Contract,” which requires an entity (customer)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Loss per share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Prior to the Spin-off, the financial information of red violet represented the consolidated and combined figures of red violet and its subsidiaries. red violet only had 1,000 shares of common stock outstanding, all of which Fluent owned. On March 26, 2018, upon the Spin-off of red violet, an aggregate of 10,266,613 shares of red violet common stock were distributed to Fluent stockholders and certain warrant holders. This number of shares remained outstanding as of June 30, 2018 and is utilized to calculate loss per share for the six months ended June 30, 2018, as shown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10,298,613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10,283,232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total of 2,237,000 unvested restricted stock units (“RSUs”) have been excluded from the diluted loss per share for the three and six months ended June 30, 2019, and 56,000 RSUs have been excluded for the three and six months ended June 30, 2018, as the impact is anti-dilutive.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222"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Intangible assets other than goodwill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76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340" w:type="dxa"/>
            <w:vAlign w:val="bottom"/>
            <w:gridSpan w:val="4"/>
          </w:tcPr>
          <w:p>
            <w:pPr>
              <w:jc w:val="center"/>
              <w:ind w:right="36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340" w:type="dxa"/>
            <w:vAlign w:val="bottom"/>
            <w:gridSpan w:val="4"/>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line="223" w:lineRule="exact"/>
              <w:rPr>
                <w:sz w:val="20"/>
                <w:szCs w:val="20"/>
                <w:color w:val="auto"/>
              </w:rPr>
            </w:pPr>
            <w:r>
              <w:rPr>
                <w:rFonts w:ascii="Arial Unicode MS" w:cs="Arial Unicode MS" w:eastAsia="Arial Unicode MS" w:hAnsi="Arial Unicode MS"/>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line="224" w:lineRule="exact"/>
              <w:rPr>
                <w:sz w:val="20"/>
                <w:szCs w:val="20"/>
                <w:color w:val="auto"/>
              </w:rPr>
            </w:pPr>
            <w:r>
              <w:rPr>
                <w:rFonts w:ascii="Arial Unicode MS" w:cs="Arial Unicode MS" w:eastAsia="Arial Unicode MS" w:hAnsi="Arial Unicode MS"/>
                <w:sz w:val="18"/>
                <w:szCs w:val="18"/>
                <w:color w:val="auto"/>
                <w:w w:val="89"/>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26,221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4"/>
              <w:spacing w:after="0" w:line="224" w:lineRule="exact"/>
              <w:rPr>
                <w:sz w:val="20"/>
                <w:szCs w:val="20"/>
                <w:color w:val="auto"/>
              </w:rPr>
            </w:pPr>
            <w:r>
              <w:rPr>
                <w:rFonts w:ascii="Arial Unicode MS" w:cs="Arial Unicode MS" w:eastAsia="Arial Unicode MS" w:hAnsi="Arial Unicode MS"/>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(4,190</w:t>
            </w:r>
          </w:p>
        </w:tc>
        <w:tc>
          <w:tcPr>
            <w:tcW w:w="220" w:type="dxa"/>
            <w:vAlign w:val="bottom"/>
            <w:tcBorders>
              <w:top w:val="single" w:sz="8" w:color="CFF0FC"/>
              <w:bottom w:val="single" w:sz="8" w:color="CFF0FC"/>
            </w:tcBorders>
            <w:shd w:val="clear" w:color="auto" w:fill="CFF0FC"/>
          </w:tcPr>
          <w:p>
            <w:pPr>
              <w:jc w:val="right"/>
              <w:ind w:right="80"/>
              <w:spacing w:after="0" w:line="215" w:lineRule="exact"/>
              <w:rPr>
                <w:sz w:val="20"/>
                <w:szCs w:val="20"/>
                <w:color w:val="auto"/>
              </w:rPr>
            </w:pPr>
            <w:r>
              <w:rPr>
                <w:rFonts w:ascii="Arial Unicode MS" w:cs="Arial Unicode MS" w:eastAsia="Arial Unicode MS" w:hAnsi="Arial Unicode MS"/>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22,031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22,990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line="224" w:lineRule="exact"/>
              <w:rPr>
                <w:sz w:val="20"/>
                <w:szCs w:val="20"/>
                <w:color w:val="auto"/>
              </w:rPr>
            </w:pPr>
            <w:r>
              <w:rPr>
                <w:rFonts w:ascii="Arial Unicode MS" w:cs="Arial Unicode MS" w:eastAsia="Arial Unicode MS" w:hAnsi="Arial Unicode MS"/>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(3,019</w:t>
            </w:r>
          </w:p>
        </w:tc>
        <w:tc>
          <w:tcPr>
            <w:tcW w:w="220" w:type="dxa"/>
            <w:vAlign w:val="bottom"/>
            <w:tcBorders>
              <w:top w:val="single" w:sz="8" w:color="CFF0FC"/>
              <w:bottom w:val="single" w:sz="8" w:color="CFF0FC"/>
            </w:tcBorders>
            <w:shd w:val="clear" w:color="auto" w:fill="CFF0FC"/>
          </w:tcPr>
          <w:p>
            <w:pPr>
              <w:jc w:val="right"/>
              <w:ind w:right="80"/>
              <w:spacing w:after="0" w:line="215" w:lineRule="exact"/>
              <w:rPr>
                <w:sz w:val="20"/>
                <w:szCs w:val="20"/>
                <w:color w:val="auto"/>
              </w:rPr>
            </w:pPr>
            <w:r>
              <w:rPr>
                <w:rFonts w:ascii="Arial Unicode MS" w:cs="Arial Unicode MS" w:eastAsia="Arial Unicode MS" w:hAnsi="Arial Unicode MS"/>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5"/>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19,971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26" w:lineRule="exact"/>
        <w:rPr>
          <w:sz w:val="20"/>
          <w:szCs w:val="20"/>
          <w:color w:val="auto"/>
        </w:rPr>
      </w:pPr>
      <w:r>
        <w:rPr>
          <w:rFonts w:ascii="Arial Unicode MS" w:cs="Arial Unicode MS" w:eastAsia="Arial Unicode MS" w:hAnsi="Arial Unicode MS"/>
          <w:sz w:val="18"/>
          <w:szCs w:val="18"/>
          <w:color w:val="auto"/>
        </w:rPr>
        <w:t>The gross amount associated with software developed for internal use represents capitalized costs of internally-developed software, including eligible salaries and staff benefits and share-based compensation incurred by relevant employees, and other relevant costs.</w:t>
      </w:r>
    </w:p>
    <w:p>
      <w:pPr>
        <w:spacing w:after="0" w:line="198" w:lineRule="exact"/>
        <w:rPr>
          <w:sz w:val="20"/>
          <w:szCs w:val="20"/>
          <w:color w:val="auto"/>
        </w:rPr>
      </w:pPr>
    </w:p>
    <w:p>
      <w:pPr>
        <w:ind w:right="200"/>
        <w:spacing w:after="0" w:line="222" w:lineRule="exact"/>
        <w:rPr>
          <w:sz w:val="20"/>
          <w:szCs w:val="20"/>
          <w:color w:val="auto"/>
        </w:rPr>
      </w:pPr>
      <w:r>
        <w:rPr>
          <w:rFonts w:ascii="Arial Unicode MS" w:cs="Arial Unicode MS" w:eastAsia="Arial Unicode MS" w:hAnsi="Arial Unicode MS"/>
          <w:sz w:val="16"/>
          <w:szCs w:val="16"/>
          <w:color w:val="auto"/>
        </w:rPr>
        <w:t>Amortization expenses of $617 and $417 for the three months ended June 30, 2019 and 2018, respectively, and $1,171 and $790 for the six months ended June 30, 2019 and 2018, respectively, were included in depreciation and amortization expense. As of June 30, 2019, intangible assets of $3,515, included in the gross amounts of software developed for internal use, have not started amortization, as they are not ready for their intended use.</w:t>
      </w:r>
    </w:p>
    <w:p>
      <w:pPr>
        <w:spacing w:after="0" w:line="200" w:lineRule="exact"/>
        <w:rPr>
          <w:sz w:val="20"/>
          <w:szCs w:val="20"/>
          <w:color w:val="auto"/>
        </w:rPr>
      </w:pPr>
    </w:p>
    <w:p>
      <w:pPr>
        <w:ind w:right="200"/>
        <w:spacing w:after="0" w:line="226" w:lineRule="exact"/>
        <w:rPr>
          <w:sz w:val="20"/>
          <w:szCs w:val="20"/>
          <w:color w:val="auto"/>
        </w:rPr>
      </w:pPr>
      <w:r>
        <w:rPr>
          <w:rFonts w:ascii="Arial Unicode MS" w:cs="Arial Unicode MS" w:eastAsia="Arial Unicode MS" w:hAnsi="Arial Unicode MS"/>
          <w:sz w:val="18"/>
          <w:szCs w:val="18"/>
          <w:color w:val="auto"/>
        </w:rPr>
        <w:t>The Company capitalized costs of internally-developed software of $1,651 and $1,518 during the three months ended June 30, 2019 and 2018, respectively, and $3,231 and $3,069 for the six months ended June 30, 2019 and 2018, respectively.</w:t>
      </w:r>
    </w:p>
    <w:p>
      <w:pPr>
        <w:spacing w:after="0" w:line="198" w:lineRule="exact"/>
        <w:rPr>
          <w:sz w:val="20"/>
          <w:szCs w:val="20"/>
          <w:color w:val="auto"/>
        </w:rPr>
      </w:pPr>
    </w:p>
    <w:p>
      <w:pPr>
        <w:ind w:right="120"/>
        <w:spacing w:after="0" w:line="226" w:lineRule="exact"/>
        <w:rPr>
          <w:sz w:val="20"/>
          <w:szCs w:val="20"/>
          <w:color w:val="auto"/>
        </w:rPr>
      </w:pPr>
      <w:r>
        <w:rPr>
          <w:rFonts w:ascii="Arial Unicode MS" w:cs="Arial Unicode MS" w:eastAsia="Arial Unicode MS" w:hAnsi="Arial Unicode MS"/>
          <w:sz w:val="18"/>
          <w:szCs w:val="18"/>
          <w:color w:val="auto"/>
        </w:rPr>
        <w:t>As of June 30, 2019, estimated amortization expense related to the Company’s intangible assets for the remainder of 2019 through 2023 and thereafter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23"/>
        </w:trPr>
        <w:tc>
          <w:tcPr>
            <w:tcW w:w="9680" w:type="dxa"/>
            <w:vAlign w:val="bottom"/>
            <w:tcBorders>
              <w:top w:val="single" w:sz="8" w:color="CFF0FC"/>
            </w:tcBorders>
            <w:shd w:val="clear" w:color="auto" w:fill="CFF0FC"/>
          </w:tcPr>
          <w:p>
            <w:pPr>
              <w:spacing w:after="0" w:line="223" w:lineRule="exact"/>
              <w:rPr>
                <w:sz w:val="20"/>
                <w:szCs w:val="20"/>
                <w:color w:val="auto"/>
              </w:rPr>
            </w:pPr>
            <w:r>
              <w:rPr>
                <w:rFonts w:ascii="Arial Unicode MS" w:cs="Arial Unicode MS" w:eastAsia="Arial Unicode MS" w:hAnsi="Arial Unicode MS"/>
                <w:sz w:val="18"/>
                <w:szCs w:val="18"/>
                <w:color w:val="auto"/>
              </w:rPr>
              <w:t>Remainder of 2019</w:t>
            </w:r>
          </w:p>
        </w:tc>
        <w:tc>
          <w:tcPr>
            <w:tcW w:w="240" w:type="dxa"/>
            <w:vAlign w:val="bottom"/>
            <w:tcBorders>
              <w:top w:val="single" w:sz="8" w:color="auto"/>
            </w:tcBorders>
            <w:shd w:val="clear" w:color="auto" w:fill="CFF0FC"/>
          </w:tcPr>
          <w:p>
            <w:pPr>
              <w:jc w:val="right"/>
              <w:ind w:right="85"/>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1380" w:type="dxa"/>
            <w:vAlign w:val="bottom"/>
            <w:tcBorders>
              <w:top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1,307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line="230" w:lineRule="exact"/>
              <w:rPr>
                <w:sz w:val="20"/>
                <w:szCs w:val="20"/>
                <w:color w:val="auto"/>
              </w:rPr>
            </w:pPr>
            <w:r>
              <w:rPr>
                <w:rFonts w:ascii="Arial Unicode MS" w:cs="Arial Unicode MS" w:eastAsia="Arial Unicode MS" w:hAnsi="Arial Unicode MS"/>
                <w:sz w:val="18"/>
                <w:szCs w:val="18"/>
                <w:color w:val="auto"/>
              </w:rPr>
              <w:t>2020</w:t>
            </w:r>
          </w:p>
        </w:tc>
        <w:tc>
          <w:tcPr>
            <w:tcW w:w="240" w:type="dxa"/>
            <w:vAlign w:val="bottom"/>
          </w:tcPr>
          <w:p>
            <w:pPr>
              <w:spacing w:after="0"/>
              <w:rPr>
                <w:sz w:val="19"/>
                <w:szCs w:val="19"/>
                <w:color w:val="auto"/>
              </w:rPr>
            </w:pPr>
          </w:p>
        </w:tc>
        <w:tc>
          <w:tcPr>
            <w:tcW w:w="1380" w:type="dxa"/>
            <w:vAlign w:val="bottom"/>
          </w:tcPr>
          <w:p>
            <w:pPr>
              <w:jc w:val="right"/>
              <w:spacing w:after="0" w:line="230" w:lineRule="exact"/>
              <w:rPr>
                <w:sz w:val="20"/>
                <w:szCs w:val="20"/>
                <w:color w:val="auto"/>
              </w:rPr>
            </w:pPr>
            <w:r>
              <w:rPr>
                <w:rFonts w:ascii="Arial Unicode MS" w:cs="Arial Unicode MS" w:eastAsia="Arial Unicode MS" w:hAnsi="Arial Unicode MS"/>
                <w:sz w:val="18"/>
                <w:szCs w:val="18"/>
                <w:color w:val="auto"/>
              </w:rPr>
              <w:t>3,304</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line="230" w:lineRule="exact"/>
              <w:rPr>
                <w:sz w:val="20"/>
                <w:szCs w:val="20"/>
                <w:color w:val="auto"/>
              </w:rPr>
            </w:pPr>
            <w:r>
              <w:rPr>
                <w:rFonts w:ascii="Arial Unicode MS" w:cs="Arial Unicode MS" w:eastAsia="Arial Unicode MS" w:hAnsi="Arial Unicode MS"/>
                <w:sz w:val="18"/>
                <w:szCs w:val="18"/>
                <w:color w:val="auto"/>
              </w:rPr>
              <w:t>2021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30" w:lineRule="exact"/>
              <w:rPr>
                <w:sz w:val="20"/>
                <w:szCs w:val="20"/>
                <w:color w:val="auto"/>
              </w:rPr>
            </w:pPr>
            <w:r>
              <w:rPr>
                <w:rFonts w:ascii="Arial Unicode MS" w:cs="Arial Unicode MS" w:eastAsia="Arial Unicode MS" w:hAnsi="Arial Unicode MS"/>
                <w:sz w:val="18"/>
                <w:szCs w:val="18"/>
                <w:color w:val="auto"/>
              </w:rPr>
              <w:t>3,303</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Pr>
          <w:p>
            <w:pPr>
              <w:spacing w:after="0" w:line="230" w:lineRule="exact"/>
              <w:rPr>
                <w:sz w:val="20"/>
                <w:szCs w:val="20"/>
                <w:color w:val="auto"/>
              </w:rPr>
            </w:pPr>
            <w:r>
              <w:rPr>
                <w:rFonts w:ascii="Arial Unicode MS" w:cs="Arial Unicode MS" w:eastAsia="Arial Unicode MS" w:hAnsi="Arial Unicode MS"/>
                <w:sz w:val="18"/>
                <w:szCs w:val="18"/>
                <w:color w:val="auto"/>
              </w:rPr>
              <w:t>2022</w:t>
            </w:r>
          </w:p>
        </w:tc>
        <w:tc>
          <w:tcPr>
            <w:tcW w:w="240" w:type="dxa"/>
            <w:vAlign w:val="bottom"/>
          </w:tcPr>
          <w:p>
            <w:pPr>
              <w:spacing w:after="0"/>
              <w:rPr>
                <w:sz w:val="19"/>
                <w:szCs w:val="19"/>
                <w:color w:val="auto"/>
              </w:rPr>
            </w:pPr>
          </w:p>
        </w:tc>
        <w:tc>
          <w:tcPr>
            <w:tcW w:w="1380" w:type="dxa"/>
            <w:vAlign w:val="bottom"/>
          </w:tcPr>
          <w:p>
            <w:pPr>
              <w:jc w:val="right"/>
              <w:spacing w:after="0" w:line="230" w:lineRule="exact"/>
              <w:rPr>
                <w:sz w:val="20"/>
                <w:szCs w:val="20"/>
                <w:color w:val="auto"/>
              </w:rPr>
            </w:pPr>
            <w:r>
              <w:rPr>
                <w:rFonts w:ascii="Arial Unicode MS" w:cs="Arial Unicode MS" w:eastAsia="Arial Unicode MS" w:hAnsi="Arial Unicode MS"/>
                <w:sz w:val="18"/>
                <w:szCs w:val="18"/>
                <w:color w:val="auto"/>
              </w:rPr>
              <w:t>3,301</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line="230" w:lineRule="exact"/>
              <w:rPr>
                <w:sz w:val="20"/>
                <w:szCs w:val="20"/>
                <w:color w:val="auto"/>
              </w:rPr>
            </w:pPr>
            <w:r>
              <w:rPr>
                <w:rFonts w:ascii="Arial Unicode MS" w:cs="Arial Unicode MS" w:eastAsia="Arial Unicode MS" w:hAnsi="Arial Unicode MS"/>
                <w:sz w:val="18"/>
                <w:szCs w:val="18"/>
                <w:color w:val="auto"/>
              </w:rPr>
              <w:t>2023</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30" w:lineRule="exact"/>
              <w:rPr>
                <w:sz w:val="20"/>
                <w:szCs w:val="20"/>
                <w:color w:val="auto"/>
              </w:rPr>
            </w:pPr>
            <w:r>
              <w:rPr>
                <w:rFonts w:ascii="Arial Unicode MS" w:cs="Arial Unicode MS" w:eastAsia="Arial Unicode MS" w:hAnsi="Arial Unicode MS"/>
                <w:sz w:val="18"/>
                <w:szCs w:val="18"/>
                <w:color w:val="auto"/>
              </w:rPr>
              <w:t>3,226</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line="230" w:lineRule="exact"/>
              <w:rPr>
                <w:sz w:val="20"/>
                <w:szCs w:val="20"/>
                <w:color w:val="auto"/>
              </w:rPr>
            </w:pPr>
            <w:r>
              <w:rPr>
                <w:rFonts w:ascii="Arial Unicode MS" w:cs="Arial Unicode MS" w:eastAsia="Arial Unicode MS" w:hAnsi="Arial Unicode MS"/>
                <w:sz w:val="18"/>
                <w:szCs w:val="18"/>
                <w:color w:val="auto"/>
              </w:rPr>
              <w:t>2024 and thereafter</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30" w:lineRule="exact"/>
              <w:rPr>
                <w:sz w:val="20"/>
                <w:szCs w:val="20"/>
                <w:color w:val="auto"/>
              </w:rPr>
            </w:pPr>
            <w:r>
              <w:rPr>
                <w:rFonts w:ascii="Arial Unicode MS" w:cs="Arial Unicode MS" w:eastAsia="Arial Unicode MS" w:hAnsi="Arial Unicode MS"/>
                <w:sz w:val="18"/>
                <w:szCs w:val="18"/>
                <w:color w:val="auto"/>
              </w:rPr>
              <w:t>7,590</w:t>
            </w:r>
          </w:p>
        </w:tc>
        <w:tc>
          <w:tcPr>
            <w:tcW w:w="12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line="223" w:lineRule="exact"/>
              <w:rPr>
                <w:sz w:val="20"/>
                <w:szCs w:val="20"/>
                <w:color w:val="auto"/>
              </w:rPr>
            </w:pPr>
            <w:r>
              <w:rPr>
                <w:rFonts w:ascii="Arial Unicode MS" w:cs="Arial Unicode MS" w:eastAsia="Arial Unicode MS" w:hAnsi="Arial Unicode MS"/>
                <w:sz w:val="18"/>
                <w:szCs w:val="18"/>
                <w:color w:val="auto"/>
              </w:rPr>
              <w:t>Total</w:t>
            </w:r>
          </w:p>
        </w:tc>
        <w:tc>
          <w:tcPr>
            <w:tcW w:w="240" w:type="dxa"/>
            <w:vAlign w:val="bottom"/>
            <w:tcBorders>
              <w:bottom w:val="single" w:sz="8" w:color="auto"/>
            </w:tcBorders>
            <w:shd w:val="clear" w:color="auto" w:fill="CFF0FC"/>
          </w:tcPr>
          <w:p>
            <w:pPr>
              <w:jc w:val="right"/>
              <w:ind w:right="85"/>
              <w:spacing w:after="0" w:line="201" w:lineRule="exact"/>
              <w:rPr>
                <w:sz w:val="20"/>
                <w:szCs w:val="20"/>
                <w:color w:val="auto"/>
              </w:rPr>
            </w:pPr>
            <w:r>
              <w:rPr>
                <w:rFonts w:ascii="Arial Unicode MS" w:cs="Arial Unicode MS" w:eastAsia="Arial Unicode MS" w:hAnsi="Arial Unicode MS"/>
                <w:sz w:val="15"/>
                <w:szCs w:val="15"/>
                <w:color w:val="auto"/>
                <w:w w:val="71"/>
              </w:rPr>
              <w:t>$</w:t>
            </w:r>
          </w:p>
        </w:tc>
        <w:tc>
          <w:tcPr>
            <w:tcW w:w="1380" w:type="dxa"/>
            <w:vAlign w:val="bottom"/>
            <w:tcBorders>
              <w:bottom w:val="single" w:sz="8" w:color="auto"/>
            </w:tcBorders>
            <w:shd w:val="clear" w:color="auto" w:fill="CFF0FC"/>
          </w:tcPr>
          <w:p>
            <w:pPr>
              <w:jc w:val="right"/>
              <w:spacing w:after="0" w:line="224" w:lineRule="exact"/>
              <w:rPr>
                <w:sz w:val="20"/>
                <w:szCs w:val="20"/>
                <w:color w:val="auto"/>
              </w:rPr>
            </w:pPr>
            <w:r>
              <w:rPr>
                <w:rFonts w:ascii="Arial Unicode MS" w:cs="Arial Unicode MS" w:eastAsia="Arial Unicode MS" w:hAnsi="Arial Unicode MS"/>
                <w:sz w:val="18"/>
                <w:szCs w:val="18"/>
                <w:color w:val="auto"/>
              </w:rPr>
              <w:t>22,031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229" w:lineRule="exact"/>
        <w:rPr>
          <w:sz w:val="20"/>
          <w:szCs w:val="20"/>
          <w:color w:val="auto"/>
        </w:rPr>
      </w:pPr>
    </w:p>
    <w:p>
      <w:pPr>
        <w:ind w:right="100"/>
        <w:spacing w:after="0" w:line="223" w:lineRule="exact"/>
        <w:rPr>
          <w:sz w:val="20"/>
          <w:szCs w:val="20"/>
          <w:color w:val="auto"/>
        </w:rPr>
      </w:pPr>
      <w:r>
        <w:rPr>
          <w:rFonts w:ascii="Arial Unicode MS" w:cs="Arial Unicode MS" w:eastAsia="Arial Unicode MS" w:hAnsi="Arial Unicode MS"/>
          <w:sz w:val="18"/>
          <w:szCs w:val="18"/>
          <w:color w:val="auto"/>
        </w:rPr>
        <w:t>Goodwill represents the cost in excess of the fair value of the net assets acquired in a business combination. As of June 30, 2019 and December 31, 2018, the balance of goodwill of $5,227 was as a result of the acquisition of Interactive Data, LLC (“Interactive Data”), a wholly-owned subsidiary of red violet, effective on October 2, 2014.</w:t>
      </w:r>
    </w:p>
    <w:p>
      <w:pPr>
        <w:spacing w:after="0" w:line="196" w:lineRule="exact"/>
        <w:rPr>
          <w:sz w:val="20"/>
          <w:szCs w:val="20"/>
          <w:color w:val="auto"/>
        </w:rPr>
      </w:pPr>
    </w:p>
    <w:p>
      <w:pPr>
        <w:spacing w:after="0" w:line="222" w:lineRule="exact"/>
        <w:rPr>
          <w:sz w:val="20"/>
          <w:szCs w:val="20"/>
          <w:color w:val="auto"/>
        </w:rPr>
      </w:pPr>
      <w:r>
        <w:rPr>
          <w:rFonts w:ascii="Arial Unicode MS" w:cs="Arial Unicode MS" w:eastAsia="Arial Unicode MS" w:hAnsi="Arial Unicode MS"/>
          <w:sz w:val="18"/>
          <w:szCs w:val="18"/>
          <w:color w:val="auto"/>
        </w:rPr>
        <w:t>In accordance with ASC 350,</w:t>
      </w:r>
      <w:r>
        <w:rPr>
          <w:rFonts w:ascii="Times New Roman" w:cs="Times New Roman" w:eastAsia="Times New Roman" w:hAnsi="Times New Roman"/>
          <w:sz w:val="18"/>
          <w:szCs w:val="18"/>
          <w:i w:val="1"/>
          <w:iCs w:val="1"/>
          <w:color w:val="auto"/>
        </w:rPr>
        <w:t xml:space="preserve"> “Intangibles - Goodwill and Other,” </w:t>
      </w:r>
      <w:r>
        <w:rPr>
          <w:rFonts w:ascii="Arial Unicode MS" w:cs="Arial Unicode MS" w:eastAsia="Arial Unicode MS" w:hAnsi="Arial Unicode MS"/>
          <w:sz w:val="18"/>
          <w:szCs w:val="18"/>
          <w:color w:val="auto"/>
        </w:rPr>
        <w:t>goodwill is tested at least annually for impairment, or when events or changes in</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91"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As of June 30, 2019 and December 31, 2018, no goodwill impairment charges were recorded.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229" w:lineRule="exact"/>
        <w:rPr>
          <w:sz w:val="20"/>
          <w:szCs w:val="20"/>
          <w:color w:val="auto"/>
        </w:rPr>
      </w:pPr>
    </w:p>
    <w:p>
      <w:pPr>
        <w:ind w:right="100"/>
        <w:spacing w:after="0" w:line="219" w:lineRule="exact"/>
        <w:rPr>
          <w:sz w:val="20"/>
          <w:szCs w:val="20"/>
          <w:color w:val="auto"/>
        </w:rPr>
      </w:pPr>
      <w:r>
        <w:rPr>
          <w:rFonts w:ascii="Arial Unicode MS" w:cs="Arial Unicode MS" w:eastAsia="Arial Unicode MS" w:hAnsi="Arial Unicode MS"/>
          <w:sz w:val="16"/>
          <w:szCs w:val="16"/>
          <w:color w:val="auto"/>
        </w:rPr>
        <w:t>On January 1, 2018, the Company adopted ASC 606, “Revenue from Contracts with Customers,” (“Topic 606”) using the modied retrospective method applied to all contracts that were not completed contracts at the date of initial application. There was no impact on the opening accumulated decit as of January 1, 2018 due to the adoption of Topic 606. Revenue is recognized when control of goods or services is transferred to the Company’s customers, in an amount that reects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93" w:lineRule="exact"/>
        <w:rPr>
          <w:sz w:val="20"/>
          <w:szCs w:val="20"/>
          <w:color w:val="auto"/>
        </w:rPr>
      </w:pPr>
    </w:p>
    <w:p>
      <w:pPr>
        <w:jc w:val="center"/>
        <w:spacing w:after="0" w:line="242" w:lineRule="exact"/>
        <w:rPr>
          <w:sz w:val="20"/>
          <w:szCs w:val="20"/>
          <w:color w:val="auto"/>
        </w:rPr>
      </w:pPr>
      <w:r>
        <w:rPr>
          <w:rFonts w:ascii="Arial Unicode MS" w:cs="Arial Unicode MS" w:eastAsia="Arial Unicode MS" w:hAnsi="Arial Unicode MS"/>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9" w:name="page10"/>
    <w:bookmarkEnd w:id="9"/>
    <w:p>
      <w:pPr>
        <w:ind w:right="120"/>
        <w:spacing w:after="0" w:line="221" w:lineRule="exact"/>
        <w:rPr>
          <w:sz w:val="20"/>
          <w:szCs w:val="20"/>
          <w:color w:val="auto"/>
        </w:rPr>
      </w:pPr>
      <w:r>
        <w:rPr>
          <w:rFonts w:ascii="Arial Unicode MS" w:cs="Arial Unicode MS" w:eastAsia="Arial Unicode MS" w:hAnsi="Arial Unicode MS"/>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200" w:lineRule="exact"/>
        <w:rPr>
          <w:sz w:val="20"/>
          <w:szCs w:val="20"/>
          <w:color w:val="auto"/>
        </w:rPr>
      </w:pPr>
    </w:p>
    <w:p>
      <w:pPr>
        <w:jc w:val="both"/>
        <w:ind w:right="80"/>
        <w:spacing w:after="0" w:line="221" w:lineRule="exact"/>
        <w:rPr>
          <w:sz w:val="20"/>
          <w:szCs w:val="20"/>
          <w:color w:val="auto"/>
        </w:rPr>
      </w:pPr>
      <w:r>
        <w:rPr>
          <w:rFonts w:ascii="Arial Unicode MS" w:cs="Arial Unicode MS" w:eastAsia="Arial Unicode MS" w:hAnsi="Arial Unicode MS"/>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98" w:lineRule="exact"/>
        <w:rPr>
          <w:sz w:val="20"/>
          <w:szCs w:val="20"/>
          <w:color w:val="auto"/>
        </w:rPr>
      </w:pPr>
    </w:p>
    <w:p>
      <w:pPr>
        <w:ind w:right="120"/>
        <w:spacing w:after="0" w:line="221" w:lineRule="exact"/>
        <w:rPr>
          <w:sz w:val="20"/>
          <w:szCs w:val="20"/>
          <w:color w:val="auto"/>
        </w:rPr>
      </w:pPr>
      <w:r>
        <w:rPr>
          <w:rFonts w:ascii="Arial Unicode MS" w:cs="Arial Unicode MS" w:eastAsia="Arial Unicode MS" w:hAnsi="Arial Unicode MS"/>
          <w:sz w:val="18"/>
          <w:szCs w:val="18"/>
          <w:color w:val="auto"/>
        </w:rPr>
        <w:t>For the three months ended June 30, 2019 and 2018, 62% and 52% of total revenue was attributable to customers with pricing contracts, respectively, versus 38% and 48% attributable to transactional customers, respectively. For the six months ended June 30, 2019 and 2018, 64% and 48% of total revenue was attributable to customers with pricing contracts, respectively, versus 36% and 52% attributable to transactional customers, respectively. Pricing contracts are generally annual contracts or longer, with auto renewal.</w:t>
      </w:r>
    </w:p>
    <w:p>
      <w:pPr>
        <w:spacing w:after="0" w:line="200" w:lineRule="exact"/>
        <w:rPr>
          <w:sz w:val="20"/>
          <w:szCs w:val="20"/>
          <w:color w:val="auto"/>
        </w:rPr>
      </w:pPr>
    </w:p>
    <w:p>
      <w:pPr>
        <w:spacing w:after="0" w:line="221" w:lineRule="exact"/>
        <w:rPr>
          <w:sz w:val="20"/>
          <w:szCs w:val="20"/>
          <w:color w:val="auto"/>
        </w:rPr>
      </w:pPr>
      <w:r>
        <w:rPr>
          <w:rFonts w:ascii="Arial Unicode MS" w:cs="Arial Unicode MS" w:eastAsia="Arial Unicode MS" w:hAnsi="Arial Unicode MS"/>
          <w:sz w:val="18"/>
          <w:szCs w:val="18"/>
          <w:color w:val="auto"/>
        </w:rPr>
        <w:t>If a customer pays consideration before the Company transfers services to the customer, those amounts are classied as deferred revenue. As of June 30, 2019 and December 31, 2018, the balance of deferred revenue was $56 and $26, respectively, all of which is expected to be realized in the next 12 months. In relation to the deferred revenue balance as of December 31, 2018, $10 and $26 was recognized into revenue during the three and six months ended June 30, 2019, respectively.</w:t>
      </w:r>
    </w:p>
    <w:p>
      <w:pPr>
        <w:spacing w:after="0" w:line="200" w:lineRule="exact"/>
        <w:rPr>
          <w:sz w:val="20"/>
          <w:szCs w:val="20"/>
          <w:color w:val="auto"/>
        </w:rPr>
      </w:pPr>
    </w:p>
    <w:p>
      <w:pPr>
        <w:ind w:right="80"/>
        <w:spacing w:after="0" w:line="221" w:lineRule="exact"/>
        <w:rPr>
          <w:sz w:val="20"/>
          <w:szCs w:val="20"/>
          <w:color w:val="auto"/>
        </w:rPr>
      </w:pPr>
      <w:r>
        <w:rPr>
          <w:rFonts w:ascii="Arial Unicode MS" w:cs="Arial Unicode MS" w:eastAsia="Arial Unicode MS" w:hAnsi="Arial Unicode MS"/>
          <w:sz w:val="16"/>
          <w:szCs w:val="16"/>
          <w:color w:val="auto"/>
        </w:rPr>
        <w:t>As of June 30, 2019, $3,626 of revenue is expected to be recognized in the future for outstanding performance obligations, primarily related to pricing contracts that have a term of more than 12 months. $980 of revenue will be recognized in the remainder of 2019, $1,639 in 2020, $1,004 in 2021, and $3 in 2022.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98" w:lineRule="exact"/>
        <w:rPr>
          <w:sz w:val="20"/>
          <w:szCs w:val="20"/>
          <w:color w:val="auto"/>
        </w:rPr>
      </w:pPr>
    </w:p>
    <w:p>
      <w:pPr>
        <w:ind w:right="80"/>
        <w:spacing w:after="0" w:line="226" w:lineRule="exact"/>
        <w:rPr>
          <w:sz w:val="20"/>
          <w:szCs w:val="20"/>
          <w:color w:val="auto"/>
        </w:rPr>
      </w:pPr>
      <w:r>
        <w:rPr>
          <w:rFonts w:ascii="Arial Unicode MS" w:cs="Arial Unicode MS" w:eastAsia="Arial Unicode MS" w:hAnsi="Arial Unicode MS"/>
          <w:sz w:val="18"/>
          <w:szCs w:val="18"/>
          <w:color w:val="auto"/>
        </w:rPr>
        <w:t>Sales commissions are incurred and recorded on an ongoing basis over the term of the customer relationship. These costs are recorded in sales and marketing expenses.</w:t>
      </w:r>
    </w:p>
    <w:p>
      <w:pPr>
        <w:spacing w:after="0" w:line="198" w:lineRule="exact"/>
        <w:rPr>
          <w:sz w:val="20"/>
          <w:szCs w:val="20"/>
          <w:color w:val="auto"/>
        </w:rPr>
      </w:pPr>
    </w:p>
    <w:p>
      <w:pPr>
        <w:ind w:right="40"/>
        <w:spacing w:after="0" w:line="223" w:lineRule="exact"/>
        <w:rPr>
          <w:sz w:val="20"/>
          <w:szCs w:val="20"/>
          <w:color w:val="auto"/>
        </w:rPr>
      </w:pPr>
      <w:r>
        <w:rPr>
          <w:rFonts w:ascii="Arial Unicode MS" w:cs="Arial Unicode MS" w:eastAsia="Arial Unicode MS" w:hAnsi="Arial Unicode MS"/>
          <w:sz w:val="18"/>
          <w:szCs w:val="18"/>
          <w:color w:val="auto"/>
        </w:rPr>
        <w:t>In addition, the Company elected the practical expedient to not disclose the value of unsatised performance obligations for (i) contracts with an original expected length of one year or less and (ii) contracts for which the Company recognizes revenue at the amount to which it has the right to invoice for services performed.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29" w:lineRule="exact"/>
        <w:rPr>
          <w:sz w:val="20"/>
          <w:szCs w:val="20"/>
          <w:color w:val="auto"/>
        </w:rPr>
      </w:pPr>
    </w:p>
    <w:p>
      <w:pPr>
        <w:ind w:right="380"/>
        <w:spacing w:after="0" w:line="223" w:lineRule="exact"/>
        <w:rPr>
          <w:sz w:val="20"/>
          <w:szCs w:val="20"/>
          <w:color w:val="auto"/>
        </w:rPr>
      </w:pPr>
      <w:r>
        <w:rPr>
          <w:rFonts w:ascii="Arial Unicode MS" w:cs="Arial Unicode MS" w:eastAsia="Arial Unicode MS" w:hAnsi="Arial Unicode MS"/>
          <w:sz w:val="17"/>
          <w:szCs w:val="17"/>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98" w:lineRule="exact"/>
        <w:rPr>
          <w:sz w:val="20"/>
          <w:szCs w:val="20"/>
          <w:color w:val="auto"/>
        </w:rPr>
      </w:pPr>
    </w:p>
    <w:p>
      <w:pPr>
        <w:ind w:right="120"/>
        <w:spacing w:after="0" w:line="223" w:lineRule="exact"/>
        <w:rPr>
          <w:sz w:val="20"/>
          <w:szCs w:val="20"/>
          <w:color w:val="auto"/>
        </w:rPr>
      </w:pPr>
      <w:r>
        <w:rPr>
          <w:rFonts w:ascii="Arial Unicode MS" w:cs="Arial Unicode MS" w:eastAsia="Arial Unicode MS" w:hAnsi="Arial Unicode MS"/>
          <w:sz w:val="18"/>
          <w:szCs w:val="18"/>
          <w:color w:val="auto"/>
        </w:rPr>
        <w:t>red violet is a “C” corporation, while its subsidiaries are all limited liability companies. Before the Spin-off, red violet and its subsidiaries were consolidated with Fluent for U.S. federal income tax purposes. However, for purposes of these financial statements, the income tax provisions prior to the Spin-off were prepared assuming the entities filed separate tax returns.</w:t>
      </w:r>
    </w:p>
    <w:p>
      <w:pPr>
        <w:spacing w:after="0" w:line="198" w:lineRule="exact"/>
        <w:rPr>
          <w:sz w:val="20"/>
          <w:szCs w:val="20"/>
          <w:color w:val="auto"/>
        </w:rPr>
      </w:pPr>
    </w:p>
    <w:p>
      <w:pPr>
        <w:ind w:right="180"/>
        <w:spacing w:after="0" w:line="223" w:lineRule="exact"/>
        <w:rPr>
          <w:sz w:val="20"/>
          <w:szCs w:val="20"/>
          <w:color w:val="auto"/>
        </w:rPr>
      </w:pPr>
      <w:r>
        <w:rPr>
          <w:rFonts w:ascii="Arial Unicode MS" w:cs="Arial Unicode MS" w:eastAsia="Arial Unicode MS" w:hAnsi="Arial Unicode MS"/>
          <w:sz w:val="18"/>
          <w:szCs w:val="18"/>
          <w:color w:val="auto"/>
        </w:rPr>
        <w:t>The Company’s effective income tax rate differed from the statutory federal income tax rate of 21% for the three and six months ended June 30, 2019 and 2018. For the three and six months ended June 30, 2019 and 2018, the effective income tax rate was 0%, and the difference is primarily the result of the full valuation allowance applied against the Company’s deferred tax assets.</w:t>
      </w:r>
    </w:p>
    <w:p>
      <w:pPr>
        <w:spacing w:after="0" w:line="198" w:lineRule="exact"/>
        <w:rPr>
          <w:sz w:val="20"/>
          <w:szCs w:val="20"/>
          <w:color w:val="auto"/>
        </w:rPr>
      </w:pPr>
    </w:p>
    <w:p>
      <w:pPr>
        <w:ind w:right="60"/>
        <w:spacing w:after="0" w:line="220" w:lineRule="exact"/>
        <w:rPr>
          <w:sz w:val="20"/>
          <w:szCs w:val="20"/>
          <w:color w:val="auto"/>
        </w:rPr>
      </w:pPr>
      <w:r>
        <w:rPr>
          <w:rFonts w:ascii="Arial Unicode MS" w:cs="Arial Unicode MS" w:eastAsia="Arial Unicode MS" w:hAnsi="Arial Unicode MS"/>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201" w:lineRule="exact"/>
        <w:rPr>
          <w:sz w:val="20"/>
          <w:szCs w:val="20"/>
          <w:color w:val="auto"/>
        </w:rPr>
      </w:pPr>
    </w:p>
    <w:p>
      <w:pPr>
        <w:ind w:right="80"/>
        <w:spacing w:after="0" w:line="226" w:lineRule="exact"/>
        <w:rPr>
          <w:sz w:val="20"/>
          <w:szCs w:val="20"/>
          <w:color w:val="auto"/>
        </w:rPr>
      </w:pPr>
      <w:r>
        <w:rPr>
          <w:rFonts w:ascii="Arial Unicode MS" w:cs="Arial Unicode MS" w:eastAsia="Arial Unicode MS" w:hAnsi="Arial Unicode MS"/>
          <w:sz w:val="18"/>
          <w:szCs w:val="18"/>
          <w:color w:val="auto"/>
        </w:rPr>
        <w:t>The Company continually evaluates expiring statutes of limitations, audits, proposed settlements, changes in tax law and new authoritative rulings. All of the Company’s income tax filings since 2015 remain open for tax examinations.</w:t>
      </w:r>
    </w:p>
    <w:p>
      <w:pPr>
        <w:spacing w:after="0" w:line="191"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The Company does not have any unrecognized tax benefits as of June 30, 2019 and December 31, 2018.</w:t>
      </w:r>
    </w:p>
    <w:p>
      <w:pPr>
        <w:spacing w:after="0" w:line="191" w:lineRule="exact"/>
        <w:rPr>
          <w:sz w:val="20"/>
          <w:szCs w:val="20"/>
          <w:color w:val="auto"/>
        </w:rPr>
      </w:pPr>
    </w:p>
    <w:p>
      <w:pPr>
        <w:jc w:val="center"/>
        <w:ind w:right="-39"/>
        <w:spacing w:after="0" w:line="242" w:lineRule="exact"/>
        <w:rPr>
          <w:sz w:val="20"/>
          <w:szCs w:val="20"/>
          <w:color w:val="auto"/>
        </w:rPr>
      </w:pPr>
      <w:r>
        <w:rPr>
          <w:rFonts w:ascii="Arial Unicode MS" w:cs="Arial Unicode MS" w:eastAsia="Arial Unicode MS" w:hAnsi="Arial Unicode MS"/>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Fluent, in its capacity as sole stockholder of red violet prior to the Spin-off, approved the Red Violet, Inc. 2018 Stock Incentive Plan (the “2018 Plan”), which became effective immediately prior to the Spin-off.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there were 731,000 shares of common stock reserved for issuance under the 2018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unvested RSU activity during the six months ended June 30,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9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Unvested as of December 31, 2018 </w:t>
            </w:r>
            <w:r>
              <w:rPr>
                <w:rFonts w:ascii="Times New Roman" w:cs="Times New Roman" w:eastAsia="Times New Roman" w:hAnsi="Times New Roman"/>
                <w:sz w:val="15"/>
                <w:szCs w:val="15"/>
                <w:color w:val="auto"/>
              </w:rPr>
              <w:t>(1)</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2,121,000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5"/>
                <w:szCs w:val="15"/>
                <w:color w:val="auto"/>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183,500</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Vested not delivered</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(35,500)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June 30, 2019</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2,237,000</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60" w:hanging="372"/>
        <w:spacing w:after="0" w:line="257"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2018, the Company’s compensation committee approved the grant of an aggregate of 1,487,500 RSUs, subject to both time- and performance-based requirements, to certain of its executive officers and directors, at a grant date fair value of $7.69 per share, under the 2018 Plan, with a three-year vesting period. Such RSU grants shall not vest unless and until the Company has, for any fiscal quarter in which the RSUs are outstanding,</w:t>
      </w:r>
    </w:p>
    <w:p>
      <w:pPr>
        <w:spacing w:after="0" w:line="1" w:lineRule="exact"/>
        <w:rPr>
          <w:rFonts w:ascii="Times New Roman" w:cs="Times New Roman" w:eastAsia="Times New Roman" w:hAnsi="Times New Roman"/>
          <w:sz w:val="18"/>
          <w:szCs w:val="18"/>
          <w:color w:val="auto"/>
        </w:rPr>
      </w:pPr>
    </w:p>
    <w:p>
      <w:pPr>
        <w:ind w:left="600" w:hanging="214"/>
        <w:spacing w:after="0"/>
        <w:tabs>
          <w:tab w:leader="none" w:pos="6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revenue determined in accordance with the Company’s reviewed or audited financial statements in excess of $7.0 million for such fiscal quarter,</w:t>
      </w:r>
    </w:p>
    <w:p>
      <w:pPr>
        <w:spacing w:after="0" w:line="20" w:lineRule="exact"/>
        <w:rPr>
          <w:rFonts w:ascii="Times New Roman" w:cs="Times New Roman" w:eastAsia="Times New Roman" w:hAnsi="Times New Roman"/>
          <w:sz w:val="17"/>
          <w:szCs w:val="17"/>
          <w:color w:val="auto"/>
        </w:rPr>
      </w:pPr>
    </w:p>
    <w:p>
      <w:pPr>
        <w:ind w:left="380" w:right="40" w:firstLine="6"/>
        <w:spacing w:after="0" w:line="25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as determined based on amounts derived from the Company’s reviewed or audited financial statements for such fiscal quarter, and (iii) the participant continues to provide services to the Company either as an employee, director or consultant on the last date of the quarter that the performance criteria is met (collectively, the “Performance Criteria”). If the Performance Criteria are met, the RSUs will vest one-third annually on each of July 1, 2019, July 1, 2020 and July 1, 2021. In the event of a change of control, all RSUs which have not vested on the date of such change of control shall immediately vest even if the Performance Criteria has not been met. As of June 30, 2019, the Company determined that the Performance Criteria was met and expects to issue shares underlying the RSUs in accordance with the continuing time-based vesting requirement.</w:t>
      </w:r>
    </w:p>
    <w:p>
      <w:pPr>
        <w:spacing w:after="0" w:line="190" w:lineRule="exact"/>
        <w:rPr>
          <w:rFonts w:ascii="Times New Roman" w:cs="Times New Roman" w:eastAsia="Times New Roman" w:hAnsi="Times New Roman"/>
          <w:sz w:val="18"/>
          <w:szCs w:val="18"/>
          <w:color w:val="auto"/>
        </w:rPr>
      </w:pPr>
    </w:p>
    <w:p>
      <w:pPr>
        <w:ind w:left="380" w:right="200" w:hanging="372"/>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16, 2019, an aggregate of 183,500 RSUs were granted to certain employees of the Company, at a grant date fair value of $7.25 per share, under the 2018 Plan, with vesting periods ranging from three to four years. Among these grants, 90,000 RSUs were also subject to the Performance Criteria, as defined above. Based on the achievement of the Performance Criteria as of June 30, 2019, the Company expects to issue shares underlying the 90,000 RSUs in accordance with the continuing time-based vesting requirement.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meeting the Performance Criteria as of June 30, 2019, the Company recognized a total of $3,414 of share-based compensation expense relating to RSUs with Performance Criteria during the three-month period ended June 30, 2019. Of the $3,414 recognized, $2,351 represented a catch-up of unamortized expense from September 5, 2018 through March 31, 2019, which was not recognized in prior periods because the Company determined at each period end that it was not probable that the Performance Criteria would be met.</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June 30, 2019, unrecognized share-based compensation expense associated with the granted RSUs amounted to $12,334, which is expected to be recognized over a remaining weighted average period of 2.2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and six months ended June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24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3,520</w:t>
            </w: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3,609</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14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3,777</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amounts recorded in the six months ended June 30, 2018 included an allocation of share-based compensation related to the share-based awards granted by Fluent to Company employees or non-employees prior to the Spin-off.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7, 2018, the Company entered into an executive chairman services agreement with Mr. Michael Brauser, the then Executive Chairman of the Company, pursuant to which Mr. Brauser will be providing recommendations on organizational and capital structure, future acquisitions and strategic transactions (“Services Agreement”), for a term of one year, automatically renewing for additional one-year periods unless either party provides written notice to the other of its intent not to renew not fewer than 30 days prior to the expiration of the then current term. Mr. Brauser remains a consultant to the Company and continues to provide services under the existing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$90 and $180 during the three and six months ended June 30, 2019, respectively. In addition, amortization of share-based compensation expense of $1,115 in relation to the RSUs with Performance Criteria previously granted to Mr. Brauser was recognized during the three months ended June 30,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by Fluent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by Fluent represents cash funding provided or the portion of certain expenses allocated by Fluent to red violet, on or prior to the Spin-off.</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allocated expenses are primarily corporate employee salaries and benefits of the functional groups (inclusive of executive management, accounting, administrative and information technology) and corporate administrative expenses (inclusive of legal services, accounting and finance services and other corporate and infrastructure services). Corporate employee salaries and benefits were allocated on the basis of time spent, and corporate administrative expenses were allocated on the basis of relative percentage of services utilized or benefit received. red violet recorded expenses of $325 for the three months ended March 31, 2018 as a result of the allocation of expenses from Fluent. Upon the Spin-off, Fluent no longer allocates any expenses to red violet.</w:t>
      </w:r>
    </w:p>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share-based compensation of $344, relating to the share-based awards granted by Fluent prior to the Spin-off, was recorded during the three months ended March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For the three and six months ended June 30, 2019, a summary of the Company’s lease information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5"/>
                <w:szCs w:val="15"/>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FF0FC"/>
          </w:tcPr>
          <w:p>
            <w:pPr>
              <w:spacing w:after="0"/>
              <w:rPr>
                <w:sz w:val="19"/>
                <w:szCs w:val="19"/>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Weighted average discount rate for operating leases </w:t>
            </w:r>
            <w:r>
              <w:rPr>
                <w:rFonts w:ascii="Times New Roman" w:cs="Times New Roman" w:eastAsia="Times New Roman" w:hAnsi="Times New Roman"/>
                <w:sz w:val="15"/>
                <w:szCs w:val="15"/>
                <w:color w:val="auto"/>
              </w:rPr>
              <w:t>(1)</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93" w:lineRule="exact"/>
        <w:rPr>
          <w:sz w:val="20"/>
          <w:szCs w:val="20"/>
          <w:color w:val="auto"/>
        </w:rPr>
      </w:pPr>
    </w:p>
    <w:p>
      <w:pPr>
        <w:ind w:left="380" w:right="10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weighted average remaining operating lease term was 5.3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scheduled future maturities and present value of the operating lease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maturities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Present value included in condensed consolidated balance sheet: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Difference between the maturities and the present value of operating lease liabilities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incurred data costs of $1,867 and $1,361 for the three months ended June 30, 2019 and 2018, respectively, and $3,555 and $2,653 for the six months ended June 30, 2019 and 2018, respectively, under certain data licensing agreements. As of June 30, 2019, material capital commitments under certain data licensing agreements were $18,549, shown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9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June 21, 2018, the U.S. Supreme Court in South Dakota v. Wayfair, Inc. et al, overturned prior law which required physical presence for nexus and endorsed economic nexus as a basis for South Dakota to require online merchants to collect and remit sales taxes, even if the business does not have an in-state physical presence (the "Wayfair Decision"). As of June 30, 2019, the vast majority of states have enacted or announced their own interpretation of the Wayfair Decision. The Company collects and remits sales tax in certain states, as a result of the Wayfair Decision and as a result of its continued overall compliance and review practice related to its sales and use tax obligations. In addition, the Company is currently undergoing a state sales and use tax examination.</w:t>
      </w:r>
    </w:p>
    <w:p>
      <w:pPr>
        <w:sectPr>
          <w:pgSz w:w="11900" w:h="16838" w:orient="portrait"/>
          <w:cols w:equalWidth="0" w:num="1">
            <w:col w:w="11420"/>
          </w:cols>
          <w:pgMar w:left="240" w:top="33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our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Based upon its analysis of potential sales and use tax labilities, the Company determined that there were no matters that required an accrual as of the balance sheet date, June 30, 2019. The Company estimates that adverse decisions, if any, related to state sales and use tax examinations could result in a possible loss up to $213.</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Quarterly Report on Form 10-Q, as well as the disclosures made in the Company’s Annual Report on Form 10-K for the year ended December 31, 2018 filed on March 7, 2019 (“2018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are building out our sales organization to drive current products and to introduce new products into the market place. We will incur increased compensation expenses relating to our sales and marketing, support, administrative, infrastructure, and engineering-related personnel as we increase headcount in the next 12 months.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dedicated to making the world a safer place and reducing the cost of doing business. We specialize in big data analysis, providing cloud-based, mission-critical solutions to enterprises in a variety of industries. Through our intelligent platform, CORE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we uncover the relevance of disparate data points utilizing our analytical capabilities to provide real-time and insightful views of people, businesses, assets and their interrelationships.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Leveraging proprietary technology and applying machine learning and advanced analytic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presently market our solutions primarily through two brands, idiCORE™, our flagship product, and FOREWARN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the collection industry,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2019, idiCORE had over 4,370 customers and FOREWARN had over 19,700 users.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62% and 64% of total revenue for the three and six months ended June 30, 2019, respectively.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March 26, 2018, Fluent, Inc. (“Fluent”) spun off its risk management business by way of a distribution of all of the shares of common stock of its then wholly-owned subsidiary, red violet, to its stockholders as of the record date and certain warrant holders (the “Spin-off”). Upon the Spin-off, red violet owned Fluent subsidiaries that previously operated Fluent’s risk management business, and red violet became an independent public company. For periods prior to the Spin-off, these financial statements were prepared on a consolidated and combined basis because certain of the entities were under common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refer to our 2018 Form 10-K. There have been no material changes to Critical Accounting Policies and Estimates disclosed in our 2018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2019 as compared to the three months ended June 30, 2018:</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85% to $7.2 million.</w:t>
      </w:r>
    </w:p>
    <w:p>
      <w:pPr>
        <w:spacing w:after="0" w:line="11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$3.9 million (including share-based compensation expense of $3.6 million, which includes a one-time $2.4 million as a result of achieving certain financial milestones) as compared to $1.5 million (including share-based compensation expense of $0.0 million).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was $0.37 ($0.15 excluding the one-time $2.4 million expense referenced above) as compared to $0.15.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130% to $4.2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increased to 58% from 47%.</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$0.4 million as compared to a negative $1.1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 net</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 income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5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present adjusted EBITDA, adjusted gross profit and adjusted gross margin as supplemental measures of our operating performance because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of our business, evaluate the performance of our senior management and measure the operating strength of our business.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adjusted gross profit and adjusted gross margin are measures frequently used by securities analysts, investors and other interested parties in their evaluation of the operating performance of companies similar to ours and are indicators of the operational strength of our business. Adjusted EBITDA eliminates the uneven effect of considerable amounts of non-cash depreciation and amortization, share-based compensation expense and the impact of other items. Adjusted gross profit and adjusted gross margin are calculated by using cost of revenue (exclusive of depreciation and amortization).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EBITDA, adjusted gross profit and adjusted gross margin are not intended to be performance measures that should be regarded as an alternative to, or more meaningful than, either loss before income taxes or net loss as indicators of operating performance or to cash flows from operating activities as a measure of liquidity.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2019 compared to three months ended June 30, 2018</w:t>
      </w:r>
    </w:p>
    <w:p>
      <w:pPr>
        <w:spacing w:after="0" w:line="22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$3.3 million or 85% to $7.2 million for the three months ended June 30, 2019 from $3.9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2018. This increase was driven by strong growth in volume from onboarding of new customers and usage from existing customers. Our idiCORE billable customer base grew from approximately 3,300 customers as of June 30, 2018 to 4,370 customers as of June 30, 2019.</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$1.0 million or 46% to $3.1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2019 from $2.1 million for the three months ended June 30, 2018.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41% of our total data acquisition costs for the three months ended June 30, 2019 compared to approximately 49% for the three months ended June 30, 2018. Other cost of revenue items include expenses related to third-party infrastructure fees.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42% for the three months ended June 30, 2019 from 53% for the three months ended June 30,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7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$0.8 million or 63% to $2.0 million for the three months ended June 30, 2019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 million for the three months ended June 30, 2018. Sales and marketing expenses consist of salaries and benefits, advertising and marketing, traveling expenses, and share-based compensation expense, incurred by our sales team, and provision for bad debts. The increase in the three months ended June 30, 2019 was primarily attributable to the increase in salaries and benefits resulting from increased headcount as we continue to invest in the expansion of our sales organization, and the increase in provision for bad debts.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$3.7 million or 210% to $5.4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2019 from $1.7 million for the three months ended June 30, 2018. For the three months ended June 30, 2019 and 2018, our general and administrative expenses consisted primarily of employee salaries and benefits of $1.0 million and $0.7 million, share-based compensation expense of $3.5 million (including a one-time $2.4 million as a result of achieving certain performance-based milestones) and $0.0 million, and professional fees of $0.4 million and $0.6 million, respectively.</w:t>
      </w:r>
    </w:p>
    <w:p>
      <w:pPr>
        <w:spacing w:after="0" w:line="18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$0.2 million or 42% to $0.7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from $0.5 million for the three months ended June 30, 2018. The increase in depreciation and amortization for the three months ended June 30, 2019 resulted from the amortization of software developed for internal use that became ready for its intended use after the second quarter of 2018.</w:t>
      </w:r>
    </w:p>
    <w:p>
      <w:pPr>
        <w:spacing w:after="0" w:line="17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Loss before income taxes</w:t>
      </w:r>
      <w:r>
        <w:rPr>
          <w:rFonts w:ascii="Times New Roman" w:cs="Times New Roman" w:eastAsia="Times New Roman" w:hAnsi="Times New Roman"/>
          <w:sz w:val="18"/>
          <w:szCs w:val="18"/>
          <w:color w:val="auto"/>
        </w:rPr>
        <w:t>. We had a loss before income taxes of $3.9 million for the three months ended June 30, 2019 as compared to $1.5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2018. The increase in loss before income taxes was primarily attributable to the recognition of share-based compensation expense of $3.4 million relating to RSUs with certain performance criteria ($2.4 million of which is one-time), which was partially offset by the increase in revenue and the decrease in our cost of revenue as a percentage of revenue.</w:t>
      </w:r>
    </w:p>
    <w:p>
      <w:pPr>
        <w:spacing w:after="0" w:line="17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of $0 was recognized for three months ended June 30, 2019 and 2018. A full valuation allowance on the deferred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was recognized as of June 30, 2019 and 2018. See Note 6, “Income Taxes,” included in “Notes to Condensed Consolidated Financial Statements,” for details.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A net loss of $3.9 million was recognized for the three months ended June 30, 2019 as compared to $1.5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as a result of the foregoing.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 compared to six months ended June 30, 2018</w:t>
      </w:r>
    </w:p>
    <w:p>
      <w:pPr>
        <w:spacing w:after="0" w:line="22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$5.8 million or 79% to $13.0 million for the six months ended June 30, 2019 from $7.2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2018. This increase was driven by strong growth in volume from onboarding of new customers and usage from existing customers. Our idiCORE billable customer base grew from approximately 3,300 customers as of June 30, 2018 to 4,370 customers as of June 30, 2019.</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Cost of revenue (exclusive of depreciation and amortization)</w:t>
      </w:r>
      <w:r>
        <w:rPr>
          <w:rFonts w:ascii="Times New Roman" w:cs="Times New Roman" w:eastAsia="Times New Roman" w:hAnsi="Times New Roman"/>
          <w:sz w:val="17"/>
          <w:szCs w:val="17"/>
          <w:color w:val="auto"/>
        </w:rPr>
        <w:t>. Cost of revenue increased $1.6 million or 40% to $5.7 million for the six months ended June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2019 from $4.1 million for the six months ended June 30, 2018.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41% of our total data acquisition costs for the six months ended June 30, 2019 compared to approximately 49% for the six months ended June 30, 2018. Other cost of revenue items include expenses related to third-party infrastructure fees.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8" w:name="page19"/>
    <w:bookmarkEnd w:id="18"/>
    <w:p>
      <w:pPr>
        <w:ind w:right="20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44% for the six months ended June 30, 2019 from 57% for the six months ended June 30,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7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$1.2 million or 51% to $3.5 million for the six months ended June 30, 2019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 million for the six months ended June 30, 2018. Sales and marketing expenses consist of salaries and benefits, advertising and marketing, traveling expenses, and share-based compensation expense, incurred by our sales team, and provision for bad debts. The increase in the six months ended June 30, 2019 was primarily attributable to the increase in salaries and benefits resulting from increased headcount as we continue to invest in the expansion of our sales organization, and the increase in provision for bad debts.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$4.2 million or 116% to $7.8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from $3.6 million for the six months ended June 30, 2018. For the six months ended June 30, 2019 and 2018, our general and administrative expenses consisted primarily of employee salaries and benefits of $2.0 million and $1.5 million, share-based compensation expense of $3.7 million (including a one-time $1.3 million as a result of achieving certain performance-based milestones) and $0.2 million, and professional fees of $1.2 million and $1.0 million, respectively.</w:t>
      </w:r>
    </w:p>
    <w:p>
      <w:pPr>
        <w:spacing w:after="0" w:line="1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$0.4 million or 40% to $1.3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from $0.9 million for the six months ended June 30, 2018. The increase in depreciation and amortization for the six months ended June 30, 2019 resulted from the amortization of software developed for internal use that became ready for its intended use after the second quarter of 2018.</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Loss before income taxes</w:t>
      </w:r>
      <w:r>
        <w:rPr>
          <w:rFonts w:ascii="Times New Roman" w:cs="Times New Roman" w:eastAsia="Times New Roman" w:hAnsi="Times New Roman"/>
          <w:sz w:val="18"/>
          <w:szCs w:val="18"/>
          <w:color w:val="auto"/>
        </w:rPr>
        <w:t>. We had a loss before income taxes of $5.2 million for the six months ended June 30, 2019 as compared to $3.6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2018. The increase in loss before income taxes was primarily attributable to the recognition of share-based compensation expense of $3.4 million relating to RSUs with certain performance criteria ($1.3 million of which is one-time), which was partially offset by the increase in revenue and the decrease in our cost of revenue as a percentage of revenue.</w:t>
      </w:r>
    </w:p>
    <w:p>
      <w:pPr>
        <w:spacing w:after="0" w:line="177"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Income taxes</w:t>
      </w:r>
      <w:r>
        <w:rPr>
          <w:rFonts w:ascii="Times New Roman" w:cs="Times New Roman" w:eastAsia="Times New Roman" w:hAnsi="Times New Roman"/>
          <w:sz w:val="17"/>
          <w:szCs w:val="17"/>
          <w:color w:val="auto"/>
        </w:rPr>
        <w:t>. Income tax expense of $0 was recognized for six months ended June 30, 2019 and 2018. A full valuation allowance on the deferred tax assets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recognized as of June 30, 2019 and 2018. See Note 6, “Income Taxes,” included in “Notes to Condensed Consolidated Financial Statements,” for details.</w:t>
      </w:r>
    </w:p>
    <w:p>
      <w:pPr>
        <w:spacing w:after="0" w:line="13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A net loss of $5.2 million was recognized for the six months ended June 30, 2019 as compared to $3.6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as a result of the foregoing.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Cash flows used in operating activities</w:t>
      </w:r>
      <w:r>
        <w:rPr>
          <w:rFonts w:ascii="Times New Roman" w:cs="Times New Roman" w:eastAsia="Times New Roman" w:hAnsi="Times New Roman"/>
          <w:sz w:val="18"/>
          <w:szCs w:val="18"/>
          <w:color w:val="auto"/>
        </w:rPr>
        <w:t>. For the six months ended June 30, 2019, net cash used in operating activities was $1.1 million, primarily the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of $5.2 million, adjusted for certain non-cash items (consisting of share-based compensation expense, depreciation and amortization, write-off of long-lived assets, provision for bad debts and noncash lease expenses) totaling $5.7 million, and the cash used as a result of changes in assets and liabilities of $1.6 million, primarily the result of the increase in accounts receivable, following the increase in revenue, and the decrease in other noncurrent assets and operating lease liabilities. For the six months ended June 30, 2018, net cash used in operating activities was $5.2 million, primarily the result of the net loss of $3.6 million, adjusted for certain non-cash items of an aggregate of $1.7 million, and the cash used as a result of changes in assets and liabilities of $3.3 million, primarily the result of the increase in accounts receivable and prepaid expenses and other current assets, and the decrease in accrued expenses and other current liabilities.</w:t>
      </w:r>
    </w:p>
    <w:p>
      <w:pPr>
        <w:spacing w:after="0" w:line="1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Net cash used in investing activities for the six months ended June 30, 2019 and 2018 was $2.9 million, primarily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capitalized costs included in intangible assets for the corresponding periods.</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Cash flows provided by financing activities</w:t>
      </w:r>
      <w:r>
        <w:rPr>
          <w:rFonts w:ascii="Times New Roman" w:cs="Times New Roman" w:eastAsia="Times New Roman" w:hAnsi="Times New Roman"/>
          <w:sz w:val="18"/>
          <w:szCs w:val="18"/>
          <w:color w:val="auto"/>
        </w:rPr>
        <w:t>. Net cash provided by financing activities for the six months ended June 30, 2018 was $23.9 million (inclusive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$20.0 million cash contribution by Fluent to red violet upon the Spin-off) as a result of capital contributed by Fluent. We had no cash flows used in/provided by financing activities for the six months ended June 30, 2019.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360"/>
        <w:spacing w:after="0" w:line="282" w:lineRule="auto"/>
        <w:rPr>
          <w:sz w:val="20"/>
          <w:szCs w:val="20"/>
          <w:color w:val="auto"/>
        </w:rPr>
      </w:pPr>
      <w:r>
        <w:rPr>
          <w:rFonts w:ascii="Times New Roman" w:cs="Times New Roman" w:eastAsia="Times New Roman" w:hAnsi="Times New Roman"/>
          <w:sz w:val="18"/>
          <w:szCs w:val="18"/>
          <w:color w:val="auto"/>
        </w:rPr>
        <w:t>As of June 30, 2019, we had material commitments under certain data licensing agreements of $18.5 million. We anticipate funding our operations using available cash and cash flow generated from operations within the next twelve months.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reported net loss of $3.9 million and $1.5 million for the three months ended June 30, 2019 and 2018, respectively, and $5.2 million and $3.6 million for the six months ended June 30, 2019 and 2018, respectively. As of June 30, 2019, we had a total shareholders’ equity balance of $35.3 million.</w:t>
      </w:r>
    </w:p>
    <w:p>
      <w:pPr>
        <w:spacing w:after="0" w:line="1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June 30, 2019, we had cash and cash equivalents of approximately $5.9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 Subject to revenue growth, we may have to raise capital through the issuance of additional equity and/or debt, which, if we are able to obtain, could have the effect of diluting stockholders. Any equity or debt financings, if available at all, may be on terms which are not favorable to us. If our operations do not generate positive cash flow in the upcoming year, or if we are not able to obtain additional equity or debt financing on terms and conditions acceptable to us, if at all, we may be unable to implement our business plan, or even continue our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we did not have any off-balance sheet arrangements, as defined in Item 303(a)(4)(ii) of Regulation S-K.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2019.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8"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2019.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latest fiscal quarter of 2019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Annual Report on Form 10-K for the year ended December 31, 2018 filed with the Securities and Exchange Commission on March 7,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42"/>
        </w:trPr>
        <w:tc>
          <w:tcPr>
            <w:tcW w:w="126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4380" w:type="dxa"/>
            <w:vAlign w:val="bottom"/>
            <w:gridSpan w:val="11"/>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20" w:type="dxa"/>
            <w:vAlign w:val="bottom"/>
          </w:tcPr>
          <w:p>
            <w:pPr>
              <w:spacing w:after="0"/>
              <w:rPr>
                <w:sz w:val="12"/>
                <w:szCs w:val="12"/>
                <w:color w:val="auto"/>
              </w:rPr>
            </w:pPr>
          </w:p>
        </w:tc>
        <w:tc>
          <w:tcPr>
            <w:tcW w:w="106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Form</w:t>
            </w:r>
          </w:p>
        </w:tc>
        <w:tc>
          <w:tcPr>
            <w:tcW w:w="60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b w:val="1"/>
                <w:bCs w:val="1"/>
                <w:color w:val="auto"/>
              </w:rPr>
              <w:t>File No.</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6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2"/>
                <w:szCs w:val="12"/>
                <w:color w:val="auto"/>
              </w:rPr>
            </w:pPr>
          </w:p>
        </w:tc>
        <w:tc>
          <w:tcPr>
            <w:tcW w:w="4380" w:type="dxa"/>
            <w:vAlign w:val="bottom"/>
            <w:tcBorders>
              <w:top w:val="single" w:sz="8" w:color="auto"/>
            </w:tcBorders>
            <w:gridSpan w:val="11"/>
          </w:tcPr>
          <w:p>
            <w:pPr>
              <w:spacing w:after="0" w:line="142" w:lineRule="exact"/>
              <w:rPr>
                <w:rFonts w:ascii="Times New Roman" w:cs="Times New Roman" w:eastAsia="Times New Roman" w:hAnsi="Times New Roman"/>
                <w:sz w:val="14"/>
                <w:szCs w:val="14"/>
                <w:color w:val="0000EE"/>
              </w:rPr>
            </w:pPr>
            <w:hyperlink w:anchor="page25">
              <w:r>
                <w:rPr>
                  <w:rFonts w:ascii="Times New Roman" w:cs="Times New Roman" w:eastAsia="Times New Roman" w:hAnsi="Times New Roman"/>
                  <w:sz w:val="14"/>
                  <w:szCs w:val="14"/>
                  <w:color w:val="0000EE"/>
                </w:rPr>
                <w:t>Employment Agreement between Red Violet, Inc. and Jeffrey Dell entered</w:t>
              </w:r>
            </w:hyperlink>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1"/>
                <w:szCs w:val="11"/>
                <w:color w:val="auto"/>
              </w:rPr>
            </w:pPr>
          </w:p>
        </w:tc>
        <w:tc>
          <w:tcPr>
            <w:tcW w:w="4300" w:type="dxa"/>
            <w:vAlign w:val="bottom"/>
            <w:tcBorders>
              <w:top w:val="single" w:sz="8" w:color="0000EE"/>
            </w:tcBorders>
            <w:gridSpan w:val="9"/>
          </w:tcPr>
          <w:p>
            <w:pPr>
              <w:spacing w:after="0" w:line="129" w:lineRule="exact"/>
              <w:rPr>
                <w:rFonts w:ascii="Times New Roman" w:cs="Times New Roman" w:eastAsia="Times New Roman" w:hAnsi="Times New Roman"/>
                <w:sz w:val="14"/>
                <w:szCs w:val="14"/>
                <w:color w:val="0000EE"/>
              </w:rPr>
            </w:pPr>
            <w:hyperlink w:anchor="page25">
              <w:r>
                <w:rPr>
                  <w:rFonts w:ascii="Times New Roman" w:cs="Times New Roman" w:eastAsia="Times New Roman" w:hAnsi="Times New Roman"/>
                  <w:sz w:val="14"/>
                  <w:szCs w:val="14"/>
                  <w:color w:val="0000EE"/>
                </w:rPr>
                <w:t>into on April 9, 2019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2"/>
          </w:tcPr>
          <w:p>
            <w:pPr>
              <w:spacing w:after="0" w:line="142" w:lineRule="exact"/>
              <w:rPr>
                <w:rFonts w:ascii="Times New Roman" w:cs="Times New Roman" w:eastAsia="Times New Roman" w:hAnsi="Times New Roman"/>
                <w:sz w:val="14"/>
                <w:szCs w:val="14"/>
                <w:color w:val="0000EE"/>
                <w:w w:val="97"/>
              </w:rPr>
            </w:pPr>
            <w:hyperlink w:anchor="page35">
              <w:r>
                <w:rPr>
                  <w:rFonts w:ascii="Times New Roman" w:cs="Times New Roman" w:eastAsia="Times New Roman" w:hAnsi="Times New Roman"/>
                  <w:sz w:val="14"/>
                  <w:szCs w:val="14"/>
                  <w:color w:val="0000EE"/>
                  <w:w w:val="97"/>
                </w:rPr>
                <w:t>Certification of Chief</w:t>
              </w:r>
            </w:hyperlink>
          </w:p>
        </w:tc>
        <w:tc>
          <w:tcPr>
            <w:tcW w:w="2920" w:type="dxa"/>
            <w:vAlign w:val="bottom"/>
            <w:tcBorders>
              <w:bottom w:val="single" w:sz="8" w:color="0000EE"/>
            </w:tcBorders>
            <w:gridSpan w:val="6"/>
          </w:tcPr>
          <w:p>
            <w:pPr>
              <w:ind w:left="60"/>
              <w:spacing w:after="0" w:line="142" w:lineRule="exact"/>
              <w:rPr>
                <w:rFonts w:ascii="Times New Roman" w:cs="Times New Roman" w:eastAsia="Times New Roman" w:hAnsi="Times New Roman"/>
                <w:sz w:val="14"/>
                <w:szCs w:val="14"/>
                <w:color w:val="0000EE"/>
              </w:rPr>
            </w:pPr>
            <w:hyperlink w:anchor="page35">
              <w:r>
                <w:rPr>
                  <w:rFonts w:ascii="Times New Roman" w:cs="Times New Roman" w:eastAsia="Times New Roman" w:hAnsi="Times New Roman"/>
                  <w:sz w:val="14"/>
                  <w:szCs w:val="14"/>
                  <w:color w:val="0000EE"/>
                </w:rPr>
                <w:t>Executive Officer filed pursuant to Exchange Act</w:t>
              </w:r>
            </w:hyperlink>
          </w:p>
        </w:tc>
        <w:tc>
          <w:tcPr>
            <w:tcW w:w="2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11"/>
          </w:tcPr>
          <w:p>
            <w:pPr>
              <w:spacing w:after="0" w:line="129" w:lineRule="exact"/>
              <w:rPr>
                <w:rFonts w:ascii="Times New Roman" w:cs="Times New Roman" w:eastAsia="Times New Roman" w:hAnsi="Times New Roman"/>
                <w:sz w:val="14"/>
                <w:szCs w:val="14"/>
                <w:color w:val="0000EE"/>
              </w:rPr>
            </w:pPr>
            <w:hyperlink w:anchor="page35">
              <w:r>
                <w:rPr>
                  <w:rFonts w:ascii="Times New Roman" w:cs="Times New Roman" w:eastAsia="Times New Roman" w:hAnsi="Times New Roman"/>
                  <w:sz w:val="14"/>
                  <w:szCs w:val="14"/>
                  <w:color w:val="0000EE"/>
                </w:rPr>
                <w:t>Rules 13a-14(a) and 15d-14(a) of the Securities and Exchange Act of 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1"/>
                <w:szCs w:val="11"/>
                <w:color w:val="auto"/>
              </w:rPr>
            </w:pPr>
          </w:p>
        </w:tc>
        <w:tc>
          <w:tcPr>
            <w:tcW w:w="4320" w:type="dxa"/>
            <w:vAlign w:val="bottom"/>
            <w:tcBorders>
              <w:top w:val="single" w:sz="8" w:color="0000EE"/>
            </w:tcBorders>
            <w:gridSpan w:val="10"/>
          </w:tcPr>
          <w:p>
            <w:pPr>
              <w:spacing w:after="0" w:line="129" w:lineRule="exact"/>
              <w:rPr>
                <w:rFonts w:ascii="Times New Roman" w:cs="Times New Roman" w:eastAsia="Times New Roman" w:hAnsi="Times New Roman"/>
                <w:sz w:val="14"/>
                <w:szCs w:val="14"/>
                <w:color w:val="0000EE"/>
              </w:rPr>
            </w:pPr>
            <w:hyperlink w:anchor="page35">
              <w:r>
                <w:rPr>
                  <w:rFonts w:ascii="Times New Roman" w:cs="Times New Roman" w:eastAsia="Times New Roman" w:hAnsi="Times New Roman"/>
                  <w:sz w:val="14"/>
                  <w:szCs w:val="14"/>
                  <w:color w:val="0000EE"/>
                </w:rPr>
                <w:t>as adopted pursuant to Section 302 of the Sarbanes-Oxley Act of 2002</w:t>
              </w:r>
              <w:r>
                <w:rPr>
                  <w:rFonts w:ascii="Times New Roman" w:cs="Times New Roman" w:eastAsia="Times New Roman" w:hAnsi="Times New Roman"/>
                  <w:sz w:val="14"/>
                  <w:szCs w:val="14"/>
                  <w:color w:val="000000"/>
                </w:rPr>
                <w:t>.</w:t>
              </w:r>
            </w:hyperlink>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4"/>
                <w:szCs w:val="14"/>
                <w:color w:val="0000EE"/>
              </w:rPr>
            </w:pPr>
            <w:hyperlink w:anchor="page36">
              <w:r>
                <w:rPr>
                  <w:rFonts w:ascii="Times New Roman" w:cs="Times New Roman" w:eastAsia="Times New Roman" w:hAnsi="Times New Roman"/>
                  <w:sz w:val="14"/>
                  <w:szCs w:val="14"/>
                  <w:color w:val="0000EE"/>
                </w:rPr>
                <w:t>Certification of Chief Financial Officer filed pursuant to Exchange Act</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00" w:type="dxa"/>
            <w:vAlign w:val="bottom"/>
            <w:gridSpan w:val="5"/>
            <w:vMerge w:val="restart"/>
          </w:tcPr>
          <w:p>
            <w:pPr>
              <w:jc w:val="right"/>
              <w:ind w:right="80"/>
              <w:spacing w:after="0"/>
              <w:rPr>
                <w:rFonts w:ascii="Times New Roman" w:cs="Times New Roman" w:eastAsia="Times New Roman" w:hAnsi="Times New Roman"/>
                <w:sz w:val="14"/>
                <w:szCs w:val="14"/>
                <w:color w:val="0000EE"/>
                <w:w w:val="71"/>
              </w:rPr>
            </w:pPr>
            <w:hyperlink w:anchor="page36">
              <w:r>
                <w:rPr>
                  <w:rFonts w:ascii="Times New Roman" w:cs="Times New Roman" w:eastAsia="Times New Roman" w:hAnsi="Times New Roman"/>
                  <w:sz w:val="14"/>
                  <w:szCs w:val="14"/>
                  <w:color w:val="0000EE"/>
                  <w:w w:val="71"/>
                </w:rPr>
                <w:t>1934</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80" w:type="dxa"/>
            <w:vAlign w:val="bottom"/>
            <w:gridSpan w:val="6"/>
          </w:tcPr>
          <w:p>
            <w:pPr>
              <w:spacing w:after="0" w:line="129" w:lineRule="exact"/>
              <w:rPr>
                <w:rFonts w:ascii="Times New Roman" w:cs="Times New Roman" w:eastAsia="Times New Roman" w:hAnsi="Times New Roman"/>
                <w:sz w:val="14"/>
                <w:szCs w:val="14"/>
                <w:color w:val="0000EE"/>
              </w:rPr>
            </w:pPr>
            <w:hyperlink w:anchor="page36">
              <w:r>
                <w:rPr>
                  <w:rFonts w:ascii="Times New Roman" w:cs="Times New Roman" w:eastAsia="Times New Roman" w:hAnsi="Times New Roman"/>
                  <w:sz w:val="14"/>
                  <w:szCs w:val="14"/>
                  <w:color w:val="0000EE"/>
                </w:rPr>
                <w:t>Rules 13a-14(a) and 15d-14(a) of the Securities and Exchange Act of</w:t>
              </w:r>
            </w:hyperlink>
          </w:p>
        </w:tc>
        <w:tc>
          <w:tcPr>
            <w:tcW w:w="3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Pr>
          <w:p>
            <w:pPr>
              <w:spacing w:after="0"/>
              <w:rPr>
                <w:sz w:val="11"/>
                <w:szCs w:val="11"/>
                <w:color w:val="auto"/>
              </w:rPr>
            </w:pPr>
          </w:p>
        </w:tc>
        <w:tc>
          <w:tcPr>
            <w:tcW w:w="4320" w:type="dxa"/>
            <w:vAlign w:val="bottom"/>
            <w:tcBorders>
              <w:top w:val="single" w:sz="8" w:color="0000EE"/>
            </w:tcBorders>
            <w:gridSpan w:val="10"/>
          </w:tcPr>
          <w:p>
            <w:pPr>
              <w:spacing w:after="0" w:line="129" w:lineRule="exact"/>
              <w:rPr>
                <w:rFonts w:ascii="Times New Roman" w:cs="Times New Roman" w:eastAsia="Times New Roman" w:hAnsi="Times New Roman"/>
                <w:sz w:val="14"/>
                <w:szCs w:val="14"/>
                <w:color w:val="0000EE"/>
              </w:rPr>
            </w:pPr>
            <w:hyperlink w:anchor="page36">
              <w:r>
                <w:rPr>
                  <w:rFonts w:ascii="Times New Roman" w:cs="Times New Roman" w:eastAsia="Times New Roman" w:hAnsi="Times New Roman"/>
                  <w:sz w:val="14"/>
                  <w:szCs w:val="14"/>
                  <w:color w:val="0000EE"/>
                </w:rPr>
                <w:t>as adopted pursuant to Section 302 of the Sarbanes-Oxley Act of 2002</w:t>
              </w:r>
              <w:r>
                <w:rPr>
                  <w:rFonts w:ascii="Times New Roman" w:cs="Times New Roman" w:eastAsia="Times New Roman" w:hAnsi="Times New Roman"/>
                  <w:sz w:val="14"/>
                  <w:szCs w:val="14"/>
                  <w:color w:val="000000"/>
                </w:rPr>
                <w:t>.</w:t>
              </w:r>
            </w:hyperlink>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Certification by Chief Executive Officer pursuant to 18 U.S.C. Section</w:t>
              </w:r>
            </w:hyperlink>
          </w:p>
        </w:tc>
        <w:tc>
          <w:tcPr>
            <w:tcW w:w="20" w:type="dxa"/>
            <w:vAlign w:val="bottom"/>
            <w:tcBorders>
              <w:bottom w:val="single" w:sz="8" w:color="0000EE"/>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60" w:type="dxa"/>
            <w:vAlign w:val="bottom"/>
            <w:tcBorders>
              <w:bottom w:val="single" w:sz="8" w:color="0000EE"/>
            </w:tcBorders>
            <w:gridSpan w:val="5"/>
          </w:tcPr>
          <w:p>
            <w:pPr>
              <w:spacing w:after="0" w:line="129" w:lineRule="exact"/>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1350, as adopted pursuant to Section 906 of the Sarbanes-Oxley Act of</w:t>
              </w:r>
            </w:hyperlink>
          </w:p>
        </w:tc>
        <w:tc>
          <w:tcPr>
            <w:tcW w:w="40" w:type="dxa"/>
            <w:vAlign w:val="bottom"/>
            <w:tcBorders>
              <w:bottom w:val="single" w:sz="8" w:color="0000EE"/>
            </w:tcBorders>
            <w:gridSpan w:val="2"/>
          </w:tcPr>
          <w:p>
            <w:pPr>
              <w:spacing w:after="0"/>
              <w:rPr>
                <w:sz w:val="11"/>
                <w:szCs w:val="11"/>
                <w:color w:val="auto"/>
              </w:rPr>
            </w:pPr>
          </w:p>
        </w:tc>
        <w:tc>
          <w:tcPr>
            <w:tcW w:w="28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11"/>
                <w:szCs w:val="11"/>
                <w:color w:val="auto"/>
              </w:rPr>
            </w:pPr>
          </w:p>
        </w:tc>
        <w:tc>
          <w:tcPr>
            <w:tcW w:w="1200" w:type="dxa"/>
            <w:vAlign w:val="bottom"/>
            <w:gridSpan w:val="2"/>
          </w:tcPr>
          <w:p>
            <w:pPr>
              <w:spacing w:after="0" w:line="129" w:lineRule="exact"/>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2002</w:t>
              </w:r>
              <w:r>
                <w:rPr>
                  <w:rFonts w:ascii="Times New Roman" w:cs="Times New Roman" w:eastAsia="Times New Roman" w:hAnsi="Times New Roman"/>
                  <w:sz w:val="14"/>
                  <w:szCs w:val="14"/>
                  <w:color w:val="000000"/>
                </w:rPr>
                <w:t>.</w:t>
              </w:r>
            </w:hyperlink>
          </w:p>
        </w:tc>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11"/>
          </w:tcPr>
          <w:p>
            <w:pPr>
              <w:spacing w:after="0" w:line="142" w:lineRule="exact"/>
              <w:rPr>
                <w:rFonts w:ascii="Times New Roman" w:cs="Times New Roman" w:eastAsia="Times New Roman" w:hAnsi="Times New Roman"/>
                <w:sz w:val="14"/>
                <w:szCs w:val="14"/>
                <w:color w:val="0000EE"/>
              </w:rPr>
            </w:pPr>
            <w:hyperlink w:anchor="page38">
              <w:r>
                <w:rPr>
                  <w:rFonts w:ascii="Times New Roman" w:cs="Times New Roman" w:eastAsia="Times New Roman" w:hAnsi="Times New Roman"/>
                  <w:sz w:val="14"/>
                  <w:szCs w:val="14"/>
                  <w:color w:val="0000EE"/>
                </w:rPr>
                <w:t>Certification by Chief Financial Officer pursuant to 18 U.S.C. Section</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11"/>
          </w:tcPr>
          <w:p>
            <w:pPr>
              <w:spacing w:after="0" w:line="129" w:lineRule="exact"/>
              <w:rPr>
                <w:rFonts w:ascii="Times New Roman" w:cs="Times New Roman" w:eastAsia="Times New Roman" w:hAnsi="Times New Roman"/>
                <w:sz w:val="14"/>
                <w:szCs w:val="14"/>
                <w:color w:val="0000EE"/>
              </w:rPr>
            </w:pPr>
            <w:hyperlink w:anchor="page38">
              <w:r>
                <w:rPr>
                  <w:rFonts w:ascii="Times New Roman" w:cs="Times New Roman" w:eastAsia="Times New Roman" w:hAnsi="Times New Roman"/>
                  <w:sz w:val="14"/>
                  <w:szCs w:val="14"/>
                  <w:color w:val="0000EE"/>
                </w:rPr>
                <w:t>1350, as adopted pursuant to Section 906 of the Sarbanes-Oxley Act of</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1200" w:type="dxa"/>
            <w:vAlign w:val="bottom"/>
            <w:tcBorders>
              <w:top w:val="single" w:sz="8" w:color="0000EE"/>
            </w:tcBorders>
            <w:gridSpan w:val="2"/>
          </w:tcPr>
          <w:p>
            <w:pPr>
              <w:spacing w:after="0" w:line="129" w:lineRule="exact"/>
              <w:rPr>
                <w:rFonts w:ascii="Times New Roman" w:cs="Times New Roman" w:eastAsia="Times New Roman" w:hAnsi="Times New Roman"/>
                <w:sz w:val="14"/>
                <w:szCs w:val="14"/>
                <w:color w:val="0000EE"/>
              </w:rPr>
            </w:pPr>
            <w:hyperlink w:anchor="page38">
              <w:r>
                <w:rPr>
                  <w:rFonts w:ascii="Times New Roman" w:cs="Times New Roman" w:eastAsia="Times New Roman" w:hAnsi="Times New Roman"/>
                  <w:sz w:val="14"/>
                  <w:szCs w:val="14"/>
                  <w:color w:val="0000EE"/>
                </w:rPr>
                <w:t>2002</w:t>
              </w:r>
              <w:r>
                <w:rPr>
                  <w:rFonts w:ascii="Times New Roman" w:cs="Times New Roman" w:eastAsia="Times New Roman" w:hAnsi="Times New Roman"/>
                  <w:sz w:val="14"/>
                  <w:szCs w:val="14"/>
                  <w:color w:val="000000"/>
                </w:rPr>
                <w:t>.</w:t>
              </w:r>
            </w:hyperlink>
          </w:p>
        </w:tc>
        <w:tc>
          <w:tcPr>
            <w:tcW w:w="28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gridSpan w:val="3"/>
            <w:vMerge w:val="continu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60" w:type="dxa"/>
            <w:vAlign w:val="bottom"/>
            <w:gridSpan w:val="3"/>
            <w:vMerge w:val="continue"/>
          </w:tcPr>
          <w:p>
            <w:pPr>
              <w:spacing w:after="0"/>
              <w:rPr>
                <w:sz w:val="11"/>
                <w:szCs w:val="11"/>
                <w:color w:val="auto"/>
              </w:rPr>
            </w:pPr>
          </w:p>
        </w:tc>
        <w:tc>
          <w:tcPr>
            <w:tcW w:w="4380" w:type="dxa"/>
            <w:vAlign w:val="bottom"/>
            <w:gridSpan w:val="11"/>
          </w:tcPr>
          <w:p>
            <w:pPr>
              <w:spacing w:after="0" w:line="133" w:lineRule="exact"/>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43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60" w:hanging="1252"/>
        <w:spacing w:after="0"/>
        <w:tabs>
          <w:tab w:leader="none" w:pos="1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7" w:lineRule="exact"/>
        <w:rPr>
          <w:sz w:val="20"/>
          <w:szCs w:val="20"/>
          <w:color w:val="auto"/>
        </w:rPr>
      </w:pPr>
    </w:p>
    <w:p>
      <w:pPr>
        <w:ind w:left="1260" w:right="40" w:hanging="1252"/>
        <w:spacing w:after="0" w:line="239" w:lineRule="auto"/>
        <w:tabs>
          <w:tab w:leader="none" w:pos="1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 w:name="page24"/>
    <w:bookmarkEnd w:id="2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5, 2019</w:t>
      </w:r>
    </w:p>
    <w:p>
      <w:pPr>
        <w:spacing w:after="0" w:line="27" w:lineRule="exact"/>
        <w:rPr>
          <w:sz w:val="20"/>
          <w:szCs w:val="20"/>
          <w:color w:val="auto"/>
        </w:rPr>
      </w:pPr>
    </w:p>
    <w:p>
      <w:pPr>
        <w:ind w:left="682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073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ind w:left="682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Jacky Wang</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Jacky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jc w:val="both"/>
        <w:ind w:right="600" w:firstLine="877"/>
        <w:spacing w:after="0" w:line="266"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on April 9, 2019, by and between Red Violet,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individual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attached hereto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the Effective Date (as hereinafter defined).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20" w:firstLine="877"/>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retain the services of Executive pursuant to the terms and conditions set forth herein and Executive desires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become employed by the Company on such terms and conditions; and</w:t>
      </w:r>
    </w:p>
    <w:p>
      <w:pPr>
        <w:spacing w:after="0" w:line="155" w:lineRule="exact"/>
        <w:rPr>
          <w:sz w:val="20"/>
          <w:szCs w:val="20"/>
          <w:color w:val="auto"/>
        </w:rPr>
      </w:pPr>
    </w:p>
    <w:p>
      <w:pPr>
        <w:ind w:right="240" w:firstLine="877"/>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mutual promises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Executive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43" w:lineRule="exact"/>
        <w:rPr>
          <w:sz w:val="20"/>
          <w:szCs w:val="20"/>
          <w:color w:val="auto"/>
        </w:rPr>
      </w:pPr>
    </w:p>
    <w:p>
      <w:pPr>
        <w:ind w:right="300" w:firstLine="885"/>
        <w:spacing w:after="0" w:line="255" w:lineRule="auto"/>
        <w:tabs>
          <w:tab w:leader="none" w:pos="16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xml:space="preserve">. This Agreement will be effective on the Effective Date. The term shall be for the period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20"/>
          <w:szCs w:val="20"/>
          <w:color w:val="auto"/>
        </w:rPr>
      </w:pPr>
    </w:p>
    <w:p>
      <w:pPr>
        <w:ind w:right="80" w:firstLine="885"/>
        <w:spacing w:after="0" w:line="255" w:lineRule="auto"/>
        <w:tabs>
          <w:tab w:leader="none" w:pos="16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xml:space="preserve">. During the Term, the Executive shall serve the Company in the position and perform the duties as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97" w:lineRule="exact"/>
        <w:rPr>
          <w:rFonts w:ascii="Times New Roman" w:cs="Times New Roman" w:eastAsia="Times New Roman" w:hAnsi="Times New Roman"/>
          <w:sz w:val="20"/>
          <w:szCs w:val="20"/>
          <w:color w:val="auto"/>
        </w:rPr>
      </w:pPr>
    </w:p>
    <w:p>
      <w:pPr>
        <w:ind w:right="160" w:firstLine="885"/>
        <w:spacing w:after="0" w:line="251" w:lineRule="auto"/>
        <w:tabs>
          <w:tab w:leader="none" w:pos="16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Full Business Time and Attention</w:t>
      </w:r>
      <w:r>
        <w:rPr>
          <w:rFonts w:ascii="Times New Roman" w:cs="Times New Roman" w:eastAsia="Times New Roman" w:hAnsi="Times New Roman"/>
          <w:sz w:val="18"/>
          <w:szCs w:val="18"/>
          <w:color w:val="auto"/>
        </w:rPr>
        <w:t>. Except as otherwise set forth in this Agreement, the Executive shall (a) devote his full business time, attention, skill and energy exclusively to the duties and responsibilities of his position; (b) service the Company faithfully, diligently and to the best of his ability; (c) use his best efforts to promote the success of the Company; and (d) cooperate fully with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Chief Executive Officer in the advancement of the Company’s best interests to assure full and efficient performance of his duties hereunder. Nothing contained herein shall require Executive to follow any directive or to perform any act which would violate any laws, ordinances, regulations or rules of any governmental, regulatory or administrative body, agent or authority, any court or judicial authority, or any public, private or industry regulatory authority. Executive shall act in accordance in all material respects with all laws, ordinances, regulations or rules of any governmental, regulatory or administrative body, agent or authority, any court or judicial authority, or any public, private or industry regulatory authority.</w:t>
      </w:r>
    </w:p>
    <w:p>
      <w:pPr>
        <w:spacing w:after="0" w:line="202" w:lineRule="exact"/>
        <w:rPr>
          <w:rFonts w:ascii="Times New Roman" w:cs="Times New Roman" w:eastAsia="Times New Roman" w:hAnsi="Times New Roman"/>
          <w:sz w:val="20"/>
          <w:szCs w:val="20"/>
          <w:color w:val="auto"/>
        </w:rPr>
      </w:pPr>
    </w:p>
    <w:p>
      <w:pPr>
        <w:ind w:left="1680" w:hanging="795"/>
        <w:spacing w:after="0"/>
        <w:tabs>
          <w:tab w:leader="none" w:pos="1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[Intentionally Omitted.]</w:t>
      </w:r>
    </w:p>
    <w:p>
      <w:pPr>
        <w:spacing w:after="0" w:line="215" w:lineRule="exact"/>
        <w:rPr>
          <w:rFonts w:ascii="Times New Roman" w:cs="Times New Roman" w:eastAsia="Times New Roman" w:hAnsi="Times New Roman"/>
          <w:sz w:val="20"/>
          <w:szCs w:val="20"/>
          <w:color w:val="auto"/>
        </w:rPr>
      </w:pPr>
    </w:p>
    <w:p>
      <w:pPr>
        <w:ind w:left="1680" w:hanging="795"/>
        <w:spacing w:after="0"/>
        <w:tabs>
          <w:tab w:leader="none" w:pos="1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During the Term:</w:t>
      </w:r>
    </w:p>
    <w:p>
      <w:pPr>
        <w:spacing w:after="0" w:line="215" w:lineRule="exact"/>
        <w:rPr>
          <w:rFonts w:ascii="Times New Roman" w:cs="Times New Roman" w:eastAsia="Times New Roman" w:hAnsi="Times New Roman"/>
          <w:sz w:val="20"/>
          <w:szCs w:val="20"/>
          <w:color w:val="auto"/>
        </w:rPr>
      </w:pPr>
    </w:p>
    <w:p>
      <w:pPr>
        <w:jc w:val="both"/>
        <w:ind w:right="300" w:firstLine="1763"/>
        <w:spacing w:after="0" w:line="251" w:lineRule="auto"/>
        <w:tabs>
          <w:tab w:leader="none" w:pos="2623"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The Executive shall be paid the annual base salary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such greater amount as may be determined by the Company from time to time in its sole discretion, payable in equal periodic installments according to the Company’s customary payroll practices, but not less frequently than monthly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may be increased but not decreased without the Executive’s written consent.</w:t>
      </w:r>
    </w:p>
    <w:p>
      <w:pPr>
        <w:spacing w:after="0" w:line="203" w:lineRule="exact"/>
        <w:rPr>
          <w:rFonts w:ascii="Times New Roman" w:cs="Times New Roman" w:eastAsia="Times New Roman" w:hAnsi="Times New Roman"/>
          <w:sz w:val="20"/>
          <w:szCs w:val="20"/>
          <w:color w:val="auto"/>
        </w:rPr>
      </w:pPr>
    </w:p>
    <w:p>
      <w:pPr>
        <w:jc w:val="both"/>
        <w:ind w:right="60" w:firstLine="1763"/>
        <w:spacing w:after="0" w:line="251" w:lineRule="auto"/>
        <w:tabs>
          <w:tab w:leader="none" w:pos="263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during the Term, be eligible to participate, commensurate with the Executive’s position, in such retirement, life insurance, hospitalization, major medical, fringe and other Executive benefit plans that the Company generally maintains for its full-time Executives (collectively,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Notwithstanding the foregoing, the Company may discontinue or terminate at any time any Executive benefit plan, policy or program now existing or hereafter adopted and will not be required to compensate the Executive for such discontinuance or termination; provided, however, that the Company shall be required to offer to the Executive any rights or benefits extended to other Executives in the event of termination of such plans or benefits, including, but not limited to coverage under the Consolidated Omnibus Budget Reconciliation Act of 1985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Executive shall be entitled to four (4) weeks of paid vacation during each calendar year, to be taken during such calendar year at times selected by Executive, as well as paid holidays and personal days according to Company policy in effect from time to time.</w:t>
      </w:r>
    </w:p>
    <w:p>
      <w:pPr>
        <w:spacing w:after="0" w:line="175" w:lineRule="exact"/>
        <w:rPr>
          <w:sz w:val="20"/>
          <w:szCs w:val="20"/>
          <w:color w:val="auto"/>
        </w:rPr>
      </w:pPr>
    </w:p>
    <w:p>
      <w:pPr>
        <w:ind w:left="2640" w:hanging="877"/>
        <w:spacing w:after="0"/>
        <w:tabs>
          <w:tab w:leader="none" w:pos="26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Executive shall be entitled to cash bonuses, commensurate with the Executive’s position, as the Board may</w:t>
      </w:r>
    </w:p>
    <w:p>
      <w:pPr>
        <w:spacing w:after="0" w:line="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determine from time to time.</w:t>
      </w:r>
    </w:p>
    <w:p>
      <w:pPr>
        <w:spacing w:after="0" w:line="218" w:lineRule="exact"/>
        <w:rPr>
          <w:rFonts w:ascii="Times New Roman" w:cs="Times New Roman" w:eastAsia="Times New Roman" w:hAnsi="Times New Roman"/>
          <w:sz w:val="20"/>
          <w:szCs w:val="20"/>
          <w:color w:val="auto"/>
        </w:rPr>
      </w:pPr>
    </w:p>
    <w:p>
      <w:pPr>
        <w:ind w:right="80" w:firstLine="1763"/>
        <w:spacing w:after="0" w:line="263" w:lineRule="auto"/>
        <w:tabs>
          <w:tab w:leader="none" w:pos="2634"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Equity Incentive Compensation</w:t>
      </w:r>
      <w:r>
        <w:rPr>
          <w:rFonts w:ascii="Times New Roman" w:cs="Times New Roman" w:eastAsia="Times New Roman" w:hAnsi="Times New Roman"/>
          <w:sz w:val="17"/>
          <w:szCs w:val="17"/>
          <w:color w:val="auto"/>
        </w:rPr>
        <w:t>. The Executive shall be entitled to participate, commensurate with the Executive’s position, in the Company’s incentive compensation plan(s) (i.e., stock/restricted stock units/options/warrants, etc. (each individually or collectively, “Equity Awards”)), pursuant to the Red Violet, Inc. Stock Incentive Plan or such other equity plan or arrangement as may be in effect from time to time (such plan or arrangement hereinafter referred to as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Any Equity Awards shall be documented on an award agreement which shall at least conform to the terms and conditions set forth in this paragraph (the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Any Equity Awards shall vest immediately upon: (i) a Change in Control (defined below), (ii) a termination of Executive’s employment by the Company Without Cause, (iii) a termination of employment by Executive for Good Reason, or</w:t>
      </w:r>
    </w:p>
    <w:p>
      <w:pPr>
        <w:spacing w:after="0" w:line="4" w:lineRule="exact"/>
        <w:rPr>
          <w:rFonts w:ascii="Times New Roman" w:cs="Times New Roman" w:eastAsia="Times New Roman" w:hAnsi="Times New Roman"/>
          <w:sz w:val="19"/>
          <w:szCs w:val="19"/>
          <w:color w:val="auto"/>
        </w:rPr>
      </w:pPr>
    </w:p>
    <w:p>
      <w:pPr>
        <w:ind w:right="80" w:firstLine="8"/>
        <w:spacing w:after="0" w:line="252"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death or Disability. Shares of the Company’s Common Stock shall be issued with respect to the vested Equity Awards upon the earlier of: (i) a Change in Control, or (ii) Executive’s “separation from service” as defined for purposes of Code Section 409A (the “</w:t>
      </w:r>
      <w:r>
        <w:rPr>
          <w:rFonts w:ascii="Times New Roman" w:cs="Times New Roman" w:eastAsia="Times New Roman" w:hAnsi="Times New Roman"/>
          <w:sz w:val="18"/>
          <w:szCs w:val="18"/>
          <w:u w:val="single" w:color="auto"/>
          <w:color w:val="auto"/>
        </w:rPr>
        <w:t>Delivery Event</w:t>
      </w:r>
      <w:r>
        <w:rPr>
          <w:rFonts w:ascii="Times New Roman" w:cs="Times New Roman" w:eastAsia="Times New Roman" w:hAnsi="Times New Roman"/>
          <w:sz w:val="18"/>
          <w:szCs w:val="18"/>
          <w:color w:val="auto"/>
        </w:rPr>
        <w:t xml:space="preserve">”); provided, however, that the delivery of shares shall be delayed until the earlier of (A) six (6) months following separation from service, or (B) Executive’s death, if necessary to comply with the requirements of Code Section 409A. All shares underlying vested Equity Awards shall be delivered to Executive upon a Delivery Event regardless as to the reason triggering such Delivery Event (including the reason the Executive’s employment is terminated).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shall be in addition to and shall not in any way modify, amend or restate any other grant of equity awards, including restricted stock units, made pursuant to this Agreement or to any grant agreement previously executed by Executive.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hereof,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239" w:lineRule="exact"/>
        <w:rPr>
          <w:sz w:val="20"/>
          <w:szCs w:val="20"/>
          <w:color w:val="auto"/>
        </w:rPr>
      </w:pPr>
    </w:p>
    <w:p>
      <w:pPr>
        <w:ind w:left="880" w:firstLine="2031"/>
        <w:spacing w:after="0" w:line="251" w:lineRule="auto"/>
        <w:tabs>
          <w:tab w:leader="none" w:pos="374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one (1) person, or more than one (1) person acting as a group, acquires ownership of common stock of the Company or any material subsidiary that, together with common stock held by such person or group, possesses more than fifty percent (50%) of the total fair market value or total voting power of the common stock of the Company or such subsidiary; provided, however, that if any one (1) person, or more than one (1) person acting as a group, is considered to own more than fifty percent (50%) of the total fair market value or total voting power of the common stock of the Company, the acquisition of additional common stock by the same person or persons will not be considered a Change in Control under this Agreement;</w:t>
      </w:r>
    </w:p>
    <w:p>
      <w:pPr>
        <w:spacing w:after="0" w:line="203" w:lineRule="exact"/>
        <w:rPr>
          <w:rFonts w:ascii="Times New Roman" w:cs="Times New Roman" w:eastAsia="Times New Roman" w:hAnsi="Times New Roman"/>
          <w:sz w:val="20"/>
          <w:szCs w:val="20"/>
          <w:color w:val="auto"/>
        </w:rPr>
      </w:pPr>
    </w:p>
    <w:p>
      <w:pPr>
        <w:ind w:left="880" w:right="180" w:firstLine="2031"/>
        <w:spacing w:after="0" w:line="251" w:lineRule="auto"/>
        <w:tabs>
          <w:tab w:leader="none" w:pos="37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any period of twelve (12) consecutive months, individuals who at the beginning of such period constituted the Board of Directors of the Company or any material subsidiary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(together with any new or replacement directors whose election by the Board, or whose nomination for election by the Company’s or any material subsidiary’s shareholders, was approved by a vote of at least a majority of the directors then still in office who were either directors at the beginning of such period or whose election or nomination for election was previously so approved) cease for any reason to constitute a majority of the directors then in office; or</w:t>
      </w:r>
    </w:p>
    <w:p>
      <w:pPr>
        <w:spacing w:after="0" w:line="203" w:lineRule="exact"/>
        <w:rPr>
          <w:rFonts w:ascii="Times New Roman" w:cs="Times New Roman" w:eastAsia="Times New Roman" w:hAnsi="Times New Roman"/>
          <w:sz w:val="20"/>
          <w:szCs w:val="20"/>
          <w:color w:val="auto"/>
        </w:rPr>
      </w:pPr>
    </w:p>
    <w:p>
      <w:pPr>
        <w:ind w:left="880" w:right="20" w:firstLine="2031"/>
        <w:spacing w:after="0" w:line="251" w:lineRule="auto"/>
        <w:tabs>
          <w:tab w:leader="none" w:pos="385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one (1) person, or more than one (1) person acting as a group, acquires (or has acquired during the twelve (12) month period ending on the date of the most recent acquisition by the person or persons) assets from the Company or any material subsidiary outside of the ordinary course of business, that have a gross fair market value equal to or more than fifty percent (50%) of the total gross fair market value of all of the assets of the Company or such material subsidiary immediately prior to such acquisition or acquisitions. For purposes of this Section, “gross fair market value” means the value of the assets of the Company or any material subsidiary, or the value of the assets being disposed of, determined without regard to any liabilities associated with such assets. Notwithstanding anything to the contrary in this Agreement, the following shall not be treated as a Change in Control under this Agreement: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 w:name="page27"/>
    <w:bookmarkEnd w:id="26"/>
    <w:p>
      <w:pPr>
        <w:ind w:left="1760" w:right="200" w:firstLine="1488"/>
        <w:spacing w:after="0" w:line="255" w:lineRule="auto"/>
        <w:tabs>
          <w:tab w:leader="none" w:pos="41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transfer of assets from the Company or any material subsidiary to a shareholder of the Company (determined immediately before the asset transfer);</w:t>
      </w:r>
    </w:p>
    <w:p>
      <w:pPr>
        <w:spacing w:after="0" w:line="197" w:lineRule="exact"/>
        <w:rPr>
          <w:rFonts w:ascii="Times New Roman" w:cs="Times New Roman" w:eastAsia="Times New Roman" w:hAnsi="Times New Roman"/>
          <w:sz w:val="20"/>
          <w:szCs w:val="20"/>
          <w:color w:val="auto"/>
        </w:rPr>
      </w:pPr>
    </w:p>
    <w:p>
      <w:pPr>
        <w:ind w:left="1760" w:right="40" w:firstLine="1488"/>
        <w:spacing w:after="0" w:line="255" w:lineRule="auto"/>
        <w:tabs>
          <w:tab w:leader="none" w:pos="415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transfer of assets from the Company or any material subsidiary to an entity, fifty percent (50%) or more of the total value or voting power of which is owned, directly or indirectly, by the Company or such material subsidiary;</w:t>
      </w:r>
    </w:p>
    <w:p>
      <w:pPr>
        <w:spacing w:after="0" w:line="197" w:lineRule="exact"/>
        <w:rPr>
          <w:rFonts w:ascii="Times New Roman" w:cs="Times New Roman" w:eastAsia="Times New Roman" w:hAnsi="Times New Roman"/>
          <w:sz w:val="20"/>
          <w:szCs w:val="20"/>
          <w:color w:val="auto"/>
        </w:rPr>
      </w:pPr>
    </w:p>
    <w:p>
      <w:pPr>
        <w:ind w:left="1760" w:right="160" w:firstLine="1488"/>
        <w:spacing w:after="0" w:line="252" w:lineRule="auto"/>
        <w:tabs>
          <w:tab w:leader="none" w:pos="415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transfer of assets from the Company or any material subsidiary to a person, or more than one (1) person acting as a group, that owns, directly or indirectly, fifty percent (50%) or more of the total value or voting power of all the outstanding capital stock of the Company or material subsidiary; or</w:t>
      </w:r>
    </w:p>
    <w:p>
      <w:pPr>
        <w:spacing w:after="0" w:line="201" w:lineRule="exact"/>
        <w:rPr>
          <w:rFonts w:ascii="Times New Roman" w:cs="Times New Roman" w:eastAsia="Times New Roman" w:hAnsi="Times New Roman"/>
          <w:sz w:val="20"/>
          <w:szCs w:val="20"/>
          <w:color w:val="auto"/>
        </w:rPr>
      </w:pPr>
    </w:p>
    <w:p>
      <w:pPr>
        <w:ind w:left="1760" w:right="40" w:firstLine="1488"/>
        <w:spacing w:after="0" w:line="255" w:lineRule="auto"/>
        <w:tabs>
          <w:tab w:leader="none" w:pos="41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transfer of assets from the Company or material subsidiary to an entity, at least fifty percent (50%) of the total value or voting power of which is owned, directly or indirectly, by a person described in clause (C) above.</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However, to the extent necessary for the Executive to avoid adverse tax consequences under Section 409A of the Internal Revenue Code, and its implementing regulations and guidance, a Change of Control shall not be deemed to occur unless it constitutes a “change in the ownership or effective control of a corporation or in the ownership of a substantial portion of the assets of a corporation” under Treas. Reg. Section 1.409A-3(i)(5), as revised from time to time.</w:t>
      </w:r>
    </w:p>
    <w:p>
      <w:pPr>
        <w:spacing w:after="0" w:line="194" w:lineRule="exact"/>
        <w:rPr>
          <w:sz w:val="20"/>
          <w:szCs w:val="20"/>
          <w:color w:val="auto"/>
        </w:rPr>
      </w:pPr>
    </w:p>
    <w:p>
      <w:pPr>
        <w:ind w:firstLine="1763"/>
        <w:spacing w:after="0" w:line="250" w:lineRule="auto"/>
        <w:tabs>
          <w:tab w:leader="none" w:pos="262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pay on behalf of the Executive (or reimburse Executive for) reasonable documented expenses incurred by Executive in the performance of his duties under this Agreement and, in accordance with the Company’s existing policies and procedures pertaining to the reimbursement of expenses to Executives in general. Notwithstanding anything herein to the contrary or otherwise, except to the extent any expense or reimbursement provided pursuant to this Section 5(e) does not constitute a “deferral of compensation” within the meaning of Section 409A of the Code (as defined below): (i) the amount of expenses eligible for reimbursement provided to the Executive during any calendar year will not affect the amount of expenses eligible for reimbursement or in-kind benefits provided to the Executive in any other calendar year, (ii) the reimbursements for expenses for which the Executive is entitled to be reimbursed shall be made on or before the last day of the calendar year following the calendar year in which the applicable expense is incurred, (iii) the right to payment or reimbursement or in-kind benefits hereunder may not be liquidated or exchanged for any other benefit and (iv) the reimbursements shall be made pursuant to objectively determinable and nondiscretionary Company policies and procedures regarding such reimbursement of expenses.</w:t>
      </w:r>
    </w:p>
    <w:p>
      <w:pPr>
        <w:spacing w:after="0" w:line="210" w:lineRule="exact"/>
        <w:rPr>
          <w:rFonts w:ascii="Times New Roman" w:cs="Times New Roman" w:eastAsia="Times New Roman" w:hAnsi="Times New Roman"/>
          <w:sz w:val="20"/>
          <w:szCs w:val="20"/>
          <w:color w:val="auto"/>
        </w:rPr>
      </w:pPr>
    </w:p>
    <w:p>
      <w:pPr>
        <w:ind w:left="1680" w:hanging="795"/>
        <w:spacing w:after="0"/>
        <w:tabs>
          <w:tab w:leader="none" w:pos="16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20"/>
          <w:szCs w:val="20"/>
          <w:color w:val="auto"/>
        </w:rPr>
      </w:pPr>
    </w:p>
    <w:p>
      <w:pPr>
        <w:ind w:left="2640" w:hanging="877"/>
        <w:spacing w:after="0"/>
        <w:tabs>
          <w:tab w:leader="none" w:pos="26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The Company may terminate this Agreement and Executive’s employment, for the following reasons:</w:t>
      </w:r>
    </w:p>
    <w:p>
      <w:pPr>
        <w:spacing w:after="0" w:line="215" w:lineRule="exact"/>
        <w:rPr>
          <w:rFonts w:ascii="Times New Roman" w:cs="Times New Roman" w:eastAsia="Times New Roman" w:hAnsi="Times New Roman"/>
          <w:sz w:val="20"/>
          <w:szCs w:val="20"/>
          <w:color w:val="auto"/>
        </w:rPr>
      </w:pPr>
    </w:p>
    <w:p>
      <w:pPr>
        <w:ind w:left="3740" w:hanging="829"/>
        <w:spacing w:after="0"/>
        <w:tabs>
          <w:tab w:leader="none" w:pos="374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and this Agreement shall terminate immediately upon the death of the</w:t>
      </w:r>
    </w:p>
    <w:p>
      <w:pPr>
        <w:spacing w:after="0" w:line="6"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Executive.</w:t>
      </w:r>
    </w:p>
    <w:p>
      <w:pPr>
        <w:spacing w:after="0" w:line="218" w:lineRule="exact"/>
        <w:rPr>
          <w:rFonts w:ascii="Times New Roman" w:cs="Times New Roman" w:eastAsia="Times New Roman" w:hAnsi="Times New Roman"/>
          <w:sz w:val="20"/>
          <w:szCs w:val="20"/>
          <w:color w:val="auto"/>
        </w:rPr>
      </w:pPr>
    </w:p>
    <w:p>
      <w:pPr>
        <w:ind w:left="880" w:right="80" w:firstLine="2031"/>
        <w:spacing w:after="0" w:line="251" w:lineRule="auto"/>
        <w:tabs>
          <w:tab w:leader="none" w:pos="3796"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this Agreement and the Executive’s employment with the Company immediately upon a determination of Disability. For purposes of this Agreement the Executive has a “Disability” if, for physical or mental reasons, the Executive is unable to perform the essential duties required of the Executive under this Agreement, even with a reasonable accommodation, for a period of six (6) consecutive months or a period of one hundred eighty (180) days during any twelve (12) month period, as determined by an independent medical professional mutually acceptable to the parties. Executive shall submit to a reasonable number of examinations by the independent medical professional making the determination of Disability.</w:t>
      </w:r>
    </w:p>
    <w:p>
      <w:pPr>
        <w:spacing w:after="0" w:line="203" w:lineRule="exact"/>
        <w:rPr>
          <w:rFonts w:ascii="Times New Roman" w:cs="Times New Roman" w:eastAsia="Times New Roman" w:hAnsi="Times New Roman"/>
          <w:sz w:val="20"/>
          <w:szCs w:val="20"/>
          <w:color w:val="auto"/>
        </w:rPr>
      </w:pPr>
    </w:p>
    <w:p>
      <w:pPr>
        <w:ind w:left="880" w:right="460" w:firstLine="2031"/>
        <w:spacing w:after="0" w:line="255" w:lineRule="auto"/>
        <w:tabs>
          <w:tab w:leader="none" w:pos="3851"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The Company may terminate this Agreement and the Executive’s employment with the Company at any time for Cause. For purposes of this Agreement, “Cause” is defined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ind w:left="880"/>
        <w:spacing w:after="0" w:line="252" w:lineRule="auto"/>
        <w:rPr>
          <w:sz w:val="20"/>
          <w:szCs w:val="20"/>
          <w:color w:val="auto"/>
        </w:rPr>
      </w:pPr>
      <w:r>
        <w:rPr>
          <w:rFonts w:ascii="Times New Roman" w:cs="Times New Roman" w:eastAsia="Times New Roman" w:hAnsi="Times New Roman"/>
          <w:sz w:val="18"/>
          <w:szCs w:val="18"/>
          <w:color w:val="auto"/>
        </w:rPr>
        <w:t>as: (1) Executive’s conviction of or plea of guilty or nolo contendere to a felony which involves moral turpitude or results in material harm to the Company, (2) Executive’s fraud against the Company, theft, misappropriation or embezzlement of the assets or funds of the Company or any customer, or any breach of fiduciary duty owed to the Company, or engagement in misconduct that is materially injurious to the Company, including any violation of any of the restrictions set forth in the Confidentiality, Nondisclosure, Noncompetition, Nonsolicitation and Nondisparagement Agreement as entered into between the Executive and the Company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(3) Executive’s gross negligence of his duties or willful misconduct in the performance of his duties under this Agreement, and (4) Executive’s material breach of this Agreement and failure to cure such breach within thirty (30) days after the receipt of written notice of such breach from Company. For purposes of this Section,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based upon the advice of counsel for the Company (or any act which the Executive omits to do because of the Executive’s reasonable belief that such act would violate law or the Company’s standards of ethical conduct in its corporate policies) shall be conclusively presumed to be done, or omitted to be done, by the Executive in good faith and in the best interests of the Company. The termination of employment of the Executive shall not be deemed to be for Cause unless and until (A) within a reasonable period of time prior to the Board meeting at which the Board will determine whether Cause exists, the Executive is provided written notice of such meeting and, unless prohibited by law, a reasonable opportunity to review prior to such meeting all information to be presented to the Board with respect to whether Cause exists, (B) the Executive is afforded the opportunity, together with counsel for the Executive, to be heard before the Board, (C) there shall have been delivered to the Executive a copy of a resolution duly adopted by the affirmative vote of a majority of the entire membership of the Board at a meeting of the Board called and held for such purpose finding that, in the good faith opinion of the Board, the Executive committed the conduct that constitutes Cause and specifying the particulars thereof in detail, and (D) if the conduct or act alleged to provide grounds for the Executive’s termination for Cause is curable in the discretion of the Board, the Executive has not cured such conduct within thirty (30) days from the date of receiving a copy of the resolution adopted by the Board.</w:t>
      </w:r>
    </w:p>
    <w:p>
      <w:pPr>
        <w:spacing w:after="0" w:line="203" w:lineRule="exact"/>
        <w:rPr>
          <w:sz w:val="20"/>
          <w:szCs w:val="20"/>
          <w:color w:val="auto"/>
        </w:rPr>
      </w:pPr>
    </w:p>
    <w:p>
      <w:pPr>
        <w:ind w:left="880" w:right="40" w:firstLine="2031"/>
        <w:spacing w:after="0" w:line="251" w:lineRule="auto"/>
        <w:tabs>
          <w:tab w:leader="none" w:pos="38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Without Cause or Refusal to Accept Assignment</w:t>
      </w:r>
      <w:r>
        <w:rPr>
          <w:rFonts w:ascii="Times New Roman" w:cs="Times New Roman" w:eastAsia="Times New Roman" w:hAnsi="Times New Roman"/>
          <w:sz w:val="18"/>
          <w:szCs w:val="18"/>
          <w:color w:val="auto"/>
        </w:rPr>
        <w:t>. Notwithstanding anything in this Agreement to the contrary, the Company may terminate this Agreement and the Executive’s employment at any time during the Term without Cause for any reason or no reason at all upon ninety (90) days’ prior written notice to Executive. In the event any successor of the Company refuses to accept assignment of this Agreement, then this Agreement shall be deemed terminated without Cause.</w:t>
      </w:r>
    </w:p>
    <w:p>
      <w:pPr>
        <w:spacing w:after="0" w:line="203" w:lineRule="exact"/>
        <w:rPr>
          <w:rFonts w:ascii="Times New Roman" w:cs="Times New Roman" w:eastAsia="Times New Roman" w:hAnsi="Times New Roman"/>
          <w:sz w:val="20"/>
          <w:szCs w:val="20"/>
          <w:color w:val="auto"/>
        </w:rPr>
      </w:pPr>
    </w:p>
    <w:p>
      <w:pPr>
        <w:ind w:left="2640" w:hanging="877"/>
        <w:spacing w:after="0"/>
        <w:tabs>
          <w:tab w:leader="none" w:pos="2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By Executive</w:t>
      </w:r>
      <w:r>
        <w:rPr>
          <w:rFonts w:ascii="Times New Roman" w:cs="Times New Roman" w:eastAsia="Times New Roman" w:hAnsi="Times New Roman"/>
          <w:sz w:val="18"/>
          <w:szCs w:val="18"/>
          <w:color w:val="auto"/>
        </w:rPr>
        <w:t>. The Executive may terminate this Agreement and his employment with the Company, for the 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w:t>
      </w:r>
    </w:p>
    <w:p>
      <w:pPr>
        <w:spacing w:after="0" w:line="219" w:lineRule="exact"/>
        <w:rPr>
          <w:sz w:val="20"/>
          <w:szCs w:val="20"/>
          <w:color w:val="auto"/>
        </w:rPr>
      </w:pPr>
    </w:p>
    <w:p>
      <w:pPr>
        <w:ind w:left="880" w:firstLine="2031"/>
        <w:spacing w:after="0" w:line="252" w:lineRule="auto"/>
        <w:tabs>
          <w:tab w:leader="none" w:pos="374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Any Reason</w:t>
      </w:r>
      <w:r>
        <w:rPr>
          <w:rFonts w:ascii="Times New Roman" w:cs="Times New Roman" w:eastAsia="Times New Roman" w:hAnsi="Times New Roman"/>
          <w:sz w:val="18"/>
          <w:szCs w:val="18"/>
          <w:color w:val="auto"/>
        </w:rPr>
        <w:t>. The Executive may terminate this Agreement and his employment hereunder at any time for any reason or for no reason at all; provided, however, that the Executive provides the Company with at least sixty (60) days (“Executive Termination Period”) prior written notice.</w:t>
      </w:r>
    </w:p>
    <w:p>
      <w:pPr>
        <w:spacing w:after="0" w:line="201" w:lineRule="exact"/>
        <w:rPr>
          <w:rFonts w:ascii="Times New Roman" w:cs="Times New Roman" w:eastAsia="Times New Roman" w:hAnsi="Times New Roman"/>
          <w:sz w:val="20"/>
          <w:szCs w:val="20"/>
          <w:color w:val="auto"/>
        </w:rPr>
      </w:pPr>
    </w:p>
    <w:p>
      <w:pPr>
        <w:ind w:left="880" w:right="100" w:firstLine="2031"/>
        <w:spacing w:after="0" w:line="251" w:lineRule="auto"/>
        <w:tabs>
          <w:tab w:leader="none" w:pos="37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Good Reason</w:t>
      </w:r>
      <w:r>
        <w:rPr>
          <w:rFonts w:ascii="Times New Roman" w:cs="Times New Roman" w:eastAsia="Times New Roman" w:hAnsi="Times New Roman"/>
          <w:sz w:val="18"/>
          <w:szCs w:val="18"/>
          <w:color w:val="auto"/>
        </w:rPr>
        <w:t>. The Executive may terminate this Agreement and his employment hereunder for “Good Reason” (as hereinafter defined). “Good Reason” for purposes of this Agreement means the occurrence of any of the following without the Executive’s written consent: (i) a material reduction in the Executive’s Base Salary as in effect immediately prior to such reduction; (ii) a material adverse change in the Executive’s title, duties or responsibilities; (iii) a relocation of Executive’s principal office by more than fifty (50) miles from the Company’s office in Boca Raton, Florida; or (iv) any material breach of this Agreement by Company. The Company and Executive agree that “Good Reason” shall not exist unless and until Executive provides the Company with written notice of the acts alleged to constitute Good Reason within ninety (90) days of Executive’s knowledge of the occurrence of such event, and the Company fails to cure such acts within thirty (30) days of receipt of such notice. Executive must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left="860"/>
        <w:spacing w:after="0"/>
        <w:rPr>
          <w:sz w:val="20"/>
          <w:szCs w:val="20"/>
          <w:color w:val="auto"/>
        </w:rPr>
      </w:pPr>
      <w:r>
        <w:rPr>
          <w:rFonts w:ascii="Times New Roman" w:cs="Times New Roman" w:eastAsia="Times New Roman" w:hAnsi="Times New Roman"/>
          <w:sz w:val="18"/>
          <w:szCs w:val="18"/>
          <w:color w:val="auto"/>
        </w:rPr>
        <w:t>terminate employment within sixty (60) days following the expiration of such cure period for the termination to be on account of Good Reason.</w:t>
      </w:r>
    </w:p>
    <w:p>
      <w:pPr>
        <w:spacing w:after="0" w:line="239" w:lineRule="exact"/>
        <w:rPr>
          <w:sz w:val="20"/>
          <w:szCs w:val="20"/>
          <w:color w:val="auto"/>
        </w:rPr>
      </w:pPr>
    </w:p>
    <w:p>
      <w:pPr>
        <w:ind w:left="2620" w:hanging="877"/>
        <w:spacing w:after="0"/>
        <w:tabs>
          <w:tab w:leader="none" w:pos="26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Compensation Upon Termination</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20"/>
          <w:szCs w:val="20"/>
          <w:color w:val="auto"/>
        </w:rPr>
      </w:pPr>
    </w:p>
    <w:p>
      <w:pPr>
        <w:ind w:left="860" w:firstLine="2031"/>
        <w:spacing w:after="0" w:line="251" w:lineRule="auto"/>
        <w:tabs>
          <w:tab w:leader="none" w:pos="3721"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Upon termination of this Agreement due to the Executive’s death, the Company shall pay to the Executive’s estate the Executive’s Base Salary accrued through the date of the Executive’s death. Upon payment to the Executive of the foregoing amount, the Company shall have no further obligation or liability to or for the benefit of the Executive under this Agreement, except as required by applicable law or any Award Agreement.</w:t>
      </w:r>
    </w:p>
    <w:p>
      <w:pPr>
        <w:spacing w:after="0" w:line="203" w:lineRule="exact"/>
        <w:rPr>
          <w:rFonts w:ascii="Times New Roman" w:cs="Times New Roman" w:eastAsia="Times New Roman" w:hAnsi="Times New Roman"/>
          <w:sz w:val="20"/>
          <w:szCs w:val="20"/>
          <w:color w:val="auto"/>
        </w:rPr>
      </w:pPr>
    </w:p>
    <w:p>
      <w:pPr>
        <w:ind w:left="860" w:right="60" w:firstLine="2031"/>
        <w:spacing w:after="0" w:line="251" w:lineRule="auto"/>
        <w:tabs>
          <w:tab w:leader="none" w:pos="3776"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Upon termination of this Agreement due to the Executive’s Disability, the Company shall pay to the Executive the Executive’s Base Salary and Benefits accrued through the date of the determination of the Executive’s Disability. Upon payment to the Executive of the foregoing amount, the Company shall have no further obligation or liability to or for the benefit of the Executive under this Agreement, except as required by applicable law or any Award Agreement.</w:t>
      </w:r>
    </w:p>
    <w:p>
      <w:pPr>
        <w:spacing w:after="0" w:line="203" w:lineRule="exact"/>
        <w:rPr>
          <w:rFonts w:ascii="Times New Roman" w:cs="Times New Roman" w:eastAsia="Times New Roman" w:hAnsi="Times New Roman"/>
          <w:sz w:val="20"/>
          <w:szCs w:val="20"/>
          <w:color w:val="auto"/>
        </w:rPr>
      </w:pPr>
    </w:p>
    <w:p>
      <w:pPr>
        <w:ind w:left="860" w:right="140" w:firstLine="2031"/>
        <w:spacing w:after="0" w:line="251" w:lineRule="auto"/>
        <w:tabs>
          <w:tab w:leader="none" w:pos="3831"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Upon termination of this Agreement for Cause, the Company shall pay to the Executive the Executive’s Base Salary and Benefits accrued through the date of the Executive’s termination. Upon payment to the Executive of the foregoing amount, the Company shall have no further obligation or liability to or for the benefit of the Executive under this Agreement, except as required by applicable law.</w:t>
      </w:r>
    </w:p>
    <w:p>
      <w:pPr>
        <w:spacing w:after="0" w:line="203" w:lineRule="exact"/>
        <w:rPr>
          <w:rFonts w:ascii="Times New Roman" w:cs="Times New Roman" w:eastAsia="Times New Roman" w:hAnsi="Times New Roman"/>
          <w:sz w:val="20"/>
          <w:szCs w:val="20"/>
          <w:color w:val="auto"/>
        </w:rPr>
      </w:pPr>
    </w:p>
    <w:p>
      <w:pPr>
        <w:ind w:left="860" w:right="20" w:firstLine="2031"/>
        <w:spacing w:after="0" w:line="251" w:lineRule="auto"/>
        <w:tabs>
          <w:tab w:leader="none" w:pos="3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Without Cause or Refusal to Accept Assignment</w:t>
      </w:r>
      <w:r>
        <w:rPr>
          <w:rFonts w:ascii="Times New Roman" w:cs="Times New Roman" w:eastAsia="Times New Roman" w:hAnsi="Times New Roman"/>
          <w:sz w:val="18"/>
          <w:szCs w:val="18"/>
          <w:color w:val="auto"/>
        </w:rPr>
        <w:t>. In the event the Company terminates this Agreement without Cause or any successor of the Company refuses to accept assignment of this Agreement, the Company shall pay to the Executive one year of the Executive’s Base Salary in accordance with the Company’s payroll practices in effect from time to time, provided, however, the Executive is not in violation of the Restrictive Covenant Agreement. Upon payment to the Executive of the foregoing amount, the Company shall have no further obligation or liability to or for the benefit of the Executive under this Agreement, except as required by applicable law or any Award Agreement.</w:t>
      </w:r>
    </w:p>
    <w:p>
      <w:pPr>
        <w:spacing w:after="0" w:line="203" w:lineRule="exact"/>
        <w:rPr>
          <w:rFonts w:ascii="Times New Roman" w:cs="Times New Roman" w:eastAsia="Times New Roman" w:hAnsi="Times New Roman"/>
          <w:sz w:val="20"/>
          <w:szCs w:val="20"/>
          <w:color w:val="auto"/>
        </w:rPr>
      </w:pPr>
    </w:p>
    <w:p>
      <w:pPr>
        <w:ind w:left="860" w:right="120" w:firstLine="2031"/>
        <w:spacing w:after="0" w:line="251" w:lineRule="auto"/>
        <w:tabs>
          <w:tab w:leader="none" w:pos="3765"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Any Reason</w:t>
      </w:r>
      <w:r>
        <w:rPr>
          <w:rFonts w:ascii="Times New Roman" w:cs="Times New Roman" w:eastAsia="Times New Roman" w:hAnsi="Times New Roman"/>
          <w:sz w:val="18"/>
          <w:szCs w:val="18"/>
          <w:color w:val="auto"/>
        </w:rPr>
        <w:t>. In the event the Executive terminates this Agreement and his employment with the Company for any reason during the Term, the Company shall pay to the Executive the Executive’s Base Salary and Benefits through the date of the expiration of the Executive Termination Period. Upon payment to the Executive of the foregoing amount, the Company shall have no further obligation or liability to or for the benefit of the Executive under this Agreement, except as required by applicable law.</w:t>
      </w:r>
    </w:p>
    <w:p>
      <w:pPr>
        <w:spacing w:after="0" w:line="203" w:lineRule="exact"/>
        <w:rPr>
          <w:rFonts w:ascii="Times New Roman" w:cs="Times New Roman" w:eastAsia="Times New Roman" w:hAnsi="Times New Roman"/>
          <w:sz w:val="20"/>
          <w:szCs w:val="20"/>
          <w:color w:val="auto"/>
        </w:rPr>
      </w:pPr>
    </w:p>
    <w:p>
      <w:pPr>
        <w:ind w:left="860" w:right="20" w:firstLine="2031"/>
        <w:spacing w:after="0" w:line="251" w:lineRule="auto"/>
        <w:tabs>
          <w:tab w:leader="none" w:pos="3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For Good Reason</w:t>
      </w:r>
      <w:r>
        <w:rPr>
          <w:rFonts w:ascii="Times New Roman" w:cs="Times New Roman" w:eastAsia="Times New Roman" w:hAnsi="Times New Roman"/>
          <w:sz w:val="18"/>
          <w:szCs w:val="18"/>
          <w:color w:val="auto"/>
        </w:rPr>
        <w:t>. If the Executive terminates this Agreement and his employment for Good Reason, the Company shall pay to the Executive one year of the Executive’s Base Salary in accordance with the Company’s payroll practices in effect from time to time, provided, however, the Executive is not in violation of the Restrictive Covenant Agreement. Upon payment to the Executive of the foregoing amount, the Company shall have no further obligation or liability to or for the benefit of the Executive under this Agreement, except as required by applicable law or any Award Agreement.</w:t>
      </w:r>
    </w:p>
    <w:p>
      <w:pPr>
        <w:spacing w:after="0" w:line="203" w:lineRule="exact"/>
        <w:rPr>
          <w:rFonts w:ascii="Times New Roman" w:cs="Times New Roman" w:eastAsia="Times New Roman" w:hAnsi="Times New Roman"/>
          <w:sz w:val="20"/>
          <w:szCs w:val="20"/>
          <w:color w:val="auto"/>
        </w:rPr>
      </w:pPr>
    </w:p>
    <w:p>
      <w:pPr>
        <w:ind w:left="-20" w:right="60" w:firstLine="885"/>
        <w:spacing w:after="0" w:line="251" w:lineRule="auto"/>
        <w:tabs>
          <w:tab w:leader="none" w:pos="16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Notwithstanding anything to the contrary herein, including, without limitation,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of this Agreement, to the fullest extent permitted by the law, the Company will indemnify, defend and hold Executive harmless from and against any and all third-party claims, demands, investigations, actions, suits, proceedings, awards and/or judgments, including reasonable costs and attorneys’ fees, when and as incurred by Executive arising out of or related to the operations, business, or affairs of or any act or failure to act on behalf of the Company, any of its subsidiaries, directors or shareholders, or any of their respective affiliates during the course of his employment with the Company (even if the action or investigation is brought post Executive’s termination) and/or in his capacity as an Executive of the Company, except to the extent that any of the foregoing is determined by final, nonappealable order of a court of competent jurisdiction to have been primarily caused by the bad faith, gross negligence, willful or intentional misconduct, knowing violation of law or criminal activity of such Executive.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167640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29" w:name="page30"/>
    <w:bookmarkEnd w:id="29"/>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obtain coverage for the Executive under an insurance policy covering the Company’s directors and officers against claims set forth herein if such coverage for Executive is possible at reasonable cost; provided, however, that it is understood and agreed that the Company’s obligation to indemnify the Executive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be affected by the Company’s ability or inability to obtain such insurance coverage. The Company’s obligations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the termination or expiration of this Agreement. The indemnification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be deemed exclusive and shall be in addition to any other indemnification rights and/or remedies to which the Executive might be entitled to under the law, another agreement or otherwise.</w:t>
      </w:r>
    </w:p>
    <w:p>
      <w:pPr>
        <w:spacing w:after="0" w:line="201" w:lineRule="exact"/>
        <w:rPr>
          <w:sz w:val="20"/>
          <w:szCs w:val="20"/>
          <w:color w:val="auto"/>
        </w:rPr>
      </w:pPr>
    </w:p>
    <w:p>
      <w:pPr>
        <w:ind w:right="120" w:firstLine="885"/>
        <w:spacing w:after="0" w:line="251" w:lineRule="auto"/>
        <w:tabs>
          <w:tab w:leader="none" w:pos="167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In recognition of the need of the Company to protect its goodwill and legitimate business interests, Executive agrees that the terms and conditions of the Restrictive Covenant Agreement, are hereby incorporated into this Agreement. Notwithstanding the foregoing, Executive’s covenants in the Restrictive Covenant Agreement are independent covenants and any claim by Executive against the Company under this Agreement or otherwise shall not excuse Executive’s obligations under the Restrictive Covenant Agreement. If Executive’s employment with the Company expires or is terminated, this Agreement shall continue in full force and effect to the extent necessary or appropriate to enforce the Executive’s obligations and agreements under the Restrictive Covenant Agreement.</w:t>
      </w:r>
    </w:p>
    <w:p>
      <w:pPr>
        <w:spacing w:after="0" w:line="203" w:lineRule="exact"/>
        <w:rPr>
          <w:rFonts w:ascii="Times New Roman" w:cs="Times New Roman" w:eastAsia="Times New Roman" w:hAnsi="Times New Roman"/>
          <w:sz w:val="20"/>
          <w:szCs w:val="20"/>
          <w:color w:val="auto"/>
        </w:rPr>
      </w:pPr>
    </w:p>
    <w:p>
      <w:pPr>
        <w:ind w:left="1680" w:hanging="795"/>
        <w:spacing w:after="0"/>
        <w:tabs>
          <w:tab w:leader="none" w:pos="16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required or desired to be given under this Agreement shall be in writing and shall be addressed as follows:</w:t>
      </w:r>
    </w:p>
    <w:p>
      <w:pPr>
        <w:sectPr>
          <w:pgSz w:w="11900" w:h="16838" w:orient="portrait"/>
          <w:cols w:equalWidth="0" w:num="1">
            <w:col w:w="11400"/>
          </w:cols>
          <w:pgMar w:left="240" w:top="337" w:right="259" w:bottom="1440" w:gutter="0" w:footer="0" w:header="0"/>
        </w:sectPr>
      </w:pPr>
    </w:p>
    <w:p>
      <w:pPr>
        <w:spacing w:after="0" w:line="2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If to Company: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Red Violet,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2650 North Military Trail,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200" w:lineRule="exact"/>
        <w:rPr>
          <w:sz w:val="20"/>
          <w:szCs w:val="20"/>
          <w:color w:val="auto"/>
        </w:rPr>
      </w:pPr>
    </w:p>
    <w:p>
      <w:pPr>
        <w:sectPr>
          <w:pgSz w:w="11900" w:h="16838" w:orient="portrait"/>
          <w:cols w:equalWidth="0" w:num="2">
            <w:col w:w="6920" w:space="720"/>
            <w:col w:w="3760"/>
          </w:cols>
          <w:pgMar w:left="240" w:top="337" w:right="259" w:bottom="1440" w:gutter="0" w:footer="0" w:header="0"/>
          <w:type w:val="continuous"/>
        </w:sectPr>
      </w:pPr>
    </w:p>
    <w:p>
      <w:pPr>
        <w:spacing w:after="0" w:line="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If to Executive:</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Times New Roman" w:cs="Times New Roman" w:eastAsia="Times New Roman" w:hAnsi="Times New Roman"/>
          <w:sz w:val="17"/>
          <w:szCs w:val="17"/>
          <w:color w:val="auto"/>
        </w:rPr>
        <w:t>Jeffrey Dell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8607 Wendy Lane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Palm Beach, FL 33411</w:t>
      </w:r>
    </w:p>
    <w:p>
      <w:pPr>
        <w:spacing w:after="0" w:line="200" w:lineRule="exact"/>
        <w:rPr>
          <w:sz w:val="20"/>
          <w:szCs w:val="20"/>
          <w:color w:val="auto"/>
        </w:rPr>
      </w:pPr>
    </w:p>
    <w:p>
      <w:pPr>
        <w:sectPr>
          <w:pgSz w:w="11900" w:h="16838" w:orient="portrait"/>
          <w:cols w:equalWidth="0" w:num="2">
            <w:col w:w="6920" w:space="720"/>
            <w:col w:w="3760"/>
          </w:cols>
          <w:pgMar w:left="240" w:top="337" w:right="259" w:bottom="1440" w:gutter="0" w:footer="0" w:header="0"/>
          <w:type w:val="continuous"/>
        </w:sectPr>
      </w:pPr>
    </w:p>
    <w:p>
      <w:pPr>
        <w:spacing w:after="0" w:line="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Notice shall be deemed given on the date it is deposited in the United States mail, first class postage prepaid and addressed in accordance with the foregoing, or the date otherwise delivered in person, whichever is earlier. The address to which any notice must be sent may be changed by providing written notice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780" w:hanging="895"/>
        <w:spacing w:after="0"/>
        <w:tabs>
          <w:tab w:leader="none" w:pos="17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20"/>
          <w:szCs w:val="20"/>
          <w:color w:val="auto"/>
        </w:rPr>
      </w:pPr>
    </w:p>
    <w:p>
      <w:pPr>
        <w:ind w:right="300" w:firstLine="1763"/>
        <w:spacing w:after="0" w:line="252" w:lineRule="auto"/>
        <w:tabs>
          <w:tab w:leader="none" w:pos="262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constitutes the entire agreement between the parties hereto and supersedes all prior agreements, if any, understandings and arrangements, oral or written, between the parties hereto with respect to the subject matter hereof. This Agreement may only be altered or amended by mutual written consent of the Company and the Executive.</w:t>
      </w:r>
    </w:p>
    <w:p>
      <w:pPr>
        <w:spacing w:after="0" w:line="201" w:lineRule="exact"/>
        <w:rPr>
          <w:rFonts w:ascii="Times New Roman" w:cs="Times New Roman" w:eastAsia="Times New Roman" w:hAnsi="Times New Roman"/>
          <w:sz w:val="20"/>
          <w:szCs w:val="20"/>
          <w:color w:val="auto"/>
        </w:rPr>
      </w:pPr>
    </w:p>
    <w:p>
      <w:pPr>
        <w:ind w:right="140" w:firstLine="1763"/>
        <w:spacing w:after="0" w:line="255" w:lineRule="auto"/>
        <w:tabs>
          <w:tab w:leader="none" w:pos="263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in accordance with the laws of the State of Florida regardless of the conflict of laws rules or statutes of any jurisdiction.</w:t>
      </w:r>
    </w:p>
    <w:p>
      <w:pPr>
        <w:spacing w:after="0" w:line="197" w:lineRule="exact"/>
        <w:rPr>
          <w:rFonts w:ascii="Times New Roman" w:cs="Times New Roman" w:eastAsia="Times New Roman" w:hAnsi="Times New Roman"/>
          <w:sz w:val="20"/>
          <w:szCs w:val="20"/>
          <w:color w:val="auto"/>
        </w:rPr>
      </w:pPr>
    </w:p>
    <w:p>
      <w:pPr>
        <w:ind w:firstLine="1763"/>
        <w:spacing w:after="0" w:line="267" w:lineRule="auto"/>
        <w:tabs>
          <w:tab w:leader="none" w:pos="2623"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will be binding upon the Executive’s heirs, executors, administrators or other legal representatives or assigns. This Agreement will not be assignable by the Executive, but shall be assigned by the Company in connection with the sale, lease, license, assignment, merger, consolidation, share exchange, liquidation, transfer, conveyance or other disposition (whether direct or indirect) of all or substantially all of its business and/or assets in one or a series of related transactions (individually and/or collectively,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Employment Agreement. Upon the occurrence of any such Fundamental Transaction, the Successor Entity shall succeed to, and be substituted for (so that from and after the date of such Fundamental Transaction, the provisions of this Employment Agreement referring to the “Company” shall refer instead to the Successor Entity), and may exercise every right and power of the Company and shall assume all of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obligations of the Company under this Employment Agreement with the same effect as if such Successor Entity had been named as the Company herein.</w:t>
      </w:r>
    </w:p>
    <w:p>
      <w:pPr>
        <w:spacing w:after="0" w:line="239" w:lineRule="exact"/>
        <w:rPr>
          <w:sz w:val="20"/>
          <w:szCs w:val="20"/>
          <w:color w:val="auto"/>
        </w:rPr>
      </w:pPr>
    </w:p>
    <w:p>
      <w:pPr>
        <w:ind w:right="260" w:firstLine="1763"/>
        <w:spacing w:after="0" w:line="251" w:lineRule="auto"/>
        <w:tabs>
          <w:tab w:leader="none" w:pos="26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any party to this Agreement to enforce at any time any of the provisions of this Agreement shall in no way be construed to be a waiver of any such provision, nor in any way to affect the validity of this Agreement or any part thereof or the right of any party under this Agreement to enforce each and every such provision. No waiver or any breach of this Agreement shall be held to be a waiver of any other or subsequent breach.</w:t>
      </w:r>
    </w:p>
    <w:p>
      <w:pPr>
        <w:spacing w:after="0" w:line="203" w:lineRule="exact"/>
        <w:rPr>
          <w:rFonts w:ascii="Times New Roman" w:cs="Times New Roman" w:eastAsia="Times New Roman" w:hAnsi="Times New Roman"/>
          <w:sz w:val="20"/>
          <w:szCs w:val="20"/>
          <w:color w:val="auto"/>
        </w:rPr>
      </w:pPr>
    </w:p>
    <w:p>
      <w:pPr>
        <w:ind w:right="240" w:firstLine="1763"/>
        <w:spacing w:after="0" w:line="251" w:lineRule="auto"/>
        <w:tabs>
          <w:tab w:leader="none" w:pos="262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Section Headings, Construction</w:t>
      </w:r>
      <w:r>
        <w:rPr>
          <w:rFonts w:ascii="Times New Roman" w:cs="Times New Roman" w:eastAsia="Times New Roman" w:hAnsi="Times New Roman"/>
          <w:sz w:val="18"/>
          <w:szCs w:val="18"/>
          <w:color w:val="auto"/>
        </w:rPr>
        <w:t>. The headings used in this Agreement are provided for convenience only and shall not affect the construction or interpretation of this Agreement. All words used in this Agreement shall be construed to be of such gender or number as the circumstances require. In no event shall the terms or provisions hereof be construed against any party on the basis that such party or counsel for such party drafted this Agreement or the attachments hereto.</w:t>
      </w:r>
    </w:p>
    <w:p>
      <w:pPr>
        <w:spacing w:after="0" w:line="203" w:lineRule="exact"/>
        <w:rPr>
          <w:rFonts w:ascii="Times New Roman" w:cs="Times New Roman" w:eastAsia="Times New Roman" w:hAnsi="Times New Roman"/>
          <w:sz w:val="20"/>
          <w:szCs w:val="20"/>
          <w:color w:val="auto"/>
        </w:rPr>
      </w:pPr>
    </w:p>
    <w:p>
      <w:pPr>
        <w:ind w:right="140" w:firstLine="1763"/>
        <w:spacing w:after="0" w:line="252" w:lineRule="auto"/>
        <w:tabs>
          <w:tab w:leader="none" w:pos="260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w:t>
      </w:r>
    </w:p>
    <w:p>
      <w:pPr>
        <w:spacing w:after="0" w:line="201" w:lineRule="exact"/>
        <w:rPr>
          <w:rFonts w:ascii="Times New Roman" w:cs="Times New Roman" w:eastAsia="Times New Roman" w:hAnsi="Times New Roman"/>
          <w:sz w:val="20"/>
          <w:szCs w:val="20"/>
          <w:color w:val="auto"/>
        </w:rPr>
      </w:pPr>
    </w:p>
    <w:p>
      <w:pPr>
        <w:ind w:right="420" w:firstLine="1763"/>
        <w:spacing w:after="0" w:line="255" w:lineRule="auto"/>
        <w:tabs>
          <w:tab w:leader="none" w:pos="26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of this Agreement and all of which, when taken together, shall be deemed to constitute one and the same agreement.</w:t>
      </w:r>
    </w:p>
    <w:p>
      <w:pPr>
        <w:spacing w:after="0" w:line="197" w:lineRule="exact"/>
        <w:rPr>
          <w:rFonts w:ascii="Times New Roman" w:cs="Times New Roman" w:eastAsia="Times New Roman" w:hAnsi="Times New Roman"/>
          <w:sz w:val="20"/>
          <w:szCs w:val="20"/>
          <w:color w:val="auto"/>
        </w:rPr>
      </w:pPr>
    </w:p>
    <w:p>
      <w:pPr>
        <w:ind w:right="40" w:firstLine="1763"/>
        <w:spacing w:after="0" w:line="255" w:lineRule="auto"/>
        <w:tabs>
          <w:tab w:leader="none" w:pos="26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Opportunity to Review</w:t>
      </w:r>
      <w:r>
        <w:rPr>
          <w:rFonts w:ascii="Times New Roman" w:cs="Times New Roman" w:eastAsia="Times New Roman" w:hAnsi="Times New Roman"/>
          <w:sz w:val="18"/>
          <w:szCs w:val="18"/>
          <w:color w:val="auto"/>
        </w:rPr>
        <w:t>. The Executive represents that the Executive has been provided with an opportunity to review the terms of the Agreement with legal counsel.</w:t>
      </w:r>
    </w:p>
    <w:p>
      <w:pPr>
        <w:spacing w:after="0" w:line="197" w:lineRule="exact"/>
        <w:rPr>
          <w:rFonts w:ascii="Times New Roman" w:cs="Times New Roman" w:eastAsia="Times New Roman" w:hAnsi="Times New Roman"/>
          <w:sz w:val="20"/>
          <w:szCs w:val="20"/>
          <w:color w:val="auto"/>
        </w:rPr>
      </w:pPr>
    </w:p>
    <w:p>
      <w:pPr>
        <w:ind w:firstLine="1763"/>
        <w:spacing w:after="0" w:line="250" w:lineRule="auto"/>
        <w:tabs>
          <w:tab w:leader="none" w:pos="25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This Agreement is intended, and shall be construed and interpreted, to comply with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if necessary, any provision shall be held null and void to the extent such provision (or part thereof) fails to comply with Code Section 409A. For purposes of Code Section 409A, each payment of compensation under this Agreement shall be treated as a separate payment of compensation. Any amounts payable solely on account of an involuntary termination shall be excludible from the requirements of Code Section 409A, either as separation pay or as short-term deferrals to the maximum possible extent. Any reference to the Executive’s “termination” or “termination of employment” shall mean the Executive’s “separation from service” as defined in Code Section 409A from the Company and all entities with whom the Company would be treated as a single employer for purposes of Code Section 409A. Notwithstanding anything to the contrary in this Agreement, if the Company determines (i) that on the date the Executive’s employment with the Company terminates or at such other time that the Company determines to be relevant, the Executive is a “specified Executive” (as such term is defined under Treasury Regulation 1.409A-1(i)(1)) of the Company and (ii) that any payments to be provided to the Executive pursuant to this Agreement are or may become subject to the additional tax under Section 409A(a)(1)(B) of the Code or any other taxes or penalties imposed under Section 409A of the Code if provided at the time otherwise required under this Agreement, then such payments shall be delayed until the date that is six (6) months after the date of the Executive’s “separation from service” (as such term is defined under Treasury Regulation 1.409A-1(h)) with the Company, or, if earlier, the date of the Executive’s death. Any payments delayed pursuant to this Section shall be made in a lump sum on the first day of the seventh (7th) month following the Executive’s “separation from service” (as such term is defined under Treasury Regulation 1.409A-1(h)), or, if earlier, the date of the Executive’s death. Nothing herein shall be construed as a guarantee of any particular tax treatment to Executive and the Company shall have no liability to the Executive with respect to any penalties that might be imposed on the Executive by Code Section 409A for any failure of this Agreement or otherwise.</w:t>
      </w:r>
    </w:p>
    <w:p>
      <w:pPr>
        <w:spacing w:after="0" w:line="213" w:lineRule="exact"/>
        <w:rPr>
          <w:rFonts w:ascii="Times New Roman" w:cs="Times New Roman" w:eastAsia="Times New Roman" w:hAnsi="Times New Roman"/>
          <w:sz w:val="20"/>
          <w:szCs w:val="20"/>
          <w:color w:val="auto"/>
        </w:rPr>
      </w:pPr>
    </w:p>
    <w:p>
      <w:pPr>
        <w:ind w:right="60" w:firstLine="1763"/>
        <w:spacing w:after="0" w:line="255" w:lineRule="auto"/>
        <w:tabs>
          <w:tab w:leader="none" w:pos="25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or proceeding (including any appeals) brought to enforce any provision of this Agreement, the prevailing party will be entitled to reasonable attorneys’ fees and costs.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9019"/>
          </w:cols>
          <w:pgMar w:left="1440" w:top="12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167640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02"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day and year first written above.</w:t>
      </w:r>
    </w:p>
    <w:p>
      <w:pPr>
        <w:sectPr>
          <w:pgSz w:w="11900" w:h="16838" w:orient="portrait"/>
          <w:cols w:equalWidth="0" w:num="1">
            <w:col w:w="9560"/>
          </w:cols>
          <w:pgMar w:left="1120" w:top="333" w:right="1219" w:bottom="1440" w:gutter="0" w:footer="0" w:header="0"/>
        </w:sectPr>
      </w:pP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RED VIOLET, INC.</w:t>
      </w:r>
    </w:p>
    <w:p>
      <w:pPr>
        <w:spacing w:after="0" w:line="200" w:lineRule="exact"/>
        <w:rPr>
          <w:sz w:val="20"/>
          <w:szCs w:val="20"/>
          <w:color w:val="auto"/>
        </w:rPr>
      </w:pPr>
    </w:p>
    <w:p>
      <w:pPr>
        <w:spacing w:after="0" w:line="2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Derek Dubner</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Derek Dubner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1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u w:val="single" w:color="auto"/>
          <w:color w:val="auto"/>
        </w:rPr>
        <w:t>/s/ Jeffrey Dell</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Jeffrey Dell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167640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60"/>
          </w:cols>
          <w:pgMar w:left="1120" w:top="333" w:right="1219" w:bottom="1440" w:gutter="0" w:footer="0" w:header="0"/>
          <w:type w:val="continuous"/>
        </w:sectPr>
      </w:pPr>
    </w:p>
    <w:bookmarkStart w:id="33" w:name="page34"/>
    <w:bookmarkEnd w:id="33"/>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April 1, 2019</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Name</w:t>
      </w:r>
      <w:r>
        <w:rPr>
          <w:rFonts w:ascii="Times New Roman" w:cs="Times New Roman" w:eastAsia="Times New Roman" w:hAnsi="Times New Roman"/>
          <w:sz w:val="18"/>
          <w:szCs w:val="18"/>
          <w:color w:val="auto"/>
        </w:rPr>
        <w:t>: Jeffrey Dell</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Chief Information Officer</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As determined by the Board and/or Chief Executive Officer</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Employment</w:t>
      </w:r>
      <w:r>
        <w:rPr>
          <w:rFonts w:ascii="Times New Roman" w:cs="Times New Roman" w:eastAsia="Times New Roman" w:hAnsi="Times New Roman"/>
          <w:sz w:val="18"/>
          <w:szCs w:val="18"/>
          <w:color w:val="auto"/>
        </w:rPr>
        <w:t>: Boca Raton, Florida</w:t>
      </w:r>
    </w:p>
    <w:p>
      <w:pPr>
        <w:spacing w:after="0" w:line="225" w:lineRule="exact"/>
        <w:rPr>
          <w:rFonts w:ascii="Times New Roman" w:cs="Times New Roman" w:eastAsia="Times New Roman" w:hAnsi="Times New Roman"/>
          <w:sz w:val="18"/>
          <w:szCs w:val="18"/>
          <w:color w:val="auto"/>
        </w:rPr>
      </w:pPr>
    </w:p>
    <w:p>
      <w:pPr>
        <w:ind w:left="440" w:hanging="440"/>
        <w:spacing w:after="0" w:line="25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Commencing on the Effective Date and ending March 26, 2021 (the “</w:t>
      </w:r>
      <w:r>
        <w:rPr>
          <w:rFonts w:ascii="Times New Roman" w:cs="Times New Roman" w:eastAsia="Times New Roman" w:hAnsi="Times New Roman"/>
          <w:sz w:val="18"/>
          <w:szCs w:val="18"/>
          <w:u w:val="single" w:color="auto"/>
          <w:color w:val="auto"/>
        </w:rPr>
        <w:t>Term 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87"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$250,000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680" w:top="33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40" w:right="100" w:hanging="519"/>
        <w:spacing w:after="0" w:line="276"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040" w:right="60" w:hanging="519"/>
        <w:spacing w:after="0" w:line="313"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1540" w:right="38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August 5, 2019</w:t>
            </w:r>
          </w:p>
        </w:tc>
        <w:tc>
          <w:tcPr>
            <w:tcW w:w="774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3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40" w:right="100" w:hanging="519"/>
        <w:spacing w:after="0" w:line="276"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040" w:right="60" w:hanging="519"/>
        <w:spacing w:after="0" w:line="313"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1540" w:right="38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August 5, 2019</w:t>
            </w:r>
          </w:p>
        </w:tc>
        <w:tc>
          <w:tcPr>
            <w:tcW w:w="774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333"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2019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August 5, 2019</w:t>
            </w:r>
          </w:p>
        </w:tc>
        <w:tc>
          <w:tcPr>
            <w:tcW w:w="74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420"/>
          </w:cols>
          <w:pgMar w:left="240" w:top="33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2019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August 5, 2019</w:t>
            </w:r>
          </w:p>
        </w:tc>
        <w:tc>
          <w:tcPr>
            <w:tcW w:w="744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9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2)"/>
      <w:numFmt w:val="lowerRoman"/>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lvl w:ilvl="1">
      <w:lvlJc w:val="left"/>
      <w:lvlText w:val="(%2)"/>
      <w:numFmt w:val="lowerLetter"/>
      <w:start w:val="1"/>
    </w:lvl>
  </w:abstractNum>
  <w:abstractNum w:abstractNumId="8">
    <w:nsid w:val="431BD7B7"/>
    <w:multiLevelType w:val="hybridMultilevel"/>
    <w:lvl w:ilvl="0">
      <w:lvlJc w:val="left"/>
      <w:lvlText w:val="%1"/>
      <w:numFmt w:val="lowerRoman"/>
      <w:start w:val="1"/>
    </w:lvl>
    <w:lvl w:ilvl="1">
      <w:lvlJc w:val="left"/>
      <w:lvlText w:val="(%2)"/>
      <w:numFmt w:val="lowerLetter"/>
      <w:start w:val="3"/>
    </w:lvl>
  </w:abstractNum>
  <w:abstractNum w:abstractNumId="9">
    <w:nsid w:val="3F2DBA31"/>
    <w:multiLevelType w:val="hybridMultilevel"/>
    <w:lvl w:ilvl="0">
      <w:lvlJc w:val="left"/>
      <w:lvlText w:val="(%1)"/>
      <w:numFmt w:val="lowerRoman"/>
      <w:start w:val="4"/>
    </w:lvl>
    <w:lvl w:ilvl="1">
      <w:lvlJc w:val="left"/>
      <w:lvlText w:val="%2"/>
      <w:numFmt w:val="lowerLetter"/>
      <w:start w:val="1"/>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1)"/>
      <w:numFmt w:val="upperLetter"/>
      <w:start w:val="1"/>
    </w:lvl>
  </w:abstractNum>
  <w:abstractNum w:abstractNumId="12">
    <w:nsid w:val="62BBD95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436C61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628C895D"/>
    <w:multiLevelType w:val="hybridMultilevel"/>
    <w:lvl w:ilvl="0">
      <w:lvlJc w:val="left"/>
      <w:lvlText w:val="%1"/>
      <w:numFmt w:val="lowerLetter"/>
      <w:start w:val="1"/>
    </w:lvl>
    <w:lvl w:ilvl="1">
      <w:lvlJc w:val="left"/>
      <w:lvlText w:val="(%2)"/>
      <w:numFmt w:val="lowerRoman"/>
      <w:start w:val="4"/>
    </w:lvl>
  </w:abstractNum>
  <w:abstractNum w:abstractNumId="15">
    <w:nsid w:val="333AB105"/>
    <w:multiLevelType w:val="hybridMultilevel"/>
    <w:lvl w:ilvl="0">
      <w:lvlJc w:val="left"/>
      <w:lvlText w:val="(%1)"/>
      <w:numFmt w:val="lowerLetter"/>
      <w:start w:val="2"/>
    </w:lvl>
    <w:lvl w:ilvl="1">
      <w:lvlJc w:val="left"/>
      <w:lvlText w:val="%2"/>
      <w:numFmt w:val="lowerRoman"/>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2D1D5A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
    <w:nsid w:val="6763845E"/>
    <w:multiLevelType w:val="hybridMultilevel"/>
    <w:lvl w:ilvl="0">
      <w:lvlJc w:val="left"/>
      <w:lvlText w:val="%1."/>
      <w:numFmt w:val="decimal"/>
      <w:start w:val="8"/>
    </w:lvl>
  </w:abstractNum>
  <w:abstractNum w:abstractNumId="20">
    <w:nsid w:val="75A2A8D4"/>
    <w:multiLevelType w:val="hybridMultilevel"/>
    <w:lvl w:ilvl="0">
      <w:lvlJc w:val="left"/>
      <w:lvlText w:val="%1."/>
      <w:numFmt w:val="decimal"/>
      <w:start w:val="10"/>
    </w:lvl>
    <w:lvl w:ilvl="1">
      <w:lvlJc w:val="left"/>
      <w:lvlText w:val="(%2)"/>
      <w:numFmt w:val="lowerLetter"/>
      <w:start w:val="1"/>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2019-12-28T08:59:09Z</dcterms:created>
  <dcterms:modified xsi:type="dcterms:W3CDTF">2019-12-28T08:59:09Z</dcterms:modified>
</cp:coreProperties>
</file>