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60805.htm"/>
      <w:bookmarkStart w:id="1" w:name="ksrdvt20260805"/>
      <w:bookmarkEnd w:id="0"/>
      <w:bookmarkEnd w:id="1"/>
      <w:r>
        <w:rPr/>
        <w:t> </w:t>
      </w:r>
    </w:p>
    <w:p>
      <w:pPr>
        <w:pStyle w:val="TextBody"/>
        <w:pBdr>
          <w:bottom w:val="doub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August 5,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60" w:after="6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4"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preliminary financial information for the three months ended June 30, 2026 set forth under Item 7.01 below is incorporated into this Item 2.02 by reference.</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Estimated Preliminary Results for the Three Months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Set forth below are certain estimated and unaudited preliminary financial results and other information of Red Violet, Inc. (the “Company”) for the three months ended June 30, 2026. These estimates are based on the information currently available to the Company and are subject to the completion of the Company’s financial closing procedures. The Company has provided estimates, rather than specific amounts, because these results are preliminary and subject to change. The Company’s financial closing procedures for the three months ended June 30, 2026 are not yet complete and, as a result, the Company’s actual results may vary from the estimated preliminary results presented here.</w:t>
      </w:r>
    </w:p>
    <w:p>
      <w:pPr>
        <w:pStyle w:val="TextBody"/>
        <w:bidi w:val="0"/>
        <w:jc w:val="left"/>
        <w:rPr>
          <w:rFonts w:ascii="Times New Roman" w:hAnsi="Times New Roman"/>
          <w:color w:val="000000"/>
          <w:sz w:val="20"/>
        </w:rPr>
      </w:pPr>
      <w:r>
        <w:rPr>
          <w:rFonts w:ascii="Times New Roman" w:hAnsi="Times New Roman"/>
          <w:color w:val="000000"/>
          <w:sz w:val="20"/>
        </w:rPr>
        <w:t>These estimates should not be viewed as a substitute for the Company’s full interim or annual financial statements prepared in accordance with U.S. generally accepted accounting principles (“GAAP”). Further, the Company’s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in the Company’s periodic reports filed with the SEC. Accordingly, you should not place undue reliance on these estimated preliminary financial results.</w:t>
      </w:r>
    </w:p>
    <w:p>
      <w:pPr>
        <w:pStyle w:val="TextBody"/>
        <w:bidi w:val="0"/>
        <w:jc w:val="left"/>
        <w:rPr>
          <w:rFonts w:ascii="Times New Roman" w:hAnsi="Times New Roman"/>
          <w:color w:val="000000"/>
          <w:sz w:val="20"/>
        </w:rPr>
      </w:pPr>
      <w:r>
        <w:rPr>
          <w:rFonts w:ascii="Times New Roman" w:hAnsi="Times New Roman"/>
          <w:color w:val="000000"/>
          <w:sz w:val="20"/>
        </w:rPr>
        <w:t>The preliminary financial results presented below have been prepared by, and are the responsibility of, the Company’s management. The Company’s independent registered public accounting firm, Grant Thornton LLP, has not audited, reviewed, compiled, or performed agreed-upon procedures with respect to these estimated preliminary financial results. Accordingly, Grant Thornton LLP does not express an opinion or any other form of assurance with respect thereto.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are the Company’s estimated preliminary financial results and key operating metrics for the three months ended June 30, 2026:</w:t>
      </w:r>
    </w:p>
    <w:p>
      <w:pPr>
        <w:pStyle w:val="TextBody"/>
        <w:bidi w:val="0"/>
        <w:jc w:val="left"/>
        <w:rPr/>
      </w:pPr>
      <w:r>
        <w:rPr/>
        <w:t> </w:t>
      </w:r>
    </w:p>
    <w:tbl>
      <w:tblPr>
        <w:tblW w:w="5488" w:type="dxa"/>
        <w:jc w:val="left"/>
        <w:tblInd w:w="0" w:type="dxa"/>
        <w:tblLayout w:type="fixed"/>
        <w:tblCellMar>
          <w:top w:w="28" w:type="dxa"/>
          <w:left w:w="28" w:type="dxa"/>
          <w:bottom w:w="28" w:type="dxa"/>
          <w:right w:w="28" w:type="dxa"/>
        </w:tblCellMar>
      </w:tblPr>
      <w:tblGrid>
        <w:gridCol w:w="2386"/>
        <w:gridCol w:w="146"/>
        <w:gridCol w:w="628"/>
        <w:gridCol w:w="2012"/>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(1) See “Reconciliation of GAAP to Non-GAAP Financial Measures” below and the reconciliation of adjusted EBITDA and adjusted EBITDA margin to their most comparable GAAP measures for additional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Reconciliation of GAAP to 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and adjusted EBITDA margin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EBITDA is a non-GAAP financial measure equal to net income, the most directly comparable financial measure based on GAAP, excluding interest income, income tax expense, depreciation and amortization, share-based compensation expense, acquisition-related costs, litigation costs, and write-off of long-lived assets. We define adjusted EBITDA margin as adjusted EBITDA as a percentage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GAAP financial measure, to adjusted EBITDA:</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88" w:type="dxa"/>
        <w:jc w:val="left"/>
        <w:tblInd w:w="0" w:type="dxa"/>
        <w:tblLayout w:type="fixed"/>
        <w:tblCellMar>
          <w:top w:w="28" w:type="dxa"/>
          <w:left w:w="28" w:type="dxa"/>
          <w:bottom w:w="28" w:type="dxa"/>
          <w:right w:w="28" w:type="dxa"/>
        </w:tblCellMar>
      </w:tblPr>
      <w:tblGrid>
        <w:gridCol w:w="2986"/>
        <w:gridCol w:w="146"/>
        <w:gridCol w:w="628"/>
        <w:gridCol w:w="2012"/>
        <w:gridCol w:w="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furnished pursuant to this Item 7.01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These forward-looking statements include, but are not limited to, the Company’s preliminary financial results. These forward-looking statements are based on management’s current expectations and beliefs and are subject to a number of risks, uncertainties and assumptions. Readers are cautioned not to place undue reliance on these forward-looking statements, which speak only as of the date of this Current Report on Form 8-K and are advised to consider the factors listed above together with the additional factors under the heading “Forward-Looking Statements” and “Risk Factors” in Red Violet’s Form 10-K for the year ended December 31, 2025, filed on March 4, 2026, as may be supplemented or amended by the Company’s other filings with the SEC. Red Violet undertakes no obligation to publicly update or revise any forward-looking statement, whether as a result of new information, future events or otherwise, except as required by law.</w:t>
      </w:r>
    </w:p>
    <w:p>
      <w:pPr>
        <w:pStyle w:val="TextBody"/>
        <w:bidi w:val="0"/>
        <w:spacing w:before="20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bookmarkStart w:id="3" w:name="p288483349"/>
      <w:bookmarkEnd w:id="3"/>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file).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83" w:type="dxa"/>
        <w:jc w:val="left"/>
        <w:tblInd w:w="0" w:type="dxa"/>
        <w:tblLayout w:type="fixed"/>
        <w:tblCellMar>
          <w:top w:w="28" w:type="dxa"/>
          <w:left w:w="28" w:type="dxa"/>
          <w:bottom w:w="28" w:type="dxa"/>
          <w:right w:w="28" w:type="dxa"/>
        </w:tblCellMar>
      </w:tblPr>
      <w:tblGrid>
        <w:gridCol w:w="1846"/>
        <w:gridCol w:w="146"/>
        <w:gridCol w:w="406"/>
        <w:gridCol w:w="146"/>
        <w:gridCol w:w="1339"/>
        <w:gridCol w:w="1339"/>
        <w:gridCol w:w="17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1281</Words>
  <Characters>7309</Characters>
  <CharactersWithSpaces>8584</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