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w:t>
      </w:r>
      <w:r>
        <w:rPr>
          <w:rFonts w:ascii="Times New Roman" w:cs="Times New Roman" w:eastAsia="Times New Roman" w:hAnsi="Times New Roman"/>
          <w:sz w:val="17"/>
          <w:szCs w:val="17"/>
          <w:b w:val="1"/>
          <w:bCs w:val="1"/>
          <w:color w:val="auto"/>
        </w:rPr>
        <w:t>4</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72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58"/>
        </w:trPr>
        <w:tc>
          <w:tcPr>
            <w:tcW w:w="2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0" w:type="dxa"/>
        <w:tblCellMar>
          <w:top w:w="0" w:type="dxa"/>
          <w:left w:w="0" w:type="dxa"/>
          <w:bottom w:w="0" w:type="dxa"/>
          <w:right w:w="0" w:type="dxa"/>
        </w:tblCellMar>
      </w:tblPr>
      <w:tr>
        <w:trPr>
          <w:trHeight w:val="360"/>
        </w:trPr>
        <w:tc>
          <w:tcPr>
            <w:tcW w:w="3840" w:type="dxa"/>
            <w:vAlign w:val="bottom"/>
          </w:tcPr>
          <w:p>
            <w:pPr>
              <w:spacing w:after="0"/>
              <w:rPr>
                <w:sz w:val="24"/>
                <w:szCs w:val="24"/>
                <w:color w:val="auto"/>
              </w:rPr>
            </w:pPr>
          </w:p>
        </w:tc>
        <w:tc>
          <w:tcPr>
            <w:tcW w:w="3920" w:type="dxa"/>
            <w:vAlign w:val="bottom"/>
            <w:gridSpan w:val="4"/>
          </w:tcPr>
          <w:p>
            <w:pPr>
              <w:jc w:val="center"/>
              <w:ind w:right="360"/>
              <w:spacing w:after="0"/>
              <w:rPr>
                <w:sz w:val="20"/>
                <w:szCs w:val="20"/>
                <w:color w:val="auto"/>
              </w:rPr>
            </w:pPr>
            <w:r>
              <w:rPr>
                <w:rFonts w:ascii="Times New Roman" w:cs="Times New Roman" w:eastAsia="Times New Roman" w:hAnsi="Times New Roman"/>
                <w:sz w:val="29"/>
                <w:szCs w:val="29"/>
                <w:b w:val="1"/>
                <w:bCs w:val="1"/>
                <w:color w:val="auto"/>
                <w:w w:val="98"/>
              </w:rPr>
              <w:t>RED VIOLET, INC.</w:t>
            </w: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39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840" w:type="dxa"/>
            <w:vAlign w:val="bottom"/>
            <w:vMerge w:val="restart"/>
          </w:tcPr>
          <w:p>
            <w:pPr>
              <w:jc w:val="center"/>
              <w:ind w:left="172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6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80" w:type="dxa"/>
            <w:vAlign w:val="bottom"/>
            <w:gridSpan w:val="2"/>
            <w:vMerge w:val="restart"/>
          </w:tcPr>
          <w:p>
            <w:pPr>
              <w:jc w:val="center"/>
              <w:ind w:right="1944"/>
              <w:spacing w:after="0"/>
              <w:rPr>
                <w:sz w:val="20"/>
                <w:szCs w:val="20"/>
                <w:color w:val="auto"/>
              </w:rPr>
            </w:pPr>
            <w:r>
              <w:rPr>
                <w:rFonts w:ascii="Times New Roman" w:cs="Times New Roman" w:eastAsia="Times New Roman" w:hAnsi="Times New Roman"/>
                <w:sz w:val="16"/>
                <w:szCs w:val="16"/>
                <w:b w:val="1"/>
                <w:bCs w:val="1"/>
                <w:color w:val="auto"/>
              </w:rPr>
              <w:t>82-2408531</w:t>
            </w:r>
          </w:p>
        </w:tc>
        <w:tc>
          <w:tcPr>
            <w:tcW w:w="0" w:type="dxa"/>
            <w:vAlign w:val="bottom"/>
          </w:tcPr>
          <w:p>
            <w:pPr>
              <w:spacing w:after="0"/>
              <w:rPr>
                <w:sz w:val="1"/>
                <w:szCs w:val="1"/>
                <w:color w:val="auto"/>
              </w:rPr>
            </w:pPr>
          </w:p>
        </w:tc>
      </w:tr>
      <w:tr>
        <w:trPr>
          <w:trHeight w:val="271"/>
        </w:trPr>
        <w:tc>
          <w:tcPr>
            <w:tcW w:w="38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840" w:type="dxa"/>
            <w:vAlign w:val="bottom"/>
          </w:tcPr>
          <w:p>
            <w:pPr>
              <w:jc w:val="center"/>
              <w:ind w:left="1725"/>
              <w:spacing w:after="0" w:line="148"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2"/>
          </w:tcPr>
          <w:p>
            <w:pPr>
              <w:jc w:val="center"/>
              <w:ind w:right="1944"/>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40" w:type="dxa"/>
            <w:vAlign w:val="bottom"/>
          </w:tcPr>
          <w:p>
            <w:pPr>
              <w:jc w:val="center"/>
              <w:ind w:left="172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92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2650 North Military Trail, Suite 300,</w:t>
            </w:r>
          </w:p>
        </w:tc>
        <w:tc>
          <w:tcPr>
            <w:tcW w:w="3480" w:type="dxa"/>
            <w:vAlign w:val="bottom"/>
            <w:gridSpan w:val="2"/>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392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Boca Raton, Florida 33431</w:t>
            </w:r>
          </w:p>
        </w:tc>
        <w:tc>
          <w:tcPr>
            <w:tcW w:w="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9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39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 (561) 757-4000</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840" w:type="dxa"/>
            <w:vAlign w:val="bottom"/>
            <w:tcBorders>
              <w:left w:val="single" w:sz="8" w:color="auto"/>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6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gridSpan w:val="2"/>
          </w:tcPr>
          <w:p>
            <w:pPr>
              <w:jc w:val="center"/>
              <w:ind w:right="700"/>
              <w:spacing w:after="0" w:line="136" w:lineRule="exact"/>
              <w:rPr>
                <w:sz w:val="20"/>
                <w:szCs w:val="20"/>
                <w:color w:val="auto"/>
              </w:rPr>
            </w:pPr>
            <w:r>
              <w:rPr>
                <w:rFonts w:ascii="Times New Roman" w:cs="Times New Roman" w:eastAsia="Times New Roman" w:hAnsi="Times New Roman"/>
                <w:sz w:val="13"/>
                <w:szCs w:val="13"/>
                <w:color w:val="auto"/>
                <w:w w:val="96"/>
              </w:rPr>
              <w:t>Trading Symbol (s)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0" w:type="dxa"/>
            <w:vAlign w:val="bottom"/>
            <w:tcBorders>
              <w:bottom w:val="single" w:sz="8" w:color="auto"/>
              <w:right w:val="single" w:sz="8" w:color="auto"/>
            </w:tcBorders>
          </w:tcPr>
          <w:p>
            <w:pPr>
              <w:ind w:left="80"/>
              <w:spacing w:after="0" w:line="136" w:lineRule="exact"/>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20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60" w:type="dxa"/>
            <w:vAlign w:val="bottom"/>
            <w:tcBorders>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RDVT</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50"/>
        </w:trPr>
        <w:tc>
          <w:tcPr>
            <w:tcW w:w="7760" w:type="dxa"/>
            <w:vAlign w:val="bottom"/>
            <w:gridSpan w:val="5"/>
          </w:tcPr>
          <w:p>
            <w:pPr>
              <w:jc w:val="center"/>
              <w:ind w:left="3405"/>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4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2"/>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3000" w:type="dxa"/>
            <w:vAlign w:val="bottom"/>
            <w:vMerge w:val="restart"/>
          </w:tcPr>
          <w:p>
            <w:pPr>
              <w:jc w:val="center"/>
              <w:ind w:right="2184"/>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7"/>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80" w:type="dxa"/>
            <w:vAlign w:val="bottom"/>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3000" w:type="dxa"/>
            <w:vAlign w:val="bottom"/>
          </w:tcPr>
          <w:p>
            <w:pPr>
              <w:jc w:val="center"/>
              <w:ind w:right="2184"/>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9"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6"/>
          <w:szCs w:val="16"/>
          <w:color w:val="auto"/>
        </w:rPr>
        <w:t>On June 30, 2023, the last business day of the registrant’s most recently completed second fiscal quarter, the aggregate market value (based on the closing per share sales price of its common stock on that date) of the voting stock held by non-affiliates of the registrant was $187.6 million.</w:t>
      </w: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March 4, 2024, was 13,964,028.</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relating to its 2024 Annual Meeting of Stockholders to be filed with the SEC within 120 days after the end of the fiscal year ended December 31, 2023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10"/>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RED VIOLET,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 FOR 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8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 w:type="dxa"/>
            <w:vAlign w:val="bottom"/>
            <w:gridSpan w:val="5"/>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Business</w:t>
            </w:r>
          </w:p>
        </w:tc>
        <w:tc>
          <w:tcPr>
            <w:tcW w:w="8060" w:type="dxa"/>
            <w:vAlign w:val="bottom"/>
            <w:gridSpan w:val="2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Cybersecurity</w:t>
            </w:r>
          </w:p>
        </w:tc>
        <w:tc>
          <w:tcPr>
            <w:tcW w:w="666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Properties</w:t>
            </w:r>
          </w:p>
        </w:tc>
        <w:tc>
          <w:tcPr>
            <w:tcW w:w="7700" w:type="dxa"/>
            <w:vAlign w:val="bottom"/>
            <w:gridSpan w:val="18"/>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7360" w:type="dxa"/>
            <w:vAlign w:val="bottom"/>
            <w:gridSpan w:val="1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40" w:type="dxa"/>
            <w:vAlign w:val="bottom"/>
            <w:gridSpan w:val="4"/>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240" w:type="dxa"/>
            <w:vAlign w:val="bottom"/>
            <w:gridSpan w:val="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340" w:type="dxa"/>
            <w:vAlign w:val="bottom"/>
            <w:gridSpan w:val="7"/>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22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3"/>
          </w:tcPr>
          <w:p>
            <w:pPr>
              <w:spacing w:after="0"/>
              <w:rPr>
                <w:sz w:val="18"/>
                <w:szCs w:val="18"/>
                <w:color w:val="auto"/>
              </w:rPr>
            </w:pPr>
          </w:p>
        </w:tc>
        <w:tc>
          <w:tcPr>
            <w:tcW w:w="6940" w:type="dxa"/>
            <w:vAlign w:val="bottom"/>
            <w:gridSpan w:val="1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60" w:type="dxa"/>
            <w:vAlign w:val="bottom"/>
            <w:gridSpan w:val="2"/>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60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2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326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780" w:type="dxa"/>
            <w:vAlign w:val="bottom"/>
            <w:gridSpan w:val="3"/>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54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45"/>
        </w:trPr>
        <w:tc>
          <w:tcPr>
            <w:tcW w:w="1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2023 (the “2023 Form 10-K”), which are incorporated herein by this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2023 and 2022, IDI had 7,875 and 7,021 billable customers and FOREWARN had 185,380 and 116,960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2023 and 2022, 79% and 75% of total revenue was attributable to customers with pricing contracts, respectively, versus 21% and 25% attributable to transactional customers,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2023 and 2022, we had revenue of $60.2 million and $53.3 million, net income of $13.5 million and $0.6 million, adjusted EBITDA of $16.4 million and $12.9 million, and adjusted net income of $8.1 million and $6.9 million, respectively. Adjusted EBITDA is a non-GAAP financial measure equal to net income, the most directly comparable financial measure based on accounting principles generally accepted in the United States (“US GAAP”), excluding interest income, net, income tax (benefit) expense, depreciation and amortization, share-based compensation expense, litigation costs, and write-off of long-lived assets and others. Adjusted net income is a non-GAAP financial measure equal to net income, the most directly comparable financial measure based on US GAAP, excluding share-based compensation expense, amortization of share-based compensation capitalized in intangible assets, and discrete tax items, and including tax effect of adjustments. Refer to the tables included in “Use and Reconciliation of Non-GAAP Financial Measures” of Item 7, “Management’s Discussion and Analysis of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target market for our solutions today consists of public and private sector organizations that are reliant on high confidence, AI/ML-driven identity intelligence in their daily workflow.</w:t>
      </w:r>
    </w:p>
    <w:p>
      <w:pPr>
        <w:spacing w:after="0" w:line="13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data and analytics sector continues to grow at an accelerated pace due to the proliferation of data generated over the past two decades from both traditional and emerging sources, including e-commerce, mobile, and social media. Fortune Business Insights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projected the global big data analytics market to rise to $745.2 billion by 2030, exhibiting a CAGR of 13.5% during the forecast period from 2023 through 2030. Continued, rapid innovation and adoption of new technologies presents enormous challenges for organizations of all types to sort through this sea of data to glean actionable intelligence and to inform real-time decisions. Further, the digital transformation has created even greater fragmentation of data across multiple mediums, creating an inherent need for organizations to leverage scalable and unified data and analytics on a single platform. These challenges serve as key drivers of the sector’s growth. Our industry-agnostic platform, solutions, and analytical capabilities are designed to solve the myriad of complex problems that organizations face on a daily basis.</w:t>
      </w:r>
    </w:p>
    <w:p>
      <w:pPr>
        <w:spacing w:after="0" w:line="1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Risk and fraud analytics has become increasingly important not only in the banking and financial services sectors but across multiple other industries and use cases. According to the market research company MarketsAndMarkets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risk analytics market is projected to grow to $70.5 billion by 2027, representing CAGR of 12.4% from 2022 through 2027, with North America expected to account for the largest market size in the risk analytics market. Risk and fraud analytics and the information derived therefrom is now the primary service product for risk management associated with key purchasers such as financial services companies, insurance companies, healthcare companies, law enforcement and government, identity verification platforms, collections, law firms, retail, telecommunications companies, corporate security, and investigative firms. Primary use cases include, but are not limited to, obtaining information on consumers, businesses,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Challenges Facing Our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solutions address the challenges that the industry faces today, which include:</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Actionable Insights Through a Single, Cloud-Native, AI/ML-Driven Platform</w:t>
      </w:r>
      <w:r>
        <w:rPr>
          <w:rFonts w:ascii="Times New Roman" w:cs="Times New Roman" w:eastAsia="Times New Roman" w:hAnsi="Times New Roman"/>
          <w:sz w:val="18"/>
          <w:szCs w:val="18"/>
          <w:color w:val="auto"/>
        </w:rPr>
        <w:t>—As the velocity and volume of data continues to grow exponentially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various mediums, organizations have become overwhelmed with data and their inability to glean actionable insights from such data to enable informed decisions in real-time. Customers demand full-suite, turn-key entity resolution solutions that are agile, flexible, and available on-demand in order to gain the speed, scale, and insight necessary to drive decisioning. As the breadth and depth of data increases, organizations will need to deploy new technologies that enable both the ingestion of data at massive scale in real-time, irrespective of structure or form, and the analytics applications necessary to function across multiple channels. The accelerating digitization of human interactions, and the corresponding generation of the data resulting therefrom, is driving demand for data capture, management, and analysis software. As a result, customers are looking for flexible and efficient single-point solutions to unify disparate and often siloed sets of not only transactional data but also demographic, ethnographic, and behavioral data as well, in order to provide insights that are truly actionable.</w:t>
      </w:r>
    </w:p>
    <w:p>
      <w:pPr>
        <w:spacing w:after="0" w:line="1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and Performance Pressures</w:t>
      </w:r>
      <w:r>
        <w:rPr>
          <w:rFonts w:ascii="Times New Roman" w:cs="Times New Roman" w:eastAsia="Times New Roman" w:hAnsi="Times New Roman"/>
          <w:sz w:val="18"/>
          <w:szCs w:val="18"/>
          <w:color w:val="auto"/>
        </w:rPr>
        <w:t>—As customers face constant cost pressures, they are increasingly dependent upon extracting greater value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solutions. Whether it is identity verification, managing risk, or regulatory compliance, customers are increasingly more sophisticated, requiring enhanced performance that provides fast, accurate, and cost-effective solutions to satisfy their business objectives. Improving performance can mean delivering the right information at the right time at greater scale, or providing the most intuitive information as rapidly as possible to capitalize on opportunities or reduce risk. Superior analytics combined with unified data assets delivers competitive advantages to our customers as they cope with these pressures.</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Delivering Solutions for Complex Problems Using Scalable Analytics</w:t>
      </w:r>
      <w:r>
        <w:rPr>
          <w:rFonts w:ascii="Times New Roman" w:cs="Times New Roman" w:eastAsia="Times New Roman" w:hAnsi="Times New Roman"/>
          <w:sz w:val="18"/>
          <w:szCs w:val="18"/>
          <w:color w:val="auto"/>
        </w:rPr>
        <w:t>—The larger and more complex a data set, the more difficult it is to derive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sustained levels of performance and insight. The highly-fragmented nature of data across multiple mediums and often siloed within organizations, the historical proliferation of data augmented by the recent acceleration of the digital transformation, and lack of robust technology inhibits the ability to create a unified data asset. There is an inherent need for information solutions that allow organizations to leverage unified data assets for actionable intelligence in support of their operational workflows and in a more efficient manner.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our leading-edge technology platform, massive database,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64" w:lineRule="exact"/>
        <w:rPr>
          <w:sz w:val="20"/>
          <w:szCs w:val="20"/>
          <w:color w:val="auto"/>
        </w:rPr>
      </w:pPr>
    </w:p>
    <w:p>
      <w:pPr>
        <w:ind w:left="300" w:hanging="292"/>
        <w:spacing w:after="0" w:line="26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Transformative and Innovative Cloud-Native, AI/ML-Driven Technology Platform</w:t>
      </w:r>
      <w:r>
        <w:rPr>
          <w:rFonts w:ascii="Times New Roman" w:cs="Times New Roman" w:eastAsia="Times New Roman" w:hAnsi="Times New Roman"/>
          <w:sz w:val="18"/>
          <w:szCs w:val="18"/>
          <w:color w:val="auto"/>
        </w:rPr>
        <w:t>—Through the power of our platform, CORE,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suite of information solutions. Our cloud-native, AI/ML-driven, data and industry agnostic platform enables us to assimilate, structure, and unify billions of disparate records to create the leading core consumer identity graph to provide identity intelligence, and to present these insights in real-time via analytical interfaces. We believe our platform’s speed, power, extensibility, and scalability are key differentiators in the marketplace.</w:t>
      </w:r>
    </w:p>
    <w:p>
      <w:pPr>
        <w:spacing w:after="0" w:line="68" w:lineRule="exact"/>
        <w:rPr>
          <w:rFonts w:ascii="Times New Roman" w:cs="Times New Roman" w:eastAsia="Times New Roman" w:hAnsi="Times New Roman"/>
          <w:sz w:val="18"/>
          <w:szCs w:val="18"/>
          <w:color w:val="auto"/>
        </w:rPr>
      </w:pPr>
    </w:p>
    <w:p>
      <w:pPr>
        <w:ind w:left="300" w:right="20" w:hanging="292"/>
        <w:spacing w:after="0" w:line="254"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Massive Unified Data Asset</w:t>
      </w:r>
      <w:r>
        <w:rPr>
          <w:rFonts w:ascii="Times New Roman" w:cs="Times New Roman" w:eastAsia="Times New Roman" w:hAnsi="Times New Roman"/>
          <w:sz w:val="18"/>
          <w:szCs w:val="18"/>
          <w:color w:val="auto"/>
        </w:rPr>
        <w:t>—Data is the lifeblood of our technology platform, and of modern society. We leverage our CORE platform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massive proprietary datasets and apply analytics in real-time to provide actionable insights from our leading core consumer identity graph. Our data is compiled from a myriad of online and offline sources, both structured and unstructured, including public record, publicly-available, proprietary, and self-reported data. Public record data includes personal information, as well as property, identity, bankruptcy, lien, judgment, automotive, phone, and other information aggregated from companies specializing in data aggregation, public record databases, and publicly-available sources. Proprietary data is internally generated data unified by proprietary algorithms and analytic processes. Through AI/ML-driven technology and proprietary algorithms, we efficiently ingest these datasets, structure them into normalized form, and unify the data to resolve unique identities so as to create an actionable, real-time view of the information for various use cases, delivering greater intelligence to our customers and enhancing their decision-making capabilities across all markets and industries.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Platform and Solutions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Distribution and Marketing</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Inside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Our inside sales team cultivates relationships, and ultimately closes business, with their end-user markets. These professionals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relationship-based sellers with experience in identifying customers’ needs and clearly explaining and defining products that provide solutions to those needs.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While the majority of our direct sales efforts are supported through professional inside sales staff, major accounts within certain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a more personal, face-to-face strategic sales approach. We continue to expand this team to meet the demand of the markets.</w:t>
      </w:r>
    </w:p>
    <w:p>
      <w:pPr>
        <w:spacing w:after="0" w:line="11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Distributors, Resellers, and Strategic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conjunction with direct-to-customer sales efforts, we engage value-added distributors, resellers,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 have implemented several methods to market our products, including participation in trade shows and seminars, advertising,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distribution of sales literature and product specifications and ongoing communication with prospective customers, distributors, resellers, strategic partners and our installed base of current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17" w:lineRule="exact"/>
        <w:rPr>
          <w:sz w:val="20"/>
          <w:szCs w:val="20"/>
          <w:color w:val="auto"/>
        </w:rPr>
      </w:pPr>
    </w:p>
    <w:p>
      <w:pPr>
        <w:ind w:left="300" w:right="14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 Data Into Intelligence</w:t>
      </w:r>
      <w:r>
        <w:rPr>
          <w:rFonts w:ascii="Times New Roman" w:cs="Times New Roman" w:eastAsia="Times New Roman" w:hAnsi="Times New Roman"/>
          <w:sz w:val="18"/>
          <w:szCs w:val="18"/>
          <w:color w:val="auto"/>
        </w:rPr>
        <w:t>—Our core consumer identity graph, integrated with our AI/ML-driven technology platform and solutions, delivers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actionable intelligence to organizations across diverse industries. As the digital transformation accelerates, the data generated therefrom increases rapidly. Derived semantic insight increases exponentially with each new data asset, creating compounded additional value that can be used by supervised and unsupervised machine learning algorithms. As we identify, assimilate, and unify these new data assets, our solutions expand in applicability to larger-sized customers as well as additional industries and uses cases within.</w:t>
      </w:r>
    </w:p>
    <w:p>
      <w:pPr>
        <w:spacing w:after="0" w:line="152" w:lineRule="exact"/>
        <w:rPr>
          <w:rFonts w:ascii="Times New Roman" w:cs="Times New Roman" w:eastAsia="Times New Roman" w:hAnsi="Times New Roman"/>
          <w:sz w:val="18"/>
          <w:szCs w:val="18"/>
          <w:color w:val="auto"/>
        </w:rPr>
      </w:pPr>
    </w:p>
    <w:p>
      <w:pPr>
        <w:ind w:left="300" w:right="4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Widen Our Technology Lead</w:t>
      </w:r>
      <w:r>
        <w:rPr>
          <w:rFonts w:ascii="Times New Roman" w:cs="Times New Roman" w:eastAsia="Times New Roman" w:hAnsi="Times New Roman"/>
          <w:sz w:val="18"/>
          <w:szCs w:val="18"/>
          <w:color w:val="auto"/>
        </w:rPr>
        <w:t>—Unlike legacy technologies, our platform was built in the cloud from the ground up. Due to its cloud-native construct,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 demonstrates increased speed and scalability as compared to legacy constructs. As competitors invest millions of dollars transitioning platforms from dated infrastructures to primarily hybrid-cloud environments, we are advancing and expanding our cloud-native technology and functionality to meet customer need, as customers increasingly rely on the speed, reliability, security, scalability, and efficiencies that only the cloud delivers. We will continue to invest in our technology and people to widen our lead over competitive technologies.</w:t>
      </w:r>
    </w:p>
    <w:p>
      <w:pPr>
        <w:spacing w:after="0" w:line="138" w:lineRule="exact"/>
        <w:rPr>
          <w:rFonts w:ascii="Times New Roman" w:cs="Times New Roman" w:eastAsia="Times New Roman" w:hAnsi="Times New Roman"/>
          <w:sz w:val="18"/>
          <w:szCs w:val="18"/>
          <w:color w:val="auto"/>
        </w:rPr>
      </w:pPr>
    </w:p>
    <w:p>
      <w:pPr>
        <w:ind w:left="300" w:hanging="292"/>
        <w:spacing w:after="0" w:line="257"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Enhance Functionality and Develop New Products</w:t>
      </w:r>
      <w:r>
        <w:rPr>
          <w:rFonts w:ascii="Times New Roman" w:cs="Times New Roman" w:eastAsia="Times New Roman" w:hAnsi="Times New Roman"/>
          <w:sz w:val="18"/>
          <w:szCs w:val="18"/>
          <w:color w:val="auto"/>
        </w:rPr>
        <w:t>—We operate with a relentless focus on innovation and the customer experience. Customers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solutions to solve complex problems, to make better data-driven decisions, and to produce greater efficiencies in their workflow. We are devoted to enhancing the functionality of our current solutions and to developing new products, to enable more intelligent interaction with information and to become further engrained in the daily workflows of our customers. As we introduce greater functionality and additional products, it will serve to expand the applications of our solutions, and increase the opportunities whereby our customers can solve for existing and evolving problems generated by disparate and siloed data assets.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0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differentiated solutions, analytical capabilities, integration with our customers’ technology, customer relationships, service stability, and price. We believe we are well-positioned to effectively compete on all fronts.</w:t>
      </w:r>
    </w:p>
    <w:p>
      <w:pPr>
        <w:spacing w:after="0" w:line="13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robust and unified database, and the intelligent design of our cloud-native infrastructure will allow us to differentiate ourselves from our competition in flexibility, capability, service, and price.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Certain companies in the data and analytics sector have expanded their product lines or technologies in recent years as a result of increased investment and acquisitions. We anticipate increased competition from data and analytics suppliers.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Customers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no individual customer accounted for more than 10% of total revenue.</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One individual customer accounted for 11% of our accounts receivable, net, as of December 31, 2023, and one individual customer accounted for 11% of our accounts receivable, net,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Suppliers</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the major credit bureaus, including our largest data supplier. Our other data suppliers include strategic partners, as well as various government and public record databases. Our largest data supplier, with whom we have expanded our relationship while securing what we believe to be favorable business terms over the years, accounted for 48% and 49% of our total data acquisition costs for the years ended December 31, 2023 and 2022, respectively. The amended and renewed term of the agreement with this supplier ends June 30, 2026. We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us and we may terminate this agreement by providing not less than 24 months’ advance written notice to this supplier. As of December 31, 2023, the remaining minimum purchase commitments through the end of the amended and renewed term is $13.4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use data acquired through licensing rights from approximately 30 providers. The loss of any one of these providers could have an immediate near-term impact on our financial position, results of operations, and liquidity. Also see “Concentration of Suppliers”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rules, and regulations, including, without limitation, the Gramm-Leach-Bliley Act (15 U.S.C. §§ 6801- 6809) (the “GLBA”), the Driver’s Privacy Protection Act (18 U.S.C. §§ 2721- 2725) (the “DPPA”) and the Federal Trade Commission Act (the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are subject to seasonal fluctuation. Historically, certain products experience seasonal pressure during the fourth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employ a total of 183 employees, all full-time, as of December 31, 2023.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26, 2018, Cogint, Inc. (“cogint”) (now known as Fluent, Inc.) spun off its risk management business by way of a distribution of all of the shares of common stock of its then wholly-owned subsidiary, red violet, to its stockholders as of the record date and certain warrant holders (the “Spin-off”).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2650 North Military Trail, Suite 300, Boca Raton, Florida 33431 and our telephone number is (561) 757-4000. Our corporate website is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The website address provided in this 2023 Form 10-K is not intended to function as a hyperlink and information obtained on the website is not and should not be considered part of this 2023 Form 10-K and is not incorporated by reference in this 2023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SEC maintains an internet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that contains the information we file or furnish electronically with the SEC.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executive officers are as follows:</w:t>
            </w:r>
          </w:p>
        </w:tc>
        <w:tc>
          <w:tcPr>
            <w:tcW w:w="12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Derek Dubner</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James Reilly</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President</w:t>
            </w: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Daniel MacLachlan</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Jeff Dell</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Information Officer</w:t>
            </w:r>
          </w:p>
        </w:tc>
      </w:tr>
    </w:tbl>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Mr. Derek Dubner</w:t>
      </w:r>
      <w:r>
        <w:rPr>
          <w:rFonts w:ascii="Times New Roman" w:cs="Times New Roman" w:eastAsia="Times New Roman" w:hAnsi="Times New Roman"/>
          <w:sz w:val="18"/>
          <w:szCs w:val="18"/>
          <w:color w:val="auto"/>
        </w:rPr>
        <w:t>, 52, has served as the Chief Executive Officer and a director of the Company since its formation in August 2017 and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Spin-off from cogint on March 26, 2018. Mr. Dubner was appointed as Interim Chairman of our board of directors in September 2018 and as Chairman of our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4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Mr. James Reilly</w:t>
      </w:r>
      <w:r>
        <w:rPr>
          <w:rFonts w:ascii="Times New Roman" w:cs="Times New Roman" w:eastAsia="Times New Roman" w:hAnsi="Times New Roman"/>
          <w:sz w:val="18"/>
          <w:szCs w:val="18"/>
          <w:color w:val="auto"/>
        </w:rPr>
        <w:t>, 49, has served as President of the Company since its formation in August 2017 and continuing through its Spin-off from cogint.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Mr. Daniel MacLachlan</w:t>
      </w:r>
      <w:r>
        <w:rPr>
          <w:rFonts w:ascii="Times New Roman" w:cs="Times New Roman" w:eastAsia="Times New Roman" w:hAnsi="Times New Roman"/>
          <w:sz w:val="18"/>
          <w:szCs w:val="18"/>
          <w:color w:val="auto"/>
        </w:rPr>
        <w:t>, 45, has served as the Chief Financial Officer of the Company since its formation in August 2017 and continuing through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Spin-off from cogint. Mr. MacLachlan served as Chief Financial Officer of cogint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b w:val="1"/>
          <w:bCs w:val="1"/>
          <w:color w:val="auto"/>
        </w:rPr>
        <w:t>Mr. Jeff Dell</w:t>
      </w:r>
      <w:r>
        <w:rPr>
          <w:rFonts w:ascii="Times New Roman" w:cs="Times New Roman" w:eastAsia="Times New Roman" w:hAnsi="Times New Roman"/>
          <w:sz w:val="18"/>
          <w:szCs w:val="18"/>
          <w:color w:val="auto"/>
        </w:rPr>
        <w:t>, 52, has served as the Chief Information Officer of the Company since its formation in August 2017 and continuing through its Spin-off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operating results, and cash flows may be impacted by a number of factors, many of which are beyond our control, including those set forth below and elsewhere in this 2023 Form 10-K, the occurrence of any one of which could have a material adverse effect on our actual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Technology Risks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distributors, or strategic partners.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10" w:name="page11"/>
    <w:bookmarkEnd w:id="10"/>
    <w:p>
      <w:pPr>
        <w:ind w:right="80"/>
        <w:spacing w:after="0" w:line="253" w:lineRule="auto"/>
        <w:rPr>
          <w:sz w:val="20"/>
          <w:szCs w:val="20"/>
          <w:color w:val="auto"/>
        </w:rPr>
      </w:pPr>
      <w:r>
        <w:rPr>
          <w:rFonts w:ascii="Times New Roman" w:cs="Times New Roman" w:eastAsia="Times New Roman" w:hAnsi="Times New Roman"/>
          <w:sz w:val="18"/>
          <w:szCs w:val="18"/>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Hackers may especially target concerns that are known to maintain large repositories of proprietary information or personal information, which can then be exploited for the hacker's personal gain. If we grow and obtain more visibility, we may be more vulnerable to hacking or other attempts to gain unauthorized access to our system. Moreover, the increased use of mobile devices also increases the risk of theft or the intentional and unintentional disclosure of data including proprietary information or personal information. We may be unable to anticipate all of these vulnerabilities and implement adequate preventative measures and, in some cases, we may not be able to immediately detect a security incident. Any security incident could result in legal, regulatory, and financial liability, as well as harm to our reputation.</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or outside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Privacy concerns relating to the collection, use, accuracy, correction and sharing of personal information and any perceived or actual unauthorized disclosure of personal information, whether through breach of our network by an unauthorized party, employee theft, misuse, or error could harm our reputation, impair our ability to attract website visitors and to attract and retain customers,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and comply with the multitude of state and federal laws regarding data privacy and data breach notification obligations.</w:t>
      </w:r>
    </w:p>
    <w:p>
      <w:pPr>
        <w:spacing w:after="0" w:line="14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4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a nationwide provider of risk and information solutions, we aggregate, store, and process a large amount of sensitive and confidential consumer information including financial information and personal information. This data is often accessed through secure transmissions over public and private networks, including the internet. We have invested significant resources to implement technical and physical security policies, procedures and systems, as well as contractual precautions, that we believe are reasonably designed to identify, detect, and prevent the unauthorized access to and alteration and disclosure of our data. Despite these investments and precautions,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Due to both the nature and volume of the information we aggregate, store, and process, it is not unusual for efforts to occur (coordinated or otherwise) by unauthorized persons to attempt to obtain access to our systems or data, or to inhibit our ability to deliver products or services to a customer. These efforts are likely becoming more sophisticated over time and may attempt to exploit obscure vulnerabilities. We must regularly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precautions may be inadequate to thwart a cybersecurity incident. Furthermore, 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6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complexity of our operations and the high volume of transactions that we process;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number of customers, counterparties and third-party service providers with which we do business;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sectPr>
      </w:pPr>
    </w:p>
    <w:bookmarkStart w:id="11" w:name="page12"/>
    <w:bookmarkEnd w:id="11"/>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and increasing sophistication of cyberattacks; and</w:t>
      </w:r>
    </w:p>
    <w:p>
      <w:pPr>
        <w:spacing w:after="0" w:line="117"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third party, after establishing a foothold on an internal network without being detected, might obtain access to other networks and systems.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and other requirements in the event that a consumer's personal information is accessed by unauthorized persons. It is likely that additional laws pertaining to the use, access, accuracy, and security of personal information will be adopted in the future. In the United States, federal and state laws provide for more than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systems, our certifications, our technology, and our interfaces with data and customers, demand for our services could be adversely affected.</w:t>
      </w:r>
    </w:p>
    <w:p>
      <w:pPr>
        <w:spacing w:after="0" w:line="1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customer needs and regulatory requirements, including being able to bring our new products to the market quickly;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customers and data sources successfully to new interfaces or other technologies.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4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Furthermore, we may be required to obtain various industry or technical certifications under our contracts or otherwise to keep pace with our competitors. If we fail to achieve and maintain these key industry or technical certifications, our customers may stop doing business with us and we may not be able to win new business, which would negatively affect our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9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4"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Our business is subject to regulation under the GLBA, the DPPA, the FTC Act, and various other federal, state, and local laws and regulations. These laws and regulations, which generally are designed to protect consumers and to prevent the misuse of personal information are complex, change frequently, and have tended to become more stringent over time. We have already incurred significant expenses in our endeavors to comply with these 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ind w:right="20"/>
        <w:spacing w:after="0" w:line="252" w:lineRule="auto"/>
        <w:rPr>
          <w:sz w:val="20"/>
          <w:szCs w:val="20"/>
          <w:color w:val="auto"/>
        </w:rPr>
      </w:pPr>
      <w:r>
        <w:rPr>
          <w:rFonts w:ascii="Times New Roman" w:cs="Times New Roman" w:eastAsia="Times New Roman" w:hAnsi="Times New Roman"/>
          <w:sz w:val="18"/>
          <w:szCs w:val="18"/>
          <w:color w:val="auto"/>
        </w:rPr>
        <w:t>Currently, public concern is high with regard to the collection, use, accuracy, correction, and sharing of personal information, including Social Security numbers, dates of birth, financial information, department of motor vehicle data, and other data which is personally identifiable or may be considered sensitive. In addition, many advocacy groups as well as some legislatures and government regulators believe that existing laws and regulations do not adequately protect privacy, and are otherwise concerned with businesses’ collection, storage, and use of personal information. Relatedly, several U.S. states have introduced and passed legislation to provide consumers with greater transparency and control over their personal information. Laws may allow consumers to request that businesses disclose to them what personal information is collected about them, delete or correct such personal information, and opt-them out of the sale or sharing of their personal information. For example, the following state privacy laws have taken effect: (i) the California Privacy Rights Act (the “CPRA”), effective January 2023, with some provisions applying retroactively, amending the California Consumer Privacy Act (the “CCPA”); (ii) the Virginia Consumer Data Protection Act (the “VCDPA”), effective January 2023; (iii) the Colorado Privacy Act (the “CPA”), effective July 2023; (iv) the Connecticut Data Privacy Act (the “CTDPA”), effective July 2023; and (v) the Utah Consumer Privacy Act (the “UCPA”), effective December 2023. While these laws include specific exemptions, including exemptions for practices and activities conducted pursuant to the GLBA and DPPA, they apply to other portions of our business that are not conducted pursuant to these laws. Other states are actively considering privacy and security bills, and may pass laws, either similar or dissimilar to California’s, Virginia’s, Colorado’s, Connecticut’s, or Utah’s privacy laws in the future. Furthermore, the U.S. Congress is considering legislation and the FTC is considering rulemaking, each with respect to data privacy and security. At this time, it is unclear whether Congress will pass a law or whether the FTC will proceed with regulatory action. At this time, it is also unclear whether any federal requirements will supplement or preempt state-level data privacy and security laws. In the absence of additional federal legislation or rulemaking, the FTC has increasingly used its existing authority, such as under Section 5 of the FTC Act, to bring legal action against organizations who are alleged to have violated consumers’ privacy rights or failed to maintain adequate security measures.</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customers could affect the activities or strategies of such customers and, therefore, lead to reductions in their level of business with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legal and regulatory developments also could have a material adverse effect on our business, financial condition, or results of operations:</w:t>
      </w:r>
    </w:p>
    <w:p>
      <w:pPr>
        <w:spacing w:after="0" w:line="117" w:lineRule="exact"/>
        <w:rPr>
          <w:sz w:val="20"/>
          <w:szCs w:val="20"/>
          <w:color w:val="auto"/>
        </w:rPr>
      </w:pPr>
    </w:p>
    <w:p>
      <w:pPr>
        <w:ind w:left="560" w:right="8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53" w:lineRule="exact"/>
        <w:rPr>
          <w:rFonts w:ascii="Times New Roman" w:cs="Times New Roman" w:eastAsia="Times New Roman" w:hAnsi="Times New Roman"/>
          <w:sz w:val="18"/>
          <w:szCs w:val="18"/>
          <w:color w:val="auto"/>
        </w:rPr>
      </w:pPr>
    </w:p>
    <w:p>
      <w:pPr>
        <w:ind w:left="560" w:right="4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perception or the position of government actors in favor of further restrictions on information collection and sharing, which may lead to regulations that prevent full utilization of our solutions;</w:t>
      </w:r>
    </w:p>
    <w:p>
      <w:pPr>
        <w:spacing w:after="0" w:line="53" w:lineRule="exact"/>
        <w:rPr>
          <w:rFonts w:ascii="Times New Roman" w:cs="Times New Roman" w:eastAsia="Times New Roman" w:hAnsi="Times New Roman"/>
          <w:sz w:val="18"/>
          <w:szCs w:val="18"/>
          <w:color w:val="auto"/>
        </w:rPr>
      </w:pPr>
    </w:p>
    <w:p>
      <w:pPr>
        <w:ind w:left="560" w:right="28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resellers, distributors, strategic business partners, or vendors to comply with laws or regulations, where these third parties' failures could reflect negatively on us or require us to cease or limit our business with them;</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comply with current laws and regulations;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adapt to changes in the regulatory environment in an efficient, cost-effective manner.</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7" w:right="439" w:bottom="1440" w:gutter="0" w:footer="0" w:header="0"/>
        </w:sectPr>
      </w:pPr>
    </w:p>
    <w:bookmarkStart w:id="13" w:name="page14"/>
    <w:bookmarkEnd w:id="13"/>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Legal proceedings arise as part of the normal course of our business. These may include actions between us and a current or former employee, actions between us and a current former customer,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5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While we maintain various insurance policies that we believe provide us with suitable coverage and protection in the event of litigation or other legal proceedings, those policies may contain exclusions or limitations, resulting in some cases in us retaining all or a portion of the risk of loss.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5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of 1933, as amended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the value of an investment in our common stock may decline.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54"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war, and/or events of terrorism.</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5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Since the Spin-off and through December 31, 2023, we issued an aggregate of 3,435,793 shares of our common stock in connection with vesting of awards made under the Red Violet, Inc. 2018 Stock Incentive Plan, as amended (the “2018 Plan”), 719,735 shares of which were retired and cancelled. Also, as of December 31, 2023, 49,034 shares underlying awards made under the 2018 Plan have vested but have not been delivered, and an additional 1,017,718 shares underlying awards made under the 2018 Plan are scheduled to vest and be delivered through 2027. Pursuant to the 2018 Plan, our board of directors may grant stock options, restricted stock units (“RSUs”), or other equity awards to our directors and employees. Future stock incentive plans may also allow our board of directors to issue these equity awards to our directors and employees. When these awards vest or are exercised, the issuance of shares of common stock underlying these awards will have a dilutive effect on our common stock. Future acquisitions may involve the issuance of our common stock as payment, in part or in full, for the business or assets acquired. The benefits derived by us from an acquisition might not exceed the dilutive effect of the shares issued as part of the acquisition.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may limit individual stockholder ability to influence corporate matters.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2023, officers and directors of the Company owned approximately 10% of our common stock (approximately 12% on a fully diluted basis). In addition, two other significant stockholders of the Company owned approximately 14% and 11% of our common stock (approximately 13% and 10% on a fully diluted basis), respectively.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5" w:name="page16"/>
    <w:bookmarkEnd w:id="1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however, we are still a “smaller reporting company,” and the reduced disclosure requirements applicable to smaller reporting companies may make our common stock less attractive to investors.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ceased to be an “emerging growth company,” on December 31, 2023, as defined in the Jumpstart Our Business Startups Act of 2012, or JOBS Act, we remain a “smaller reporting company.”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a smaller reporting company, we may continue to rely on exemptions from certain disclosure requirements that are available to smaller reporting companies. Specifically, we may choose to present only the two most recent fiscal years of audited financial statements in our Annual Report on Form 10-K and, similar to emerging growth companies, smaller reporting companies have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2023, we issued an aggregate of 1,233,915 shares of our common stock in connection with registered direct offerings.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currently expect to pay cash dividends on our common stock and have not paid cash dividends on our common stock to date. Any future dividend payments are within the discretion of our board of directors and will depend upon, among other things, our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our board of directors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Operations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makes our future results uncertain.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Since inception, we incurred operating losses through December 31, 2021. We need to generate greater revenue from the sale of our products and services if we are to sustain profitability. If we are unable to generate greater revenue, we may not be able to continue to achieve profitability and generate positive cash flow from operations in the future.</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any future reporting obligations in connection with environmental issues, may adversely impact our business and operations.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Extreme weather events and natural disasters may disrupt our operations or those of our customers and suppliers. These events may become more frequent and more severe as a result of climate change, and the long-term impacts to the economy and our industry are unknown. While we maintain business continuity and disaster recovery plans, we cannot be certain that those plans will be effective. Even if we are unaffected by an extreme weather event or natural disaster, or recover from one quickly, our customers or suppliers may be more severely impacted, thereby affecting their ability to continue to do business with us.</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SEC is considering enhancing and standardizing climate-related disclosure rules for publicly traded companies. This, in turn, may result in increased compliance costs and increased legal exposure. Any climate-related disclosures would likely be based on certain assumptions, estimates and third-party data, and our reports may not meet the expectations of regulators, investors, or other third parties. If our environmental practices, reporting, and performance do not meet expectations, or are perceived as not meeting expectations, we may be subject to government investigations, lawsuits, or other legal actions. Our reputation and customer retention may also be negatively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6" w:name="page17"/>
    <w:bookmarkEnd w:id="1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strategic alliances and joint ventures to grow our business. If we are unable to develop and maintain these strategic alliances and joint ventures, our growth may be adversely affected.</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important focus of our business is to identify business relationships that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consummate any future acquisitions, we will be subject to the risks inherent in identifying, acquiring, and operating a newly acquired business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existing businesses, including the diversion of management attention and the redeployment of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or industries in which we have limited prior experience;</w:t>
      </w:r>
    </w:p>
    <w:p>
      <w:pPr>
        <w:spacing w:after="0" w:line="11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hidden, or fraudulent liabilities;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aligning and coordinating organizations which will likely be geographically separated and may involve diverse business operations and corporate cultures;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and retaining key management, sales, research and development, production, and other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distribution partners of the acquired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incorporating the acquired business into our organization;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customers, resellers, distributors, strategic business partners, or suppliers;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or expanding information technology systems and other business processes to accommodate the acquired business;</w:t>
      </w:r>
    </w:p>
    <w:p>
      <w:pPr>
        <w:spacing w:after="0" w:line="117" w:lineRule="exact"/>
        <w:rPr>
          <w:rFonts w:ascii="Times New Roman" w:cs="Times New Roman" w:eastAsia="Times New Roman" w:hAnsi="Times New Roman"/>
          <w:sz w:val="18"/>
          <w:szCs w:val="18"/>
          <w:color w:val="auto"/>
        </w:rPr>
      </w:pPr>
    </w:p>
    <w:p>
      <w:pPr>
        <w:ind w:left="380" w:right="56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impairments of goodwill and other intangible assets if the acquired business does not perform as expected;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necessary government approvals for the acquisition, if any;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successfully operating the acquired business.</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17" w:name="page18"/>
    <w:bookmarkEnd w:id="17"/>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key customers may be materially diminished or terminated, which could adversely affect our business, financial condition, and results of operations.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key personnel, it could adversely affect our business.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the FTC and certain other government entities have indicated a desire to limit the allowability of agreements that are designed to prevent employees from competing with their former employers. If the enforceability of these types of “non-compete” agreements is affected by future lawmaking or regulatory action, it may impede our ability to ensure that former employees, who received training and experience through their employment with us, refrain from using their knowledge of our business and operations to compete with us.</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in the U.S. market across a broad range of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Recent inflation, and higher interest rates imposed to combat inflation, may reduce the demand for various commercial transactions. This, in turn, may lead to a decline in the volume of services we provide to our customers in the banking or financial industry, or other industries that are affected by these types of disruptions. If businesses in these industries experience economic hardship, we cannot assure you that we will be able to generate future revenue growth and these types of disruptions could negatively impact our revenue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our access to data sources which could prevent us from providing our services.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strategic partners and various government and public record databases. In some cases, we compete with our data suppliers. Our data suppliers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adequately protect our intellectual property in order to prevent loss of valuable proprietary information.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6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third parties may independently develop intellectual property similar to ours, but without use of our trade secrets or proprietary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cases, the value of our intellectual property may be diminished but we will lack any enforceable right or remedy.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both start-up and established companies that may have significant advantages over us and our products.</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data and analytics sector include RELX Group (LexisNexis), TransUnion, and Thomson Reuters. Current and potential competitors may have one or more of the following significant advantages:</w:t>
      </w:r>
    </w:p>
    <w:p>
      <w:pPr>
        <w:spacing w:after="0" w:line="5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name recognition;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solutions;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or more extensive cooperative relationships;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further consolidation in our end-customer markets, which may adversely affect our revenue.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1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newer products do not achieve market acceptance, revenue growth may suffer.</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products have been in the marketplace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4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data and analytics sector may limit market acceptance of our products and services.</w:t>
      </w:r>
    </w:p>
    <w:p>
      <w:pPr>
        <w:spacing w:after="0" w:line="20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and/or data. Further, business combinations are creating companies with larger market shares, customer bases, sales forces, product offerings and technology and marketing expertise, which may make it more difficult for us to compete.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defending the Company against claims of infringement.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a comprehensive information security program designed to protect the confidentiality, integrity, and availability of our critical systems and information, as well as to identify, assess, manage, mitigate, and respond to cybersecurity threats. Our systems and processes are assessed by independent third parties for compliance with: the International Standard Organization (“ISO”) 27001; System and Organization Controls (“SOC”) 2, Type 2; and Payment Card Industry Data Security Standards (“PCI DSS”) Level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information security program includes the following key elements to help identify, manage, mitigate, and respond to cybersecurity threats:</w:t>
      </w:r>
    </w:p>
    <w:p>
      <w:pPr>
        <w:spacing w:after="0" w:line="113" w:lineRule="exact"/>
        <w:rPr>
          <w:sz w:val="20"/>
          <w:szCs w:val="20"/>
          <w:color w:val="auto"/>
        </w:rPr>
      </w:pPr>
    </w:p>
    <w:p>
      <w:pPr>
        <w:ind w:left="30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assessments</w:t>
      </w:r>
      <w:r>
        <w:rPr>
          <w:rFonts w:ascii="Times New Roman" w:cs="Times New Roman" w:eastAsia="Times New Roman" w:hAnsi="Times New Roman"/>
          <w:sz w:val="18"/>
          <w:szCs w:val="18"/>
          <w:color w:val="auto"/>
        </w:rPr>
        <w:t>—We conduct risk assessments designed to help identify material cybersecurity risks, quantify the impact and probability of each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mitigating controls, and periodically reassess previously identified risks.</w:t>
      </w:r>
    </w:p>
    <w:p>
      <w:pPr>
        <w:spacing w:after="0" w:line="4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Testing</w:t>
      </w:r>
      <w:r>
        <w:rPr>
          <w:rFonts w:ascii="Times New Roman" w:cs="Times New Roman" w:eastAsia="Times New Roman" w:hAnsi="Times New Roman"/>
          <w:sz w:val="18"/>
          <w:szCs w:val="18"/>
          <w:color w:val="auto"/>
        </w:rPr>
        <w:t>—We conduct regular testing of our systems and controls to help identify and address potential vulnerabilities.</w:t>
      </w:r>
    </w:p>
    <w:p>
      <w:pPr>
        <w:spacing w:after="0" w:line="117" w:lineRule="exact"/>
        <w:rPr>
          <w:rFonts w:ascii="Times New Roman" w:cs="Times New Roman" w:eastAsia="Times New Roman" w:hAnsi="Times New Roman"/>
          <w:sz w:val="18"/>
          <w:szCs w:val="18"/>
          <w:color w:val="auto"/>
        </w:rPr>
      </w:pPr>
    </w:p>
    <w:p>
      <w:pPr>
        <w:ind w:left="300" w:right="2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safeguards</w:t>
      </w:r>
      <w:r>
        <w:rPr>
          <w:rFonts w:ascii="Times New Roman" w:cs="Times New Roman" w:eastAsia="Times New Roman" w:hAnsi="Times New Roman"/>
          <w:sz w:val="18"/>
          <w:szCs w:val="18"/>
          <w:color w:val="auto"/>
        </w:rPr>
        <w:t>—We utilize various technical safeguards to help protect our information systems from cybersecurity threats. We regularly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technical safeguards and update them in accordance with recognized best practices and standards.</w:t>
      </w:r>
    </w:p>
    <w:p>
      <w:pPr>
        <w:spacing w:after="0" w:line="4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continuity and disaster recovery planning</w:t>
      </w:r>
      <w:r>
        <w:rPr>
          <w:rFonts w:ascii="Times New Roman" w:cs="Times New Roman" w:eastAsia="Times New Roman" w:hAnsi="Times New Roman"/>
          <w:sz w:val="18"/>
          <w:szCs w:val="18"/>
          <w:color w:val="auto"/>
        </w:rPr>
        <w:t>—We maintain business continuity and disaster recovery plans and periodically test those plans.</w:t>
      </w:r>
    </w:p>
    <w:p>
      <w:pPr>
        <w:spacing w:after="0" w:line="117" w:lineRule="exact"/>
        <w:rPr>
          <w:rFonts w:ascii="Times New Roman" w:cs="Times New Roman" w:eastAsia="Times New Roman" w:hAnsi="Times New Roman"/>
          <w:sz w:val="18"/>
          <w:szCs w:val="18"/>
          <w:color w:val="auto"/>
        </w:rPr>
      </w:pPr>
    </w:p>
    <w:p>
      <w:pPr>
        <w:ind w:left="300" w:right="36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cybersecurity incident response plan</w:t>
      </w:r>
      <w:r>
        <w:rPr>
          <w:rFonts w:ascii="Times New Roman" w:cs="Times New Roman" w:eastAsia="Times New Roman" w:hAnsi="Times New Roman"/>
          <w:sz w:val="18"/>
          <w:szCs w:val="18"/>
          <w:color w:val="auto"/>
        </w:rPr>
        <w:t>—We maintain a policy governing actions required for reporting and managing cybersecurity incidents.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designated an Incident Response Team with clearly defined roles and responsibilities for managing all material aspects of our reporting and response plan.</w:t>
      </w:r>
    </w:p>
    <w:p>
      <w:pPr>
        <w:spacing w:after="0" w:line="62" w:lineRule="exact"/>
        <w:rPr>
          <w:rFonts w:ascii="Times New Roman" w:cs="Times New Roman" w:eastAsia="Times New Roman" w:hAnsi="Times New Roman"/>
          <w:sz w:val="18"/>
          <w:szCs w:val="18"/>
          <w:color w:val="auto"/>
        </w:rPr>
      </w:pPr>
    </w:p>
    <w:p>
      <w:pPr>
        <w:ind w:left="300" w:right="26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training and awareness programs</w:t>
      </w:r>
      <w:r>
        <w:rPr>
          <w:rFonts w:ascii="Times New Roman" w:cs="Times New Roman" w:eastAsia="Times New Roman" w:hAnsi="Times New Roman"/>
          <w:sz w:val="18"/>
          <w:szCs w:val="18"/>
          <w:color w:val="auto"/>
        </w:rPr>
        <w:t>—We provide training to our employees to help identify, avoid, and mitigate cybersecurity threats.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participate in annual training, including insider threat awareness, simulated phishing exercises, and other awareness training.</w:t>
      </w:r>
    </w:p>
    <w:p>
      <w:pPr>
        <w:spacing w:after="0" w:line="46" w:lineRule="exact"/>
        <w:rPr>
          <w:rFonts w:ascii="Times New Roman" w:cs="Times New Roman" w:eastAsia="Times New Roman" w:hAnsi="Times New Roman"/>
          <w:sz w:val="18"/>
          <w:szCs w:val="18"/>
          <w:color w:val="auto"/>
        </w:rPr>
      </w:pPr>
    </w:p>
    <w:p>
      <w:pPr>
        <w:ind w:left="300" w:right="28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—We maintain a third-party risk management program that is designed to help identify, assess, manage, mitigate,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respond to risks associated with the Company’s suppliers and other third parties.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1" w:name="page22"/>
    <w:bookmarkEnd w:id="21"/>
    <w:p>
      <w:pPr>
        <w:ind w:right="760"/>
        <w:spacing w:after="0" w:line="282" w:lineRule="auto"/>
        <w:rPr>
          <w:sz w:val="20"/>
          <w:szCs w:val="20"/>
          <w:color w:val="auto"/>
        </w:rPr>
      </w:pPr>
      <w:r>
        <w:rPr>
          <w:rFonts w:ascii="Times New Roman" w:cs="Times New Roman" w:eastAsia="Times New Roman" w:hAnsi="Times New Roman"/>
          <w:sz w:val="18"/>
          <w:szCs w:val="18"/>
          <w:color w:val="auto"/>
        </w:rPr>
        <w:t>We regularly review our information security program and associated policies, making periodic updates as we deem necessary and appropriate in accordance with recognized best practices and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information security program and cyber risk management program is managed by our Chief Information Officer (“CIO”) and a team of information security personnel reporting to the CIO. Our CIO brings over 30 years of experience in information technology and information security, working as an executive within data-driven companies for the last 20 years.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holds monthly Information Security Management System (ISMS) meetings which include members of the executive management team as well as the CIO and other key individuals reporting to the CIO. Cybersecurity risks, threats, and vulnerabilities, as well as existing mitigating controls, are discussed in ISMS meetings. Our CIO also provides quarterly reports of our information security program, as well as any material cybersecurity risks, to the board of directors.</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did not experience a material cybersecurity incident during the year ended December 31, 2023. However, the possibility of future cybersecurity incidents, as well as cybersecurity and technology risks more generally, could have a material adverse effect on the Company’s business, financial condition, results of operations, cash flows or reputation. See “Item 1A. Risk Factors – Cybersecurity and Technology Risks”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headquarters are located at 2650 North Military Trail, Suite 300, Boca Raton, Florida 33431, where we lease 21,020 rentable square feet of office space in accordance with an 89-month lease agreement as amended and effective in January 2017. On September 20, 2023, we entered into an amendment to our corporate headquarters lease agreement to exercise an extension option for an additional 60 months through June 30, 2029. Our Seattle office is located at 1111 Third Avenue, Seattle, Washington 98101, where we lease 6,003 rentable square feet of office space in accordance with a 90-month lease agreement entered into in April 2017.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“RDVT,” and began regular-way trading on March 27, 2018. We have not paid any dividends or made any other distributions in respect of our common stock since March 27, 2018, and we do not currently expect to pay any dividends or make any other distributions in the future.</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4, 2024, there were 13,964,028 shares of our common stock issued and outstanding. As of March 4, 2024, there were 25 record holders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three months ended December 31, 2023 pursuant to the Stock Repurchase Program (as defined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92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4"/>
              <w:spacing w:after="0" w:line="18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73,252</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73,252</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5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42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5,376,613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125,703</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125,703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-187960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2024 to February 29, 2024, the Company purchased an additional 43,600 shares at an average price of $18.28 per share pursuant to the Stock Repurchase Program.</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commission fees incurred in relation to the repurchase of common stock.</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repurchase of up to $5.0 million of the Company's common stock from time to time, and subsequently on December 19, 2023, the board of directors authorized the repurchase of an additional $5.0 million of the Company's common stock (the "Stock Repurchase Program"). The Stock Repurchase Program does not obligate the Company to repurchase any shares and it may be modified, suspended, or terminated at any time and for any reason at the discretion of the board of directors.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related notes included in this 2023 Form 10-K. This 2023 Form 10-K contains certain forward-looking statements within the meaning of the Private Securities Litigation Reform Act of 1995 (the “PSLRA”), Section 27A of the Securities Act, and Section 21E of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2023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the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2023 and 2022, IDI had 7,875 and 7,021 billable customers and FOREWARN had 185,380 and 116,960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2023 and 2022, 79% and 75% of total revenue was attributable to customers with pricing contracts, respectively, versus 21% and 25% attributable to transactional customers,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are affected by the following factors that impact the data and analytics sector in the United States:</w:t>
      </w:r>
    </w:p>
    <w:p>
      <w:pPr>
        <w:spacing w:after="0" w:line="198" w:lineRule="exact"/>
        <w:rPr>
          <w:sz w:val="20"/>
          <w:szCs w:val="20"/>
          <w:color w:val="auto"/>
        </w:rPr>
      </w:pPr>
    </w:p>
    <w:p>
      <w:pPr>
        <w:ind w:left="380" w:right="80" w:hanging="320"/>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customers serve could reduce the technology and marketing expenditures of our customers and prospective customers.</w:t>
      </w:r>
    </w:p>
    <w:p>
      <w:pPr>
        <w:spacing w:after="0" w:line="142" w:lineRule="exact"/>
        <w:rPr>
          <w:rFonts w:ascii="Times New Roman" w:cs="Times New Roman" w:eastAsia="Times New Roman" w:hAnsi="Times New Roman"/>
          <w:sz w:val="18"/>
          <w:szCs w:val="18"/>
          <w:color w:val="auto"/>
        </w:rPr>
      </w:pPr>
    </w:p>
    <w:p>
      <w:pPr>
        <w:ind w:left="380" w:right="140" w:hanging="327"/>
        <w:spacing w:after="0" w:line="277"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27" w:lineRule="exact"/>
        <w:rPr>
          <w:rFonts w:ascii="Times New Roman" w:cs="Times New Roman" w:eastAsia="Times New Roman" w:hAnsi="Times New Roman"/>
          <w:sz w:val="17"/>
          <w:szCs w:val="17"/>
          <w:color w:val="auto"/>
        </w:rPr>
      </w:pPr>
    </w:p>
    <w:p>
      <w:pPr>
        <w:ind w:left="380" w:right="20" w:hanging="327"/>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Specific Trends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8" w:lineRule="exact"/>
        <w:rPr>
          <w:rFonts w:ascii="Times New Roman" w:cs="Times New Roman" w:eastAsia="Times New Roman" w:hAnsi="Times New Roman"/>
          <w:sz w:val="18"/>
          <w:szCs w:val="18"/>
          <w:color w:val="auto"/>
        </w:rPr>
      </w:pPr>
    </w:p>
    <w:p>
      <w:pPr>
        <w:ind w:left="380" w:hanging="372"/>
        <w:spacing w:after="0" w:line="258"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increased investment and acquisitions. We anticipate increased competition from data and analytics suppliers.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govern our more significant judgments and estimates used in the preparation of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Under this standard, revenue is recognized when control of goods or services is transferred to the Company’s customers, in an amount that reflects the consideration the Company expects to be entitled to in exchange for those goods or services. Our performance obligation is to provide on demand information and identity intelligence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14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Our revenue is recorded net of applicable sales taxes billed to customers.</w:t>
      </w:r>
    </w:p>
    <w:p>
      <w:pPr>
        <w:spacing w:after="0" w:line="14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3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In some arrangements, a right to consideration for our performance under the customer contract may occur before invoicing to the customer. Our revenue arrangements do not contain significant financing components.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79% and 75% of total revenue was attributable to customers with pricing contracts, respectively, versus 21% and 25% attributable to transactional customers, respectively. Pricing contracts are generally annual contracts or longer, with auto renewal.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customer pays consideration before we transfer services to the customer, those amounts are classified as deferred revenue. As of December 31, 2023 and 2022, the balance of deferred revenue was $0.7 million, all of which is expected to be realized in the next 12 months. In relation to the deferred revenue balance as of December 31, 2022, $0.7 million was recognized into revenue during the year ended December 31, 2023.</w:t>
      </w:r>
    </w:p>
    <w:p>
      <w:pPr>
        <w:spacing w:after="0" w:line="1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2023, $15.8 million of revenue is expected to be recognized in the future for performance obligations that are unsatisfied or partially unsatisfied, related to pricing contracts that have a term of more than 12 months, of which $8.7 million of revenue will be recognized in 2024, $4.6 million in 2025, $1.7 million in 2026, and $0.8 million in 2027.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6" w:name="page27"/>
    <w:bookmarkEnd w:id="26"/>
    <w:p>
      <w:pPr>
        <w:ind w:right="68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In addition, we elected the practical expedient to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Allowances for doubtful accounts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$0.2 million and $0.06 million as of December 31, 2023 and 2022, respectively, which was included within accounts receivable, net, in the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2022, we had a full valuation allowance of $8.0 million. During the year ended December 31, 2023, we released the valuation allowance previously recorded on our deferred tax assets. We concluded that, due to our established historical cumulative positive income before income taxes plus permanent differences for the recent years, projections of future taxable income and the reversal of taxable temporary differences, the realization of the deferred tax assets as of December 31, 2023 is more likely than not.</w:t>
      </w:r>
    </w:p>
    <w:p>
      <w:pPr>
        <w:spacing w:after="0" w:line="1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jc w:val="both"/>
        <w:ind w:right="6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“Software—internal use software,”</w:t>
      </w:r>
      <w:r>
        <w:rPr>
          <w:rFonts w:ascii="Times New Roman" w:cs="Times New Roman" w:eastAsia="Times New Roman" w:hAnsi="Times New Roman"/>
          <w:sz w:val="18"/>
          <w:szCs w:val="18"/>
          <w:color w:val="auto"/>
        </w:rPr>
        <w:t xml:space="preserve"> we capitalize eligible costs, including salaries and staff benefits, share-based compensation,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7" w:name="page28"/>
    <w:bookmarkEnd w:id="27"/>
    <w:p>
      <w:pPr>
        <w:ind w:right="300"/>
        <w:spacing w:after="0" w:line="266" w:lineRule="auto"/>
        <w:rPr>
          <w:sz w:val="20"/>
          <w:szCs w:val="20"/>
          <w:color w:val="auto"/>
        </w:rPr>
      </w:pPr>
      <w:r>
        <w:rPr>
          <w:rFonts w:ascii="Times New Roman" w:cs="Times New Roman" w:eastAsia="Times New Roman" w:hAnsi="Times New Roman"/>
          <w:sz w:val="18"/>
          <w:szCs w:val="18"/>
          <w:color w:val="auto"/>
        </w:rPr>
        <w:t>On October 1, 2023 and 2022, we performed qualitative assessments on the reporting unit and, based on this assessment, no events have occurred to indicate that it is more likely than not that the fair value of the reporting unit is less than its carry amount. We did not record a goodwill impairment loss during the years ended December 31, 2023 and 2022, and as of December 31, 2023, there was no accumulated goodwill impairment loss.</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 impairment loss of long-lived assets during the years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9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We account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We account for forfeitures as they occur.</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2023, we have achieved the performance-based criteria for all share-based awards with performance-based vesting criteria, except for the Criteria Four and Five awards, as defined in Note 10, “Share-based compensation,” included in “Notes to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See Item 8 of Part II, “Financial Statements and Supplementary Data – Note 2. Summary of significant accounting policies - </w:t>
      </w:r>
      <w:r>
        <w:rPr>
          <w:rFonts w:ascii="Times New Roman" w:cs="Times New Roman" w:eastAsia="Times New Roman" w:hAnsi="Times New Roman"/>
          <w:sz w:val="18"/>
          <w:szCs w:val="18"/>
          <w:i w:val="1"/>
          <w:iCs w:val="1"/>
          <w:color w:val="auto"/>
        </w:rPr>
        <w:t>(r) 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2023 as compared to the three months ended December 31, 2022:</w:t>
      </w:r>
    </w:p>
    <w:p>
      <w:pPr>
        <w:spacing w:after="0" w:line="185"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15% to $15.1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16% to $9.6 million. Gross margin increased to 64% from 63%.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17% to $11.7 million. Adjusted gross margin increased to 78% from 77%.</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narrowed 31% to $1.1 million, which resulted in a loss of $0.08 per basic and diluted share. Net loss margin improved to 7% from 12%.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76% to $2.7 million. Adjusted EBITDA margin increased to 18% from 12%.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157% to $0.3 million, which resulted in adjusted earnings of $0.02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decreased 4% to $4.2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$32.0 million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as compared to the year ended December 31, 2022:</w:t>
      </w:r>
    </w:p>
    <w:p>
      <w:pPr>
        <w:spacing w:after="0" w:line="185"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13% to $60.2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13% to $39.0 million. Gross margin remained consistent at 65%.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15% to $47.1 million. Adjusted gross margin increased to 78% from 77%.</w:t>
      </w:r>
    </w:p>
    <w:p>
      <w:pPr>
        <w:spacing w:after="0" w:line="117"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$13.5 million from $0.6 million, which resulted in earnings of $0.97 and $0.96 per basic and diluted share, respectively. Net income margin increased to 22% from 1%.</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27% to $16.4 million. Adjusted EBITDA margin increased to 27% from 24%.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17% to $8.1 million, which resulted in adjusted earnings of $0.58 and $0.57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21% to $15.1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(loss),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3"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EBITDA: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(387 )</w:t>
            </w: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(9,691 )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-856615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-856615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-856615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net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22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(10,272 )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(1,526 )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13,985,426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13,964,010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080" w:type="dxa"/>
            <w:vAlign w:val="bottom"/>
            <w:tcBorders>
              <w:bottom w:val="single" w:sz="8" w:color="CFF0FC"/>
            </w:tcBorders>
            <w:shd w:val="clear" w:color="auto" w:fill="CFF0FC"/>
          </w:tcPr>
          <w:p>
            <w:pPr>
              <w:ind w:left="20"/>
              <w:spacing w:after="0" w:line="228"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(3)</w:t>
            </w:r>
          </w:p>
        </w:tc>
        <w:tc>
          <w:tcPr>
            <w:tcW w:w="22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14,307,797</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14,205,633</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-1731010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-1731010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-1731010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-1053465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-1036320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-1053465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-1036320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-1053465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-1036320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-719455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-702310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-719455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-702310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-719455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36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2023, $10.3 million of income tax benefit was recognized as a result of the release of the valuation allowance previously recorded on our deferred tax asset and cumulative research and development tax credit, which were excluded to calculate the adjusted net income.</w:t>
      </w:r>
    </w:p>
    <w:p>
      <w:pPr>
        <w:spacing w:after="0" w:line="148"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25.75% for the three and twelve months ended December 31, 2023. There was no tax effect of such adjustments for the three and twelve months ended December 31, 2022, as a full valuation allowance was provided for the net deferred tax assets.</w:t>
      </w:r>
    </w:p>
    <w:p>
      <w:pPr>
        <w:spacing w:after="0" w:line="135" w:lineRule="exact"/>
        <w:rPr>
          <w:rFonts w:ascii="Times New Roman" w:cs="Times New Roman" w:eastAsia="Times New Roman" w:hAnsi="Times New Roman"/>
          <w:sz w:val="18"/>
          <w:szCs w:val="18"/>
          <w:color w:val="auto"/>
        </w:rPr>
      </w:pPr>
    </w:p>
    <w:p>
      <w:pPr>
        <w:ind w:left="380" w:right="46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2023 and 2022, diluted weighted average shares outstanding for adjusted diluted earnings per share are calculated by the inclusion of unvested RSUs, which were not included in US GAAP diluted weighted average shares outstanding due to the Company's net loss position for such periods.</w:t>
      </w:r>
    </w:p>
    <w:p>
      <w:pPr>
        <w:spacing w:after="0" w:line="3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(3,337 )</w:t>
            </w: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(3,054 )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(13,069 )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(2,154 )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(1,758 )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(8,119 )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47,135</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63 %</w:t>
            </w:r>
          </w:p>
        </w:tc>
        <w:tc>
          <w:tcPr>
            <w:tcW w:w="3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77 %</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-1019810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-1019810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-1019810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-702310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-702310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measure, to FCF: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(2,103 )</w:t>
            </w: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(9,024 )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(8,456 )</w:t>
            </w:r>
          </w:p>
        </w:tc>
        <w:tc>
          <w:tcPr>
            <w:tcW w:w="0" w:type="dxa"/>
            <w:vAlign w:val="bottom"/>
          </w:tcPr>
          <w:p>
            <w:pPr>
              <w:spacing w:after="0"/>
              <w:rPr>
                <w:sz w:val="1"/>
                <w:szCs w:val="1"/>
                <w:color w:val="auto"/>
              </w:rPr>
            </w:pPr>
          </w:p>
        </w:tc>
      </w:tr>
      <w:tr>
        <w:trPr>
          <w:trHeight w:val="278"/>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(loss),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77" w:right="27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2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tables set forth the Company's unaudited quarterly consolidated statements of operations data and reconciliations of certain directly comparable US GAAP financial measures to non-GAAP financial measures, including adjusted EBITDA, adjusted EBITDA margin, adjusted net income, adjusted earnings per share, adjusted gross profit, adjusted gross margin, and FCF for each of the eight quarters in the two-year period ended December 31, 2023. The Company has prepared the quarterly unaudited consolidated statements of operations data on a basis consistent with the audited consolidated financial statements included elsewhere in this 2023 Form 10-K. In the opinion of management, the financial information in these tables reflects all adjustments, consisting only of normal recurring adjustments, which management considers necessary for a fair presentation of this data. This information should be read in conjunction with the audited consolidated financial statements and related notes included elsewhere in this 2023 Form 10-K. The results of historical periods are not necessarily indicative of the results for any future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except share data) (Unaudited)</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3/31/2022</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w w:val="98"/>
              </w:rPr>
              <w:t>3/31/2023</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9/30/2023</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12/31/2023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15,026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14,626</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14,680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15,061</w:t>
            </w:r>
          </w:p>
        </w:tc>
        <w:tc>
          <w:tcPr>
            <w:tcW w:w="1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Cost of revenue (exclusive of</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12,448</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12,868</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14,986</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13,447</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15,956</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(161 )</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(1,917 )</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 net</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(161 )</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(1,692 )</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(508 )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(148 )</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(29 )</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(10,384 )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(205 )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(1,544 )</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2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(0.11 )</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2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0.01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(0.01 )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0.16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(0.11 )</w:t>
            </w:r>
          </w:p>
        </w:tc>
        <w:tc>
          <w:tcPr>
            <w:tcW w:w="240" w:type="dxa"/>
            <w:vAlign w:val="bottom"/>
            <w:shd w:val="clear" w:color="auto" w:fill="CFF0FC"/>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0.05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0.87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(0.08 )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4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Weighted average shares</w:t>
            </w: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13,543,607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13,776,479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13,748,587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13,964,010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13,997,154</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13,961,862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13,952,426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13,985,426</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14,047,635</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13,776,479</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13,764,262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13,964,010</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14,236,771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14,172,024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14,329,878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13,985,426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3/31/2022</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w w:val="98"/>
              </w:rPr>
              <w:t>3/31/2023</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9/30/2023</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12/31/2023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(205 )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(1,544 )</w:t>
            </w: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(1,070 )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net</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(125 )</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(225 )</w:t>
            </w: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(286 )</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(315 )</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(346 )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(148 )</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(29 )</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(10,384 )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Litigation costs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Write-off of long-lived assets and</w:t>
            </w: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others</w:t>
            </w: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26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3,706</w:t>
            </w: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4,637</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Revenue</w:t>
            </w: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12,729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12,494</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15,026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13,069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14,626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14,680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15,837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15,061</w:t>
            </w: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margin</w:t>
            </w:r>
          </w:p>
        </w:tc>
        <w:tc>
          <w:tcPr>
            <w:tcW w:w="1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(2 %)</w:t>
            </w:r>
          </w:p>
        </w:tc>
        <w:tc>
          <w:tcPr>
            <w:tcW w:w="1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15 %</w:t>
            </w: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(12 %)</w:t>
            </w:r>
          </w:p>
        </w:tc>
        <w:tc>
          <w:tcPr>
            <w:tcW w:w="2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5 %</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9 %</w:t>
            </w:r>
          </w:p>
        </w:tc>
        <w:tc>
          <w:tcPr>
            <w:tcW w:w="16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79 %</w:t>
            </w: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25 %</w:t>
            </w:r>
          </w:p>
        </w:tc>
        <w:tc>
          <w:tcPr>
            <w:tcW w:w="18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23 %</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35 %</w:t>
            </w: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12 %</w:t>
            </w: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25 %</w:t>
            </w:r>
          </w:p>
        </w:tc>
        <w:tc>
          <w:tcPr>
            <w:tcW w:w="18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32 %</w:t>
            </w:r>
          </w:p>
        </w:tc>
        <w:tc>
          <w:tcPr>
            <w:tcW w:w="160" w:type="dxa"/>
            <w:vAlign w:val="bottom"/>
          </w:tcPr>
          <w:p>
            <w:pPr>
              <w:spacing w:after="0"/>
              <w:rPr>
                <w:sz w:val="12"/>
                <w:szCs w:val="12"/>
                <w:color w:val="auto"/>
              </w:rPr>
            </w:pPr>
          </w:p>
        </w:tc>
        <w:tc>
          <w:tcPr>
            <w:tcW w:w="94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34 %</w:t>
            </w:r>
          </w:p>
        </w:tc>
        <w:tc>
          <w:tcPr>
            <w:tcW w:w="160" w:type="dxa"/>
            <w:vAlign w:val="bottom"/>
          </w:tcPr>
          <w:p>
            <w:pPr>
              <w:spacing w:after="0"/>
              <w:rPr>
                <w:sz w:val="12"/>
                <w:szCs w:val="12"/>
                <w:color w:val="auto"/>
              </w:rPr>
            </w:pPr>
          </w:p>
        </w:tc>
        <w:tc>
          <w:tcPr>
            <w:tcW w:w="920" w:type="dxa"/>
            <w:vAlign w:val="bottom"/>
            <w:gridSpan w:val="3"/>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18 %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except share data) (Unaudited)</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3/31/2022</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w w:val="98"/>
              </w:rPr>
              <w:t>3/31/2023</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6/30/2023</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9/30/2023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9"/>
                <w:szCs w:val="9"/>
                <w:b w:val="1"/>
                <w:bCs w:val="1"/>
                <w:color w:val="auto"/>
              </w:rPr>
              <w:t>12/31/2023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(205 )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(1,544 )</w:t>
            </w: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(1,070 )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share-based</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compensation capitalized</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 intangible assets</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Discrete tax items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(10,272 )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effect of adjustments</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(1,275 )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(251 )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26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3,729</w:t>
            </w: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2,928</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(0.01 )</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(0.11 )</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2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0.01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(0.01 )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0.16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(0.11 )</w:t>
            </w:r>
          </w:p>
        </w:tc>
        <w:tc>
          <w:tcPr>
            <w:tcW w:w="240" w:type="dxa"/>
            <w:vAlign w:val="bottom"/>
            <w:shd w:val="clear" w:color="auto" w:fill="CFF0FC"/>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0.05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0.87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(0.08 )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0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earnings per share:</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tcPr>
          <w:p>
            <w:pPr>
              <w:spacing w:after="0"/>
              <w:rPr>
                <w:sz w:val="12"/>
                <w:szCs w:val="12"/>
                <w:color w:val="auto"/>
              </w:rPr>
            </w:pPr>
          </w:p>
        </w:tc>
        <w:tc>
          <w:tcPr>
            <w:tcW w:w="180" w:type="dxa"/>
            <w:vAlign w:val="bottom"/>
            <w:tcBorders>
              <w:bottom w:val="single" w:sz="8" w:color="auto"/>
            </w:tcBorders>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0.10</w:t>
            </w:r>
          </w:p>
        </w:tc>
        <w:tc>
          <w:tcPr>
            <w:tcW w:w="260" w:type="dxa"/>
            <w:vAlign w:val="bottom"/>
          </w:tcPr>
          <w:p>
            <w:pPr>
              <w:spacing w:after="0"/>
              <w:rPr>
                <w:sz w:val="12"/>
                <w:szCs w:val="12"/>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0.27</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0.16</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0.21</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Weighted average shares</w:t>
            </w: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13,543,607</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13,776,479</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13,748,587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13,964,010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13,997,154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13,961,862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13,952,426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13,985,426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Borders>
              <w:bottom w:val="single" w:sz="8" w:color="CFF0FC"/>
            </w:tcBorders>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14,047,635</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14,109,243</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13,764,262</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14,205,633</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14,236,771</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14,172,024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14,329,878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14,307,797</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-5339715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-5339715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-5339715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-5339715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-5339715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-5339715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-5339715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-5339715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-5125720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-5125720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-5125720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-5125720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-5125720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-5125720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-5125720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-5125720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-4911090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-4911090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-4911090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-4911090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-4911090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-4911090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-4911090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-4439920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-4422775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-4439920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-4422775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-4439920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-4422775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-4439920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-4422775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-4439920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-4422775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-4439920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-4422775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-4439920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-4422775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-4122420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-4105275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-4122420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-4105275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-4122420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-4105275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-4122420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-4105275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-4122420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-4105275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-4122420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-4105275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-4122420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-4105275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-2896870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-2896870</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-2896870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-2896870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-2896870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-2896870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-2896870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-1302385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-1302385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-1302385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-1302385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-1302385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-1302385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-1302385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-830580</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-813435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-830580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-813435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-830580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-813435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-830580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-813435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-830580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-813435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-830580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-813435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-830580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-813435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-599440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-582295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-599440</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-582295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-599440</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-582295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-599440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-582295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-599440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-582295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-599440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-582295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-599440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-582295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73" w:right="279" w:bottom="1440" w:gutter="0" w:footer="0" w:header="0"/>
        </w:sectPr>
      </w:pPr>
    </w:p>
    <w:bookmarkStart w:id="33" w:name="page34"/>
    <w:bookmarkEnd w:id="33"/>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w:t>
      </w:r>
    </w:p>
    <w:p>
      <w:pPr>
        <w:spacing w:after="0" w:line="11" w:lineRule="exact"/>
        <w:rPr>
          <w:sz w:val="20"/>
          <w:szCs w:val="20"/>
          <w:color w:val="auto"/>
        </w:rPr>
      </w:pPr>
    </w:p>
    <w:p>
      <w:pPr>
        <w:ind w:left="80" w:right="40" w:hanging="62"/>
        <w:spacing w:after="0" w:line="258" w:lineRule="auto"/>
        <w:rPr>
          <w:sz w:val="20"/>
          <w:szCs w:val="20"/>
          <w:color w:val="auto"/>
        </w:rPr>
      </w:pPr>
      <w:r>
        <w:rPr>
          <w:rFonts w:ascii="Times New Roman" w:cs="Times New Roman" w:eastAsia="Times New Roman" w:hAnsi="Times New Roman"/>
          <w:sz w:val="12"/>
          <w:szCs w:val="12"/>
          <w:color w:val="auto"/>
        </w:rPr>
        <w:t>Cost of revenue (exclusive of depreciation and amortization)</w:t>
      </w:r>
    </w:p>
    <w:p>
      <w:pPr>
        <w:ind w:left="80" w:right="120" w:hanging="62"/>
        <w:spacing w:after="0" w:line="258" w:lineRule="auto"/>
        <w:rPr>
          <w:sz w:val="20"/>
          <w:szCs w:val="20"/>
          <w:color w:val="auto"/>
        </w:rPr>
      </w:pPr>
      <w:r>
        <w:rPr>
          <w:rFonts w:ascii="Times New Roman" w:cs="Times New Roman" w:eastAsia="Times New Roman" w:hAnsi="Times New Roman"/>
          <w:sz w:val="12"/>
          <w:szCs w:val="12"/>
          <w:color w:val="auto"/>
        </w:rPr>
        <w:t>Depreciation and amortization of intangible assets</w:t>
      </w:r>
    </w:p>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p>
      <w:pPr>
        <w:spacing w:after="0" w:line="20" w:lineRule="exact"/>
        <w:rPr>
          <w:sz w:val="20"/>
          <w:szCs w:val="20"/>
          <w:color w:val="auto"/>
        </w:rPr>
      </w:pPr>
      <w:r>
        <w:rPr>
          <w:sz w:val="20"/>
          <w:szCs w:val="20"/>
          <w:color w:val="auto"/>
        </w:rPr>
        <w:br w:type="column"/>
      </w:r>
    </w:p>
    <w:p>
      <w:pPr>
        <w:ind w:left="3960"/>
        <w:spacing w:after="0"/>
        <w:rPr>
          <w:sz w:val="20"/>
          <w:szCs w:val="20"/>
          <w:color w:val="auto"/>
        </w:rPr>
      </w:pPr>
      <w:r>
        <w:rPr>
          <w:rFonts w:ascii="Times New Roman" w:cs="Times New Roman" w:eastAsia="Times New Roman" w:hAnsi="Times New Roman"/>
          <w:sz w:val="9"/>
          <w:szCs w:val="9"/>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3/31/2022</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3/31/2023</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6/30/2023</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9/30/2023</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9"/>
                <w:szCs w:val="9"/>
                <w:b w:val="1"/>
                <w:bCs w:val="1"/>
                <w:color w:val="auto"/>
              </w:rPr>
              <w:t>12/31/2023</w:t>
            </w:r>
          </w:p>
        </w:tc>
        <w:tc>
          <w:tcPr>
            <w:tcW w:w="40" w:type="dxa"/>
            <w:vAlign w:val="bottom"/>
          </w:tcPr>
          <w:p>
            <w:pPr>
              <w:spacing w:after="0"/>
              <w:rPr>
                <w:sz w:val="10"/>
                <w:szCs w:val="10"/>
                <w:color w:val="auto"/>
              </w:rPr>
            </w:pPr>
          </w:p>
        </w:tc>
      </w:tr>
      <w:tr>
        <w:trPr>
          <w:trHeight w:val="158"/>
        </w:trPr>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12,729</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26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15,026</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13,069</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14,626</w:t>
            </w:r>
          </w:p>
        </w:tc>
        <w:tc>
          <w:tcPr>
            <w:tcW w:w="2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14,680</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15,837</w:t>
            </w:r>
          </w:p>
        </w:tc>
        <w:tc>
          <w:tcPr>
            <w:tcW w:w="100" w:type="dxa"/>
            <w:vAlign w:val="bottom"/>
          </w:tcPr>
          <w:p>
            <w:pPr>
              <w:spacing w:after="0"/>
              <w:rPr>
                <w:sz w:val="13"/>
                <w:szCs w:val="13"/>
                <w:color w:val="auto"/>
              </w:rPr>
            </w:pP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15,061</w:t>
            </w:r>
          </w:p>
        </w:tc>
        <w:tc>
          <w:tcPr>
            <w:tcW w:w="40" w:type="dxa"/>
            <w:vAlign w:val="bottom"/>
          </w:tcPr>
          <w:p>
            <w:pPr>
              <w:spacing w:after="0"/>
              <w:rPr>
                <w:sz w:val="13"/>
                <w:szCs w:val="13"/>
                <w:color w:val="auto"/>
              </w:rPr>
            </w:pPr>
          </w:p>
        </w:tc>
      </w:tr>
      <w:tr>
        <w:trPr>
          <w:trHeight w:val="292"/>
        </w:trPr>
        <w:tc>
          <w:tcPr>
            <w:tcW w:w="1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(3,170 )</w:t>
            </w: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(2,920 )</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(3,067 )</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(3,054 )</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(3,179 )</w:t>
            </w: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(3,240 )</w:t>
            </w: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(3,313 )</w:t>
            </w: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(3,337 )</w:t>
            </w:r>
          </w:p>
        </w:tc>
      </w:tr>
      <w:tr>
        <w:trPr>
          <w:trHeight w:val="285"/>
        </w:trPr>
        <w:tc>
          <w:tcPr>
            <w:tcW w:w="1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(1,472 )</w:t>
            </w: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(1,551 )</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(1,659 )</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(1,758 )</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(1,858 )</w:t>
            </w: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(1,995 )</w:t>
            </w: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(2,112 )</w:t>
            </w: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(2,154 )</w:t>
            </w:r>
          </w:p>
        </w:tc>
      </w:tr>
      <w:tr>
        <w:trPr>
          <w:trHeight w:val="155"/>
        </w:trPr>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8,087</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10,300</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8,257</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9,445</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10,412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-581025</wp:posOffset>
            </wp:positionV>
            <wp:extent cx="713232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-289560</wp:posOffset>
            </wp:positionV>
            <wp:extent cx="713232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680" w:space="720"/>
            <w:col w:w="8860"/>
          </w:cols>
          <w:pgMar w:left="320" w:top="1222" w:right="319" w:bottom="1440" w:gutter="0" w:footer="0" w:header="0"/>
        </w:sectPr>
      </w:pPr>
    </w:p>
    <w:tbl>
      <w:tblPr>
        <w:tblLayout w:type="fixed"/>
        <w:tblInd w:w="0" w:type="dxa"/>
        <w:tblCellMar>
          <w:top w:w="0" w:type="dxa"/>
          <w:left w:w="0" w:type="dxa"/>
          <w:bottom w:w="0" w:type="dxa"/>
          <w:right w:w="0" w:type="dxa"/>
        </w:tblCellMar>
      </w:tblPr>
      <w:tr>
        <w:trPr>
          <w:trHeight w:val="132"/>
        </w:trPr>
        <w:tc>
          <w:tcPr>
            <w:tcW w:w="24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of intangible assets</w:t>
            </w: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Adjusted gross profit</w:t>
            </w: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9,559</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9,574</w:t>
            </w:r>
          </w:p>
        </w:tc>
        <w:tc>
          <w:tcPr>
            <w:tcW w:w="26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11,959</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10,015</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11,447</w:t>
            </w: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11,440</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Gross margin</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160" w:type="dxa"/>
            <w:vAlign w:val="bottom"/>
          </w:tcPr>
          <w:p>
            <w:pPr>
              <w:spacing w:after="0"/>
              <w:rPr>
                <w:sz w:val="14"/>
                <w:szCs w:val="14"/>
                <w:color w:val="auto"/>
              </w:rPr>
            </w:pPr>
          </w:p>
        </w:tc>
        <w:tc>
          <w:tcPr>
            <w:tcW w:w="9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69 %</w:t>
            </w:r>
          </w:p>
        </w:tc>
        <w:tc>
          <w:tcPr>
            <w:tcW w:w="160" w:type="dxa"/>
            <w:vAlign w:val="bottom"/>
          </w:tcPr>
          <w:p>
            <w:pPr>
              <w:spacing w:after="0"/>
              <w:rPr>
                <w:sz w:val="14"/>
                <w:szCs w:val="14"/>
                <w:color w:val="auto"/>
              </w:rPr>
            </w:pPr>
          </w:p>
        </w:tc>
        <w:tc>
          <w:tcPr>
            <w:tcW w:w="9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63 %</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66 %</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160" w:type="dxa"/>
            <w:vAlign w:val="bottom"/>
          </w:tcPr>
          <w:p>
            <w:pPr>
              <w:spacing w:after="0"/>
              <w:rPr>
                <w:sz w:val="14"/>
                <w:szCs w:val="14"/>
                <w:color w:val="auto"/>
              </w:rPr>
            </w:pPr>
          </w:p>
        </w:tc>
        <w:tc>
          <w:tcPr>
            <w:tcW w:w="90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66 %</w:t>
            </w:r>
          </w:p>
        </w:tc>
        <w:tc>
          <w:tcPr>
            <w:tcW w:w="200" w:type="dxa"/>
            <w:vAlign w:val="bottom"/>
          </w:tcPr>
          <w:p>
            <w:pPr>
              <w:spacing w:after="0"/>
              <w:rPr>
                <w:sz w:val="14"/>
                <w:szCs w:val="14"/>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Adjusted gross margin</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75 %</w:t>
            </w: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77 %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80 %</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77 %</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78 %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78 %</w:t>
            </w:r>
          </w:p>
        </w:tc>
        <w:tc>
          <w:tcPr>
            <w:tcW w:w="16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79 %</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3/31/2022</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w w:val="98"/>
              </w:rPr>
              <w:t>3/31/2023</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9/30/2023</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12/31/2023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Net cash provided by operating</w:t>
            </w: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(113 )</w:t>
            </w: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(108 )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(50 )</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(102 )</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(7 )</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Capitalized costs included in</w:t>
            </w:r>
          </w:p>
        </w:tc>
        <w:tc>
          <w:tcPr>
            <w:tcW w:w="18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(1,794 )</w:t>
            </w:r>
          </w:p>
        </w:tc>
        <w:tc>
          <w:tcPr>
            <w:tcW w:w="18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(2,099 )</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(2,246 )</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(2,317 )</w:t>
            </w:r>
          </w:p>
        </w:tc>
        <w:tc>
          <w:tcPr>
            <w:tcW w:w="2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(2,273 )</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(2,236 )</w:t>
            </w:r>
          </w:p>
        </w:tc>
        <w:tc>
          <w:tcPr>
            <w:tcW w:w="160" w:type="dxa"/>
            <w:vAlign w:val="bottom"/>
          </w:tcPr>
          <w:p>
            <w:pPr>
              <w:spacing w:after="0"/>
              <w:rPr>
                <w:sz w:val="11"/>
                <w:szCs w:val="11"/>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(2,412 )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intangible assets</w:t>
            </w: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Free cash flow</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(786 )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-1482090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-1482090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-1482090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-1482090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-1482090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-1482090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-1482090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-1010920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-993775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-1010920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-993775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-1010920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-993775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-1010920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-993775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-1010920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-993775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-1010920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-993775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-993775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-25400</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-25400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2" w:right="3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year ended December 31, 2022</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$6.9 million or 13% to $60.2 million for the year ended December 31, 2023 from $53.3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Revenue from new customers increased $0.5 million or 11%, base revenue from existing customers increased $6.1 million or 15%, and growth revenue from existing customers increased $0.3 million or 4%. Our IDI billable customer base grew from 7,021 customers as of December 31, 2022 to 7,875 customers as of December 31, 2023, and our FOREWARN user base grew from 116,960 users to 185,380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$0.9 million or 7% to $13.1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from $12.2 million for the year ended December 31, 2022.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49% and 48% of our total data acquisition costs for the years ended December 31, 2023 and 2022, respectively. Other cost of revenue items include expenses related to third-party infrastructure fees.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22% for the year ended December 31, 2023 from 23% for the year ended December 31, 2022.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3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$3.0 million or 28% to $13.8 million for the year ended December 31,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$10.8 million for the year ended December 31, 2022. Sales and marketing expenses consist of salaries and benefits, advertising and marketing, travel expenses, and share-based compensation expense, incurred by our sales team, and provision for bad debts. The increase during the year ended December 31, 2023 was primarily attributable to an increase of $1.4 million in salaries and benefits and sales commissions, $0.9 million in provision for bad debts, $0.3 million in advertising and marketing, and $0.2 million in share-based compensation expense.</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decreased $0.8 million or 3% to $22.4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from $23.2 million for the year ended December 31, 2022. For the years ended December 31, 2023 and 2022, our general and administrative expenses consisted primarily of employee salaries and benefits of $11.8 million and $11.8 million, share-based compensation expense of $4.9 million and $5.2 million, and professional fees of $3.2 million and $3.7 million, respectively.</w:t>
      </w:r>
    </w:p>
    <w:p>
      <w:pPr>
        <w:spacing w:after="0" w:line="1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$1.7 million or 25% to $8.4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from $6.7 million for the year ended December 31, 2022. The increase in depreciation and amortization for the year ended December 31, 2023 resulted primarily from the amortization of software developed for internal use that became ready for its intended use after December 31, 2022.</w:t>
      </w:r>
    </w:p>
    <w:p>
      <w:pPr>
        <w:spacing w:after="0" w:line="13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 net</w:t>
      </w:r>
      <w:r>
        <w:rPr>
          <w:rFonts w:ascii="Times New Roman" w:cs="Times New Roman" w:eastAsia="Times New Roman" w:hAnsi="Times New Roman"/>
          <w:sz w:val="18"/>
          <w:szCs w:val="18"/>
          <w:color w:val="auto"/>
        </w:rPr>
        <w:t>. Interest income increased $0.9 million or 280% to $1.3 million for the year ended December 31, 2023 from $0.4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2022. This was primarily due to interest income earned on investments in certain money market funds.</w:t>
      </w:r>
    </w:p>
    <w:p>
      <w:pPr>
        <w:spacing w:after="0" w:line="1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increased $3.1 million or 439% to $3.8 million for the year ended December 31, 2023 from $0.7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2022. The increase was primarily attributable to the increase in revenue, decrease in our cost of revenue as a percentage of revenue, and decrease in professional fees, which was partially offset by the increase in employee salaries and benefits and sales commissions of $1.4 million, depreciation and amortization of $1.7 million, and $0.9 million in provision for bad debts.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5" w:name="page36"/>
    <w:bookmarkEnd w:id="35"/>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benefit of $9.7 million was recognized for the year ended December 31, 2023 compared to income tax expense of $0.1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2022. A full valuation allowance on the deferred tax assets was recognized as of December 31, 2022 to reduce the deferred tax assets to the amount that is more likely than not to be realized. During the year ended December 31, 2023, the Company released the valuation allowance as the Company concluded that the realization of the deferred tax assets as of December 31, 2023 is more likely than not. See Note 8, “Income Taxes,” included in “Notes to Consolidated Financial Statements.”</w:t>
      </w:r>
    </w:p>
    <w:p>
      <w:pPr>
        <w:spacing w:after="0" w:line="1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$13.5 million for the year ended December 31, 2023 compared to $0.6 million for the year ended December 31, 2022,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foregoing.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the persistent inflationary pressure throughout 2023 and 2022 has contributed to deteriorating macroeconomic conditions and increased recession fears, causing businesses to slow their spending, which have resulted in,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year ended December 31, 2023, net cash provided by operating activities was $15.1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the net income of $13.5 million, adjusted for certain non-cash items (consisting of share-based compensation expense, depreciation and amortization, write-off of long-lived assets, provision for bad debts, noncash lease expenses, and deferred income tax benefit) totaling $5.6 million, and the cash used as a result of changes in assets and liabilities of $4.1 million, primarily the result of the increase in accounts receivable, and prepaid expenses and other current assets, and the decrease in accounts payable and operating lease liabilities. For the year ended December 31, 2022, net cash provided by operating activities was $12.5 million, primarily the result of the net income of $0.6 million, adjusted for certain non-cash items (consisting of share-based compensation expense, depreciation and amortization, write-off of long-lived assets, provision for bad debts, noncash lease expenses, and deferred income tax expense) totaling $13.2 million, and the cash used as a result of changes in assets and liabilities of $1.3 million, primarily the result of the increase in accounts receivable and other noncurrent assets, and the decrease in operating lease liabilities, which was offset by the increase in accounts payable and accrued expenses and other current liabilities.</w:t>
      </w:r>
    </w:p>
    <w:p>
      <w:pPr>
        <w:spacing w:after="0" w:line="14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years ended December 31, 2023 and 2022, net cash used in investing activities was $9.1 million and $8.8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primarily as a result of capitalized costs included in intangible assets.</w:t>
      </w:r>
    </w:p>
    <w:p>
      <w:pPr>
        <w:spacing w:after="0" w:line="1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For the year ended December 31, 2023, net cash used in financing activities was $5.7 million, mainly the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million in taxes paid related to the net share settlement of vesting of RSUs, and $3.7 million paid in aggregate for the repurchase of common stock pursuant to a stock repurchase program that the board of directors authorized on May 2, 2022 (the "Stock Repurchase Program"), authorizing the repurchase of up to $5.0 million of our common stock. Subsequently on December 19, 2023, the board of directors authorized the repurchase of an additional $5.0 million of our common stock. For the year ended December 31, 2022, net cash used in financing activities was $6.1 million, mainly the result of $5.2 million in taxes paid related to the net share settlement of vesting of RSUs during the year and $0.9 million paid in aggregate for the repurchase of common stock pursuant to the Stock Repurchase Program.</w:t>
      </w:r>
    </w:p>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2023, we had material commitments under certain data licensing agreements of $19.8 million. We anticipate funding our operations using available cash and cash flow generated from operations within the next twelve months.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reported net income of $13.5 million and $0.6 million for the years ended December 31, 2023 and 2022, respectively. As of December 31, 2023, we had a total shareholders’ equity balance of $86.1 million.</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$32.0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2023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Many factors could cause our actual activities or results to differ materially from the activities and results anticipated in forward-looking statements. These factors include the following:</w:t>
      </w:r>
    </w:p>
    <w:p>
      <w:pPr>
        <w:spacing w:after="0" w:line="121" w:lineRule="exact"/>
        <w:rPr>
          <w:sz w:val="20"/>
          <w:szCs w:val="20"/>
          <w:color w:val="auto"/>
        </w:rPr>
      </w:pPr>
    </w:p>
    <w:p>
      <w:pPr>
        <w:ind w:left="560" w:right="16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21"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in the data and analytics sector, we may lose customers and/or our products and/or services may become obsolete.</w:t>
      </w:r>
    </w:p>
    <w:p>
      <w:pPr>
        <w:spacing w:after="0" w:line="134" w:lineRule="exact"/>
        <w:rPr>
          <w:rFonts w:ascii="Times New Roman" w:cs="Times New Roman" w:eastAsia="Times New Roman" w:hAnsi="Times New Roman"/>
          <w:sz w:val="18"/>
          <w:szCs w:val="18"/>
          <w:color w:val="auto"/>
        </w:rPr>
      </w:pPr>
    </w:p>
    <w:p>
      <w:pPr>
        <w:ind w:left="560" w:right="80" w:hanging="507"/>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35" w:lineRule="exact"/>
        <w:rPr>
          <w:rFonts w:ascii="Times New Roman" w:cs="Times New Roman" w:eastAsia="Times New Roman" w:hAnsi="Times New Roman"/>
          <w:sz w:val="18"/>
          <w:szCs w:val="18"/>
          <w:color w:val="auto"/>
        </w:rPr>
      </w:pPr>
    </w:p>
    <w:p>
      <w:pPr>
        <w:ind w:left="560" w:right="40" w:hanging="507"/>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5" w:lineRule="exact"/>
        <w:rPr>
          <w:rFonts w:ascii="Times New Roman" w:cs="Times New Roman" w:eastAsia="Times New Roman" w:hAnsi="Times New Roman"/>
          <w:sz w:val="18"/>
          <w:szCs w:val="18"/>
          <w:color w:val="auto"/>
        </w:rPr>
      </w:pPr>
    </w:p>
    <w:p>
      <w:pPr>
        <w:ind w:left="560" w:right="44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our systems, our certifications, our technology, and our interfaces with data and customers, demand for our services could be adversely affected.</w:t>
      </w:r>
    </w:p>
    <w:p>
      <w:pPr>
        <w:spacing w:after="0" w:line="134" w:lineRule="exact"/>
        <w:rPr>
          <w:rFonts w:ascii="Times New Roman" w:cs="Times New Roman" w:eastAsia="Times New Roman" w:hAnsi="Times New Roman"/>
          <w:sz w:val="18"/>
          <w:szCs w:val="18"/>
          <w:color w:val="auto"/>
        </w:rPr>
      </w:pPr>
    </w:p>
    <w:p>
      <w:pPr>
        <w:jc w:val="both"/>
        <w:ind w:left="560" w:right="40" w:hanging="507"/>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5" w:lineRule="exact"/>
        <w:rPr>
          <w:rFonts w:ascii="Times New Roman" w:cs="Times New Roman" w:eastAsia="Times New Roman" w:hAnsi="Times New Roman"/>
          <w:sz w:val="18"/>
          <w:szCs w:val="18"/>
          <w:color w:val="auto"/>
        </w:rPr>
      </w:pPr>
    </w:p>
    <w:p>
      <w:pPr>
        <w:jc w:val="both"/>
        <w:ind w:left="560" w:right="160" w:hanging="507"/>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35" w:lineRule="exact"/>
        <w:rPr>
          <w:rFonts w:ascii="Times New Roman" w:cs="Times New Roman" w:eastAsia="Times New Roman" w:hAnsi="Times New Roman"/>
          <w:sz w:val="18"/>
          <w:szCs w:val="18"/>
          <w:color w:val="auto"/>
        </w:rPr>
      </w:pPr>
    </w:p>
    <w:p>
      <w:pPr>
        <w:ind w:left="560" w:right="220" w:hanging="507"/>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and the value of an investment in our common stock may decline.</w:t>
      </w:r>
    </w:p>
    <w:p>
      <w:pPr>
        <w:spacing w:after="0" w:line="184" w:lineRule="exact"/>
        <w:rPr>
          <w:rFonts w:ascii="Times New Roman" w:cs="Times New Roman" w:eastAsia="Times New Roman" w:hAnsi="Times New Roman"/>
          <w:sz w:val="18"/>
          <w:szCs w:val="18"/>
          <w:color w:val="auto"/>
        </w:rPr>
      </w:pPr>
    </w:p>
    <w:p>
      <w:pPr>
        <w:ind w:left="560" w:right="10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in connection with acquisitions or pursuant to our stock incentive plan could have a dilutive effect on your investment.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37" w:name="page38"/>
    <w:bookmarkEnd w:id="37"/>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stock ownership may limit individual stockholder ability to influence corporate matters.</w:t>
      </w:r>
    </w:p>
    <w:p>
      <w:pPr>
        <w:spacing w:after="0" w:line="198" w:lineRule="exact"/>
        <w:rPr>
          <w:rFonts w:ascii="Times New Roman" w:cs="Times New Roman" w:eastAsia="Times New Roman" w:hAnsi="Times New Roman"/>
          <w:sz w:val="18"/>
          <w:szCs w:val="18"/>
          <w:color w:val="auto"/>
        </w:rPr>
      </w:pPr>
    </w:p>
    <w:p>
      <w:pPr>
        <w:ind w:left="507" w:right="22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 longer an “emerging growth company,” however, we are still a “smaller reporting company,” and the reduced disclosure requirements applicable to smaller reporting companies may make our common stock less attractive to investors.</w:t>
      </w:r>
    </w:p>
    <w:p>
      <w:pPr>
        <w:spacing w:after="0" w:line="121" w:lineRule="exact"/>
        <w:rPr>
          <w:rFonts w:ascii="Times New Roman" w:cs="Times New Roman" w:eastAsia="Times New Roman" w:hAnsi="Times New Roman"/>
          <w:sz w:val="18"/>
          <w:szCs w:val="18"/>
          <w:color w:val="auto"/>
        </w:rPr>
      </w:pPr>
    </w:p>
    <w:p>
      <w:pPr>
        <w:ind w:left="507" w:hanging="507"/>
        <w:spacing w:after="0" w:line="266"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5"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intend to pay dividends on our common stock.</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which makes our future results uncertain.</w:t>
      </w:r>
    </w:p>
    <w:p>
      <w:pPr>
        <w:spacing w:after="0" w:line="184" w:lineRule="exact"/>
        <w:rPr>
          <w:rFonts w:ascii="Times New Roman" w:cs="Times New Roman" w:eastAsia="Times New Roman" w:hAnsi="Times New Roman"/>
          <w:sz w:val="18"/>
          <w:szCs w:val="18"/>
          <w:color w:val="auto"/>
        </w:rPr>
      </w:pPr>
    </w:p>
    <w:p>
      <w:pPr>
        <w:ind w:left="507" w:right="12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any future reporting obligations in connection with environmental issues, may adversely impact our business and operations.</w:t>
      </w:r>
    </w:p>
    <w:p>
      <w:pPr>
        <w:spacing w:after="0" w:line="121" w:lineRule="exact"/>
        <w:rPr>
          <w:rFonts w:ascii="Times New Roman" w:cs="Times New Roman" w:eastAsia="Times New Roman" w:hAnsi="Times New Roman"/>
          <w:sz w:val="18"/>
          <w:szCs w:val="18"/>
          <w:color w:val="auto"/>
        </w:rPr>
      </w:pPr>
    </w:p>
    <w:p>
      <w:pPr>
        <w:ind w:left="507" w:right="2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strategic alliances and joint ventures to grow our business. If we are unable to develop and maintain these strategic alliances and joint ventures, our growth may be adversely affected.</w:t>
      </w:r>
    </w:p>
    <w:p>
      <w:pPr>
        <w:spacing w:after="0" w:line="134" w:lineRule="exact"/>
        <w:rPr>
          <w:rFonts w:ascii="Times New Roman" w:cs="Times New Roman" w:eastAsia="Times New Roman" w:hAnsi="Times New Roman"/>
          <w:sz w:val="18"/>
          <w:szCs w:val="18"/>
          <w:color w:val="auto"/>
        </w:rPr>
      </w:pPr>
    </w:p>
    <w:p>
      <w:pPr>
        <w:ind w:left="507" w:right="60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any future acquisitions, we will be subject to the risks inherent in identifying, acquiring, and operating a newly acquired business.</w:t>
      </w:r>
    </w:p>
    <w:p>
      <w:pPr>
        <w:spacing w:after="0" w:line="121" w:lineRule="exact"/>
        <w:rPr>
          <w:rFonts w:ascii="Times New Roman" w:cs="Times New Roman" w:eastAsia="Times New Roman" w:hAnsi="Times New Roman"/>
          <w:sz w:val="18"/>
          <w:szCs w:val="18"/>
          <w:color w:val="auto"/>
        </w:rPr>
      </w:pPr>
    </w:p>
    <w:p>
      <w:pPr>
        <w:ind w:left="507" w:right="14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key customers may be materially diminished or terminated, which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the services of key personnel, it could adversely affect our business.</w:t>
      </w:r>
    </w:p>
    <w:p>
      <w:pPr>
        <w:spacing w:after="0" w:line="198" w:lineRule="exact"/>
        <w:rPr>
          <w:rFonts w:ascii="Times New Roman" w:cs="Times New Roman" w:eastAsia="Times New Roman" w:hAnsi="Times New Roman"/>
          <w:sz w:val="18"/>
          <w:szCs w:val="18"/>
          <w:color w:val="auto"/>
        </w:rPr>
      </w:pPr>
    </w:p>
    <w:p>
      <w:pPr>
        <w:ind w:left="507" w:right="76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access to data sources which could prevent us from providing our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adequately protect our intellectual property in order to prevent loss of valuable proprietary information.</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both start-up and established companies that may have significant advantages over us and our products.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further consolidation in our end-customer markets, which may adversely affect our revenue.</w:t>
      </w:r>
    </w:p>
    <w:p>
      <w:pPr>
        <w:spacing w:after="0" w:line="184" w:lineRule="exact"/>
        <w:rPr>
          <w:rFonts w:ascii="Times New Roman" w:cs="Times New Roman" w:eastAsia="Times New Roman" w:hAnsi="Times New Roman"/>
          <w:sz w:val="18"/>
          <w:szCs w:val="18"/>
          <w:color w:val="auto"/>
        </w:rPr>
      </w:pPr>
    </w:p>
    <w:p>
      <w:pPr>
        <w:ind w:left="507"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availability of free or relatively inexpensive consumer and/or business information increases, the demand for some of our services may decrease.</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newer products do not achieve market acceptance, revenue growth may suffer.</w:t>
      </w:r>
    </w:p>
    <w:p>
      <w:pPr>
        <w:spacing w:after="0" w:line="184" w:lineRule="exact"/>
        <w:rPr>
          <w:rFonts w:ascii="Times New Roman" w:cs="Times New Roman" w:eastAsia="Times New Roman" w:hAnsi="Times New Roman"/>
          <w:sz w:val="18"/>
          <w:szCs w:val="18"/>
          <w:color w:val="auto"/>
        </w:rPr>
      </w:pPr>
    </w:p>
    <w:p>
      <w:pPr>
        <w:ind w:left="507" w:right="4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can have long sales and implementation cycles, which may result in substantial expenses before realizing any associated revenue.</w:t>
      </w:r>
    </w:p>
    <w:p>
      <w:pPr>
        <w:spacing w:after="0" w:line="121" w:lineRule="exact"/>
        <w:rPr>
          <w:rFonts w:ascii="Times New Roman" w:cs="Times New Roman" w:eastAsia="Times New Roman" w:hAnsi="Times New Roman"/>
          <w:sz w:val="18"/>
          <w:szCs w:val="18"/>
          <w:color w:val="auto"/>
        </w:rPr>
      </w:pPr>
    </w:p>
    <w:p>
      <w:pPr>
        <w:ind w:left="507" w:right="60" w:hanging="507"/>
        <w:spacing w:after="0" w:line="282" w:lineRule="auto"/>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outside service providers and key vendors are not able to or do not fulfill their service obligations, our operations could be disrupted and our operating results could be harmed.</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data and analytics sector may limit market acceptance of our products and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defending against claims of infringement.</w:t>
      </w:r>
    </w:p>
    <w:p>
      <w:pPr>
        <w:spacing w:after="0" w:line="22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621665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373" w:top="1377" w:right="399" w:bottom="1440" w:gutter="0" w:footer="0" w:header="0"/>
        </w:sectPr>
      </w:pPr>
    </w:p>
    <w:bookmarkStart w:id="38" w:name="page39"/>
    <w:bookmarkEnd w:id="3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otherwise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2023.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(the "COSO") of the Treadway Commission in Internal Control-Integrated Framework (2013).</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Management concluded that the Company’s internal control over financial reporting (as defined in Rules 13a-15(f) and 15d-15(f) of the Exchange Act) was effective as of December 31, 2023, based on criteria in Internal Control-Integrated Framework (2013) issued by the COSO.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last fiscal quarter of 2023 that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5, 2024, the Company and Jeffrey Dell, Chief Information Officer, entered into an amendment to his Employment Agreement dated April 9, 2019 and as amended on November 9, 2020 and May 8, 2023 (collectively, the “Dell Employment Agreement”), to provide that if the Company terminates the Dell Employment Agreement without cause or any successor of the Company refuses to accept assignment of the Dell Employment Agreement or if Mr. Dell terminates the Dell Employment Agreement and employment with the Company for Good Reason (as defined in the Dell Employment Agreement), the Company shall pay to Mr. Dell the greater of (x) his base salary for the remainder of the term and (y) two (2) years of his base salary, in each case in accordance with the Company’s payroll practices in effect from time to time, provided, however, Mr. Dell is not in violation of the Confidentiality, Nondisclosure, Noncompetition, Nonsolicitation and Nondisparagement Agreement entered into in connection the Dell Employment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to be filed with the SEC within 120 days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to be filed with the SEC within 120 days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to be filed with the SEC within 120 days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to be filed with the SEC within 120 days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to be filed with the SEC within 120 days of December 31, 2023.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198"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in Item 8 of this 2023 Form 10-K.</w:t>
      </w:r>
    </w:p>
    <w:p>
      <w:pPr>
        <w:spacing w:after="0" w:line="184"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information required by this item is included in the consolidated financial statements contained in Item 8 of this 2023 Form 10-K.</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2023 Form 10-K.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58"/>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13"/>
                <w:szCs w:val="13"/>
                <w:color w:val="auto"/>
              </w:rPr>
            </w:pPr>
          </w:p>
        </w:tc>
        <w:tc>
          <w:tcPr>
            <w:tcW w:w="4840" w:type="dxa"/>
            <w:vAlign w:val="bottom"/>
            <w:gridSpan w:val="40"/>
          </w:tcPr>
          <w:p>
            <w:pPr>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0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3"/>
                <w:szCs w:val="13"/>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3"/>
                <w:szCs w:val="13"/>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3"/>
                <w:szCs w:val="13"/>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4720" w:type="dxa"/>
            <w:vAlign w:val="bottom"/>
            <w:tcBorders>
              <w:top w:val="single" w:sz="8" w:color="auto"/>
            </w:tcBorders>
            <w:gridSpan w:val="39"/>
          </w:tcPr>
          <w:p>
            <w:pPr>
              <w:spacing w:after="0" w:line="14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Separation and Distribution Agreement by and between Cogint, Inc. and Red</w:t>
              </w:r>
            </w:hyperlink>
          </w:p>
        </w:tc>
        <w:tc>
          <w:tcPr>
            <w:tcW w:w="120" w:type="dxa"/>
            <w:vAlign w:val="bottom"/>
          </w:tcPr>
          <w:p>
            <w:pPr>
              <w:spacing w:after="0"/>
              <w:rPr>
                <w:sz w:val="12"/>
                <w:szCs w:val="12"/>
                <w:color w:val="auto"/>
              </w:rPr>
            </w:pPr>
          </w:p>
        </w:tc>
        <w:tc>
          <w:tcPr>
            <w:tcW w:w="10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Form 10</w:t>
            </w:r>
          </w:p>
        </w:tc>
        <w:tc>
          <w:tcPr>
            <w:tcW w:w="120" w:type="dxa"/>
            <w:vAlign w:val="bottom"/>
          </w:tcPr>
          <w:p>
            <w:pPr>
              <w:spacing w:after="0"/>
              <w:rPr>
                <w:sz w:val="12"/>
                <w:szCs w:val="12"/>
                <w:color w:val="auto"/>
              </w:rPr>
            </w:pPr>
          </w:p>
        </w:tc>
        <w:tc>
          <w:tcPr>
            <w:tcW w:w="10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001-38407</w:t>
            </w:r>
          </w:p>
        </w:tc>
        <w:tc>
          <w:tcPr>
            <w:tcW w:w="100" w:type="dxa"/>
            <w:vAlign w:val="bottom"/>
          </w:tcPr>
          <w:p>
            <w:pPr>
              <w:spacing w:after="0"/>
              <w:rPr>
                <w:sz w:val="12"/>
                <w:szCs w:val="12"/>
                <w:color w:val="auto"/>
              </w:rPr>
            </w:pPr>
          </w:p>
        </w:tc>
        <w:tc>
          <w:tcPr>
            <w:tcW w:w="10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February 28, 2018</w:t>
            </w: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1"/>
                <w:szCs w:val="11"/>
                <w:color w:val="auto"/>
              </w:rPr>
            </w:pPr>
          </w:p>
        </w:tc>
        <w:tc>
          <w:tcPr>
            <w:tcW w:w="218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Violet, Inc., dated February 27, 2018.</w:t>
              </w:r>
            </w:hyperlink>
          </w:p>
        </w:tc>
        <w:tc>
          <w:tcPr>
            <w:tcW w:w="230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tcBorders>
              <w:bottom w:val="single" w:sz="8" w:color="0000FF"/>
            </w:tcBorders>
            <w:gridSpan w:val="25"/>
          </w:tcPr>
          <w:p>
            <w:pPr>
              <w:spacing w:after="0" w:line="155"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Amended and Restated Certificate of Incorporation of Red Violet, Inc.</w:t>
              </w:r>
            </w:hyperlink>
          </w:p>
        </w:tc>
        <w:tc>
          <w:tcPr>
            <w:tcW w:w="780" w:type="dxa"/>
            <w:vAlign w:val="bottom"/>
            <w:gridSpan w:val="15"/>
          </w:tcPr>
          <w:p>
            <w:pPr>
              <w:spacing w:after="0"/>
              <w:rPr>
                <w:sz w:val="13"/>
                <w:szCs w:val="13"/>
                <w:color w:val="auto"/>
              </w:rPr>
            </w:pPr>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3"/>
                <w:szCs w:val="13"/>
                <w:color w:val="auto"/>
              </w:rPr>
            </w:pPr>
          </w:p>
        </w:tc>
        <w:tc>
          <w:tcPr>
            <w:tcW w:w="2920" w:type="dxa"/>
            <w:vAlign w:val="bottom"/>
            <w:tcBorders>
              <w:bottom w:val="single" w:sz="8" w:color="0000FF"/>
            </w:tcBorders>
            <w:gridSpan w:val="20"/>
          </w:tcPr>
          <w:p>
            <w:pPr>
              <w:spacing w:after="0" w:line="155"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Amended and Restated Bylaws of Red Violet, Inc.</w:t>
              </w:r>
            </w:hyperlink>
          </w:p>
        </w:tc>
        <w:tc>
          <w:tcPr>
            <w:tcW w:w="1920" w:type="dxa"/>
            <w:vAlign w:val="bottom"/>
            <w:gridSpan w:val="20"/>
          </w:tcPr>
          <w:p>
            <w:pPr>
              <w:spacing w:after="0"/>
              <w:rPr>
                <w:sz w:val="13"/>
                <w:szCs w:val="13"/>
                <w:color w:val="auto"/>
              </w:rPr>
            </w:pPr>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Description of Registrant's Securities.</w:t>
              </w:r>
            </w:hyperlink>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March 12, 2020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Form 10</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February 28, 2018</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Form of Restricted Stock Unit Agreement Pursuant to the Red Violet, Inc. 2018</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Stock Incentive Plan.</w:t>
              </w:r>
            </w:hyperlink>
          </w:p>
        </w:tc>
        <w:tc>
          <w:tcPr>
            <w:tcW w:w="20" w:type="dxa"/>
            <w:vAlign w:val="bottom"/>
            <w:tcBorders>
              <w:top w:val="single" w:sz="8" w:color="0000FF"/>
              <w:bottom w:val="single" w:sz="8" w:color="0000EE"/>
            </w:tcBorders>
          </w:tcPr>
          <w:p>
            <w:pPr>
              <w:spacing w:after="0"/>
              <w:rPr>
                <w:sz w:val="11"/>
                <w:szCs w:val="11"/>
                <w:color w:val="auto"/>
              </w:rPr>
            </w:pPr>
          </w:p>
        </w:tc>
        <w:tc>
          <w:tcPr>
            <w:tcW w:w="336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Employment Agreement, dated March 26, 2018, by and between Red Violet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1"/>
                <w:szCs w:val="11"/>
                <w:color w:val="auto"/>
              </w:rPr>
            </w:pPr>
          </w:p>
        </w:tc>
        <w:tc>
          <w:tcPr>
            <w:tcW w:w="468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Derek Dubner.</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Employment Agreement, dated March 26, 2018, by and between Red Violet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1"/>
                <w:szCs w:val="11"/>
                <w:color w:val="auto"/>
              </w:rPr>
            </w:pPr>
          </w:p>
        </w:tc>
        <w:tc>
          <w:tcPr>
            <w:tcW w:w="860" w:type="dxa"/>
            <w:vAlign w:val="bottom"/>
            <w:tcBorders>
              <w:top w:val="single" w:sz="8" w:color="0000FF"/>
              <w:bottom w:val="single" w:sz="8" w:color="0000EE"/>
            </w:tcBorders>
            <w:gridSpan w:val="3"/>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James Reilly.</w:t>
              </w:r>
            </w:hyperlink>
          </w:p>
        </w:tc>
        <w:tc>
          <w:tcPr>
            <w:tcW w:w="3820" w:type="dxa"/>
            <w:vAlign w:val="bottom"/>
            <w:tcBorders>
              <w:top w:val="single" w:sz="8" w:color="0000FF"/>
            </w:tcBorders>
            <w:gridSpan w:val="34"/>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Employment Agreement, dated March 26, 2018, by and between Red Violet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1"/>
                <w:szCs w:val="11"/>
                <w:color w:val="auto"/>
              </w:rPr>
            </w:pPr>
          </w:p>
        </w:tc>
        <w:tc>
          <w:tcPr>
            <w:tcW w:w="104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Dan MacLachlan.</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tcBorders>
              <w:bottom w:val="single" w:sz="8" w:color="0000EE"/>
            </w:tcBorders>
            <w:gridSpan w:val="15"/>
          </w:tcPr>
          <w:p>
            <w:pPr>
              <w:spacing w:after="0" w:line="155"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Red Violet, Inc. 2018 Stock Incentive Plan.</w:t>
              </w:r>
            </w:hyperlink>
          </w:p>
        </w:tc>
        <w:tc>
          <w:tcPr>
            <w:tcW w:w="2300" w:type="dxa"/>
            <w:vAlign w:val="bottom"/>
            <w:gridSpan w:val="25"/>
          </w:tcPr>
          <w:p>
            <w:pPr>
              <w:spacing w:after="0"/>
              <w:rPr>
                <w:sz w:val="13"/>
                <w:szCs w:val="13"/>
                <w:color w:val="auto"/>
              </w:rPr>
            </w:pPr>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3"/>
                <w:szCs w:val="13"/>
                <w:color w:val="auto"/>
              </w:rPr>
            </w:pPr>
          </w:p>
        </w:tc>
        <w:tc>
          <w:tcPr>
            <w:tcW w:w="2180" w:type="dxa"/>
            <w:vAlign w:val="bottom"/>
            <w:tcBorders>
              <w:bottom w:val="single" w:sz="8" w:color="0000FF"/>
            </w:tcBorders>
            <w:gridSpan w:val="11"/>
          </w:tcPr>
          <w:p>
            <w:pPr>
              <w:spacing w:after="0" w:line="155"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Form of Indemnification Agreement.</w:t>
              </w:r>
            </w:hyperlink>
          </w:p>
        </w:tc>
        <w:tc>
          <w:tcPr>
            <w:tcW w:w="2660" w:type="dxa"/>
            <w:vAlign w:val="bottom"/>
            <w:gridSpan w:val="29"/>
          </w:tcPr>
          <w:p>
            <w:pPr>
              <w:spacing w:after="0"/>
              <w:rPr>
                <w:sz w:val="13"/>
                <w:szCs w:val="13"/>
                <w:color w:val="auto"/>
              </w:rPr>
            </w:pPr>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Executive Chairman Services Agreement, effective as of August 7, 2018, by and</w:t>
              </w:r>
            </w:hyperlink>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August 8, 2018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1"/>
                <w:szCs w:val="11"/>
                <w:color w:val="auto"/>
              </w:rPr>
            </w:pPr>
          </w:p>
        </w:tc>
        <w:tc>
          <w:tcPr>
            <w:tcW w:w="470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between Red Violet, Inc. and Michael Brauser.</w:t>
              </w:r>
            </w:hyperlink>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Form of 2018 Time- and Performance-Based Restricted Stock Unit Award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Agreement.</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5, 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Employment Agreement between Red Violet, Inc. and Jeffrey Dell entered into</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1"/>
                <w:szCs w:val="11"/>
                <w:color w:val="auto"/>
              </w:rPr>
            </w:pPr>
          </w:p>
        </w:tc>
        <w:tc>
          <w:tcPr>
            <w:tcW w:w="460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on April 9, 2019.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12, 2020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Form of 2019 Time- and Performance-Based Restricted Stock Unit Award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Agreement.</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June 4, 2020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Borders>
              <w:bottom w:val="single" w:sz="8" w:color="0000FF"/>
            </w:tcBorders>
            <w:gridSpan w:val="21"/>
          </w:tcPr>
          <w:p>
            <w:pPr>
              <w:spacing w:after="0" w:line="155"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Amendment to Red Violet, Inc. 2018 Stock Incentive Plan.</w:t>
              </w:r>
            </w:hyperlink>
          </w:p>
        </w:tc>
        <w:tc>
          <w:tcPr>
            <w:tcW w:w="20" w:type="dxa"/>
            <w:vAlign w:val="bottom"/>
            <w:tcBorders>
              <w:bottom w:val="single" w:sz="8" w:color="0000EE"/>
            </w:tcBorders>
          </w:tcPr>
          <w:p>
            <w:pPr>
              <w:spacing w:after="0"/>
              <w:rPr>
                <w:sz w:val="13"/>
                <w:szCs w:val="13"/>
                <w:color w:val="auto"/>
              </w:rPr>
            </w:pPr>
          </w:p>
        </w:tc>
        <w:tc>
          <w:tcPr>
            <w:tcW w:w="1420" w:type="dxa"/>
            <w:vAlign w:val="bottom"/>
            <w:gridSpan w:val="18"/>
          </w:tcPr>
          <w:p>
            <w:pPr>
              <w:spacing w:after="0"/>
              <w:rPr>
                <w:sz w:val="13"/>
                <w:szCs w:val="13"/>
                <w:color w:val="auto"/>
              </w:rPr>
            </w:pPr>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Separation Agreement dated February 16, 2021 by and between Red Violet, Inc.</w:t>
              </w:r>
            </w:hyperlink>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February 17, 2021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Pr>
          <w:p>
            <w:pPr>
              <w:spacing w:after="0"/>
              <w:rPr>
                <w:sz w:val="11"/>
                <w:szCs w:val="11"/>
                <w:color w:val="auto"/>
              </w:rPr>
            </w:pPr>
          </w:p>
        </w:tc>
        <w:tc>
          <w:tcPr>
            <w:tcW w:w="466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and Michael Brauser.</w:t>
              </w:r>
            </w:hyperlink>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7"/>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11"/>
                <w:szCs w:val="11"/>
                <w:color w:val="auto"/>
              </w:rPr>
            </w:pPr>
          </w:p>
        </w:tc>
        <w:tc>
          <w:tcPr>
            <w:tcW w:w="256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between Red Violet, Inc. and Derek Dubner.</w:t>
              </w:r>
            </w:hyperlink>
          </w:p>
        </w:tc>
        <w:tc>
          <w:tcPr>
            <w:tcW w:w="1980" w:type="dxa"/>
            <w:vAlign w:val="bottom"/>
            <w:tcBorders>
              <w:top w:val="single" w:sz="8" w:color="0000FF"/>
            </w:tcBorders>
            <w:gridSpan w:val="16"/>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between Red Violet, Inc. and James Reilly.</w:t>
              </w:r>
            </w:hyperlink>
          </w:p>
        </w:tc>
        <w:tc>
          <w:tcPr>
            <w:tcW w:w="20" w:type="dxa"/>
            <w:vAlign w:val="bottom"/>
            <w:tcBorders>
              <w:top w:val="single" w:sz="8" w:color="0000FF"/>
              <w:bottom w:val="single" w:sz="8" w:color="0000EE"/>
            </w:tcBorders>
          </w:tcPr>
          <w:p>
            <w:pPr>
              <w:spacing w:after="0"/>
              <w:rPr>
                <w:sz w:val="11"/>
                <w:szCs w:val="11"/>
                <w:color w:val="auto"/>
              </w:rPr>
            </w:pPr>
          </w:p>
        </w:tc>
        <w:tc>
          <w:tcPr>
            <w:tcW w:w="2040" w:type="dxa"/>
            <w:vAlign w:val="bottom"/>
            <w:tcBorders>
              <w:top w:val="single" w:sz="8" w:color="0000FF"/>
            </w:tcBorders>
            <w:gridSpan w:val="18"/>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between Red Violet, Inc. and Daniel MacLachlan.</w:t>
              </w:r>
            </w:hyperlink>
          </w:p>
        </w:tc>
        <w:tc>
          <w:tcPr>
            <w:tcW w:w="20" w:type="dxa"/>
            <w:vAlign w:val="bottom"/>
            <w:tcBorders>
              <w:top w:val="single" w:sz="8" w:color="0000FF"/>
              <w:bottom w:val="single" w:sz="8" w:color="0000EE"/>
            </w:tcBorders>
          </w:tcPr>
          <w:p>
            <w:pPr>
              <w:spacing w:after="0"/>
              <w:rPr>
                <w:sz w:val="11"/>
                <w:szCs w:val="11"/>
                <w:color w:val="auto"/>
              </w:rPr>
            </w:pPr>
          </w:p>
        </w:tc>
        <w:tc>
          <w:tcPr>
            <w:tcW w:w="1640" w:type="dxa"/>
            <w:vAlign w:val="bottom"/>
            <w:tcBorders>
              <w:top w:val="single" w:sz="8" w:color="0000FF"/>
            </w:tcBorders>
            <w:gridSpan w:val="13"/>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11"/>
                <w:szCs w:val="11"/>
                <w:color w:val="auto"/>
              </w:rPr>
            </w:pPr>
          </w:p>
        </w:tc>
        <w:tc>
          <w:tcPr>
            <w:tcW w:w="454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between Red Violet, Inc. and Jeffrey Dell.</w:t>
              </w:r>
            </w:hyperlink>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19, 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bottom w:val="single" w:sz="8" w:color="0000FF"/>
            </w:tcBorders>
            <w:gridSpan w:val="26"/>
          </w:tcPr>
          <w:p>
            <w:pPr>
              <w:spacing w:after="0" w:line="155"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Form of Securities Purchase Agreement, dated as of November 19, 2021.</w:t>
              </w:r>
            </w:hyperlink>
          </w:p>
        </w:tc>
        <w:tc>
          <w:tcPr>
            <w:tcW w:w="620" w:type="dxa"/>
            <w:vAlign w:val="bottom"/>
            <w:gridSpan w:val="14"/>
          </w:tcPr>
          <w:p>
            <w:pPr>
              <w:spacing w:after="0"/>
              <w:rPr>
                <w:sz w:val="13"/>
                <w:szCs w:val="13"/>
                <w:color w:val="auto"/>
              </w:rPr>
            </w:pPr>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3"/>
                <w:szCs w:val="13"/>
                <w:color w:val="auto"/>
              </w:rPr>
            </w:pPr>
          </w:p>
        </w:tc>
        <w:tc>
          <w:tcPr>
            <w:tcW w:w="3400" w:type="dxa"/>
            <w:vAlign w:val="bottom"/>
            <w:tcBorders>
              <w:bottom w:val="single" w:sz="8" w:color="0000FF"/>
            </w:tcBorders>
            <w:gridSpan w:val="21"/>
          </w:tcPr>
          <w:p>
            <w:pPr>
              <w:spacing w:after="0" w:line="155"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Amendment to Red Violet, Inc. 2018 Stock Incentive Plan.</w:t>
              </w:r>
            </w:hyperlink>
          </w:p>
        </w:tc>
        <w:tc>
          <w:tcPr>
            <w:tcW w:w="20" w:type="dxa"/>
            <w:vAlign w:val="bottom"/>
            <w:tcBorders>
              <w:bottom w:val="single" w:sz="8" w:color="0000EE"/>
            </w:tcBorders>
          </w:tcPr>
          <w:p>
            <w:pPr>
              <w:spacing w:after="0"/>
              <w:rPr>
                <w:sz w:val="13"/>
                <w:szCs w:val="13"/>
                <w:color w:val="auto"/>
              </w:rPr>
            </w:pPr>
          </w:p>
        </w:tc>
        <w:tc>
          <w:tcPr>
            <w:tcW w:w="1420" w:type="dxa"/>
            <w:vAlign w:val="bottom"/>
            <w:gridSpan w:val="18"/>
          </w:tcPr>
          <w:p>
            <w:pPr>
              <w:spacing w:after="0"/>
              <w:rPr>
                <w:sz w:val="13"/>
                <w:szCs w:val="13"/>
                <w:color w:val="auto"/>
              </w:rPr>
            </w:pPr>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May 26, 2022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Second Amendment to Employment Agreement dated May 8, 2023 by and</w:t>
              </w:r>
            </w:hyperlink>
          </w:p>
        </w:tc>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August 7, 2023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1"/>
                <w:szCs w:val="11"/>
                <w:color w:val="auto"/>
              </w:rPr>
            </w:pPr>
          </w:p>
        </w:tc>
        <w:tc>
          <w:tcPr>
            <w:tcW w:w="256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between Red Violet, Inc. and Derek Dubner.</w:t>
              </w:r>
            </w:hyperlink>
          </w:p>
        </w:tc>
        <w:tc>
          <w:tcPr>
            <w:tcW w:w="1780" w:type="dxa"/>
            <w:vAlign w:val="bottom"/>
            <w:tcBorders>
              <w:top w:val="single" w:sz="8" w:color="0000FF"/>
            </w:tcBorders>
            <w:gridSpan w:val="12"/>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Second Amendment to Employment Agreement dated May 8, 2023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between Red Violet, Inc. and James Reilly.</w:t>
              </w:r>
            </w:hyperlink>
          </w:p>
        </w:tc>
        <w:tc>
          <w:tcPr>
            <w:tcW w:w="20" w:type="dxa"/>
            <w:vAlign w:val="bottom"/>
            <w:tcBorders>
              <w:top w:val="single" w:sz="8" w:color="0000FF"/>
              <w:bottom w:val="single" w:sz="8" w:color="0000EE"/>
            </w:tcBorders>
          </w:tcPr>
          <w:p>
            <w:pPr>
              <w:spacing w:after="0"/>
              <w:rPr>
                <w:sz w:val="11"/>
                <w:szCs w:val="11"/>
                <w:color w:val="auto"/>
              </w:rPr>
            </w:pPr>
          </w:p>
        </w:tc>
        <w:tc>
          <w:tcPr>
            <w:tcW w:w="1840" w:type="dxa"/>
            <w:vAlign w:val="bottom"/>
            <w:tcBorders>
              <w:top w:val="single" w:sz="8" w:color="0000FF"/>
            </w:tcBorders>
            <w:gridSpan w:val="14"/>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Second Amendment to Employment Agreement dated May 8, 2023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between Red Violet, Inc. and Daniel MacLachlan.</w:t>
              </w:r>
            </w:hyperlink>
          </w:p>
        </w:tc>
        <w:tc>
          <w:tcPr>
            <w:tcW w:w="20" w:type="dxa"/>
            <w:vAlign w:val="bottom"/>
            <w:tcBorders>
              <w:top w:val="single" w:sz="8" w:color="0000FF"/>
              <w:bottom w:val="single" w:sz="8" w:color="0000EE"/>
            </w:tcBorders>
          </w:tcPr>
          <w:p>
            <w:pPr>
              <w:spacing w:after="0"/>
              <w:rPr>
                <w:sz w:val="11"/>
                <w:szCs w:val="11"/>
                <w:color w:val="auto"/>
              </w:rPr>
            </w:pPr>
          </w:p>
        </w:tc>
        <w:tc>
          <w:tcPr>
            <w:tcW w:w="1440" w:type="dxa"/>
            <w:vAlign w:val="bottom"/>
            <w:tcBorders>
              <w:top w:val="single" w:sz="8" w:color="0000FF"/>
            </w:tcBorders>
            <w:gridSpan w:val="9"/>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Second Amendment to Employment Agreement dated May 8, 2023 by and</w:t>
              </w:r>
            </w:hyperlink>
          </w:p>
        </w:tc>
        <w:tc>
          <w:tcPr>
            <w:tcW w:w="10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1"/>
                <w:szCs w:val="11"/>
                <w:color w:val="auto"/>
              </w:rPr>
            </w:pPr>
          </w:p>
        </w:tc>
        <w:tc>
          <w:tcPr>
            <w:tcW w:w="434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between Red Violet, Inc. and Jeffrey Dell.</w:t>
              </w:r>
            </w:hyperlink>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4"/>
                <w:szCs w:val="14"/>
                <w:color w:val="0000FF"/>
              </w:rPr>
              <w:t>Subsidiaries of Red Violet, Inc.</w:t>
            </w:r>
          </w:p>
        </w:tc>
        <w:tc>
          <w:tcPr>
            <w:tcW w:w="2400" w:type="dxa"/>
            <w:vAlign w:val="bottom"/>
            <w:gridSpan w:val="28"/>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line="20" w:lineRule="exact"/>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Borders>
              <w:bottom w:val="single" w:sz="8" w:color="0000FF"/>
            </w:tcBorders>
            <w:gridSpan w:val="10"/>
          </w:tcPr>
          <w:p>
            <w:pPr>
              <w:spacing w:after="0" w:line="155" w:lineRule="exact"/>
              <w:rPr>
                <w:sz w:val="20"/>
                <w:szCs w:val="20"/>
                <w:color w:val="auto"/>
              </w:rPr>
            </w:pPr>
            <w:r>
              <w:rPr>
                <w:rFonts w:ascii="Times New Roman" w:cs="Times New Roman" w:eastAsia="Times New Roman" w:hAnsi="Times New Roman"/>
                <w:sz w:val="14"/>
                <w:szCs w:val="14"/>
                <w:color w:val="0000FF"/>
              </w:rPr>
              <w:t>Consent of Grant Thornton LLP.</w:t>
            </w:r>
          </w:p>
        </w:tc>
        <w:tc>
          <w:tcPr>
            <w:tcW w:w="2960" w:type="dxa"/>
            <w:vAlign w:val="bottom"/>
            <w:gridSpan w:val="30"/>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3"/>
                <w:szCs w:val="13"/>
                <w:color w:val="auto"/>
              </w:rPr>
            </w:pPr>
          </w:p>
        </w:tc>
        <w:tc>
          <w:tcPr>
            <w:tcW w:w="4840" w:type="dxa"/>
            <w:vAlign w:val="bottom"/>
            <w:gridSpan w:val="40"/>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120" w:type="dxa"/>
            <w:vAlign w:val="bottom"/>
            <w:tcBorders>
              <w:bottom w:val="single" w:sz="8" w:color="0000FF"/>
            </w:tcBorders>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1"/>
                <w:szCs w:val="11"/>
                <w:color w:val="auto"/>
              </w:rPr>
            </w:pPr>
          </w:p>
        </w:tc>
        <w:tc>
          <w:tcPr>
            <w:tcW w:w="464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2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40"/>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tcBorders>
              <w:top w:val="single" w:sz="8" w:color="0000FF"/>
              <w:bottom w:val="single" w:sz="8" w:color="0000EE"/>
            </w:tcBorders>
            <w:gridSpan w:val="24"/>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w:t>
            </w:r>
          </w:p>
        </w:tc>
        <w:tc>
          <w:tcPr>
            <w:tcW w:w="1000" w:type="dxa"/>
            <w:vAlign w:val="bottom"/>
            <w:tcBorders>
              <w:top w:val="single" w:sz="8" w:color="0000FF"/>
            </w:tcBorders>
            <w:gridSpan w:val="6"/>
          </w:tcPr>
          <w:p>
            <w:pPr>
              <w:spacing w:after="0"/>
              <w:rPr>
                <w:sz w:val="11"/>
                <w:szCs w:val="11"/>
                <w:color w:val="auto"/>
              </w:rPr>
            </w:pPr>
          </w:p>
        </w:tc>
        <w:tc>
          <w:tcPr>
            <w:tcW w:w="340" w:type="dxa"/>
            <w:vAlign w:val="bottom"/>
            <w:gridSpan w:val="10"/>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88"/>
        </w:trPr>
        <w:tc>
          <w:tcPr>
            <w:tcW w:w="1000" w:type="dxa"/>
            <w:vAlign w:val="bottom"/>
          </w:tcPr>
          <w:p>
            <w:pPr>
              <w:spacing w:after="0"/>
              <w:rPr>
                <w:sz w:val="16"/>
                <w:szCs w:val="16"/>
                <w:color w:val="auto"/>
              </w:rPr>
            </w:pPr>
          </w:p>
        </w:tc>
        <w:tc>
          <w:tcPr>
            <w:tcW w:w="7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of 1934 as adopted pursuant to Section 302 of the Sarbanes-Oxley Act of 2002.</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72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32.2*</w:t>
            </w:r>
          </w:p>
        </w:tc>
        <w:tc>
          <w:tcPr>
            <w:tcW w:w="394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60" w:type="dxa"/>
            <w:vAlign w:val="bottom"/>
            <w:tcBorders>
              <w:top w:val="single" w:sz="8" w:color="0000FF"/>
            </w:tcBorders>
            <w:gridSpan w:val="2"/>
          </w:tcPr>
          <w:p>
            <w:pPr>
              <w:spacing w:after="0"/>
              <w:rPr>
                <w:sz w:val="11"/>
                <w:szCs w:val="11"/>
                <w:color w:val="auto"/>
              </w:rPr>
            </w:pPr>
          </w:p>
        </w:tc>
        <w:tc>
          <w:tcPr>
            <w:tcW w:w="2640" w:type="dxa"/>
            <w:vAlign w:val="bottom"/>
          </w:tcPr>
          <w:p>
            <w:pPr>
              <w:spacing w:after="0"/>
              <w:rPr>
                <w:sz w:val="11"/>
                <w:szCs w:val="11"/>
                <w:color w:val="auto"/>
              </w:rPr>
            </w:pPr>
          </w:p>
        </w:tc>
        <w:tc>
          <w:tcPr>
            <w:tcW w:w="270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726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97.1</w:t>
            </w:r>
          </w:p>
        </w:tc>
        <w:tc>
          <w:tcPr>
            <w:tcW w:w="394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640" w:type="dxa"/>
            <w:vAlign w:val="bottom"/>
            <w:tcBorders>
              <w:top w:val="single" w:sz="8" w:color="0000FF"/>
            </w:tcBorders>
            <w:gridSpan w:val="2"/>
          </w:tcPr>
          <w:p>
            <w:pPr>
              <w:spacing w:after="0"/>
              <w:rPr>
                <w:sz w:val="11"/>
                <w:szCs w:val="11"/>
                <w:color w:val="auto"/>
              </w:rPr>
            </w:pPr>
          </w:p>
        </w:tc>
        <w:tc>
          <w:tcPr>
            <w:tcW w:w="2680" w:type="dxa"/>
            <w:vAlign w:val="bottom"/>
            <w:gridSpan w:val="2"/>
          </w:tcPr>
          <w:p>
            <w:pPr>
              <w:spacing w:after="0"/>
              <w:rPr>
                <w:sz w:val="11"/>
                <w:szCs w:val="11"/>
                <w:color w:val="auto"/>
              </w:rPr>
            </w:pPr>
          </w:p>
        </w:tc>
        <w:tc>
          <w:tcPr>
            <w:tcW w:w="270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726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0000FF"/>
              </w:rPr>
              <w:t>RedViolet, Inc. Clawback Policy</w:t>
            </w:r>
            <w:r>
              <w:rPr>
                <w:rFonts w:ascii="Times New Roman" w:cs="Times New Roman" w:eastAsia="Times New Roman" w:hAnsi="Times New Roman"/>
                <w:sz w:val="14"/>
                <w:szCs w:val="14"/>
                <w:color w:val="000000"/>
              </w:rPr>
              <w:t>.</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19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70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7260" w:type="dxa"/>
            <w:vAlign w:val="bottom"/>
            <w:gridSpan w:val="6"/>
          </w:tcPr>
          <w:p>
            <w:pPr>
              <w:spacing w:after="0" w:line="147"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72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7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72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2700" w:type="dxa"/>
            <w:vAlign w:val="bottom"/>
          </w:tcPr>
          <w:p>
            <w:pPr>
              <w:ind w:left="26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7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Documents.</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firstLine="8"/>
        <w:spacing w:after="0" w:line="261" w:lineRule="auto"/>
        <w:tabs>
          <w:tab w:leader="none" w:pos="10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this Item 16. The Company has elected not to include such summary information.</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0" w:right="5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310"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26035</wp:posOffset>
            </wp:positionV>
            <wp:extent cx="29057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26035</wp:posOffset>
            </wp:positionV>
            <wp:extent cx="29057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Derek Dubner</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Derek Dubner</w:t>
            </w:r>
          </w:p>
        </w:tc>
        <w:tc>
          <w:tcPr>
            <w:tcW w:w="60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MacLachlan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MacLachlan</w:t>
            </w:r>
          </w:p>
        </w:tc>
        <w:tc>
          <w:tcPr>
            <w:tcW w:w="60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Benz</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Benz</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D. Rubin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D. Rubin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Swayman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Swayman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Stanton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Stanton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Livek</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Livek</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805"/>
        </w:trPr>
        <w:tc>
          <w:tcPr>
            <w:tcW w:w="3760" w:type="dxa"/>
            <w:vAlign w:val="bottom"/>
          </w:tcPr>
          <w:p>
            <w:pPr>
              <w:spacing w:after="0"/>
              <w:rPr>
                <w:sz w:val="24"/>
                <w:szCs w:val="24"/>
                <w:color w:val="auto"/>
              </w:rPr>
            </w:pPr>
          </w:p>
        </w:tc>
        <w:tc>
          <w:tcPr>
            <w:tcW w:w="530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79"/>
        </w:trPr>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number: 248)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0"/>
        </w:trPr>
        <w:tc>
          <w:tcPr>
            <w:tcW w:w="40" w:type="dxa"/>
            <w:vAlign w:val="bottom"/>
          </w:tcPr>
          <w:p>
            <w:pPr>
              <w:spacing w:after="0"/>
              <w:rPr>
                <w:sz w:val="18"/>
                <w:szCs w:val="18"/>
                <w:color w:val="auto"/>
              </w:rPr>
            </w:pPr>
          </w:p>
        </w:tc>
        <w:tc>
          <w:tcPr>
            <w:tcW w:w="6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338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2023 and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9"/>
        </w:trPr>
        <w:tc>
          <w:tcPr>
            <w:tcW w:w="40" w:type="dxa"/>
            <w:vAlign w:val="bottom"/>
          </w:tcPr>
          <w:p>
            <w:pPr>
              <w:spacing w:after="0"/>
              <w:rPr>
                <w:sz w:val="18"/>
                <w:szCs w:val="18"/>
                <w:color w:val="auto"/>
              </w:rPr>
            </w:pPr>
          </w:p>
        </w:tc>
        <w:tc>
          <w:tcPr>
            <w:tcW w:w="7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1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10"/>
        </w:trPr>
        <w:tc>
          <w:tcPr>
            <w:tcW w:w="40" w:type="dxa"/>
            <w:vAlign w:val="bottom"/>
          </w:tcPr>
          <w:p>
            <w:pPr>
              <w:spacing w:after="0"/>
              <w:rPr>
                <w:sz w:val="18"/>
                <w:szCs w:val="18"/>
                <w:color w:val="auto"/>
              </w:rPr>
            </w:pPr>
          </w:p>
        </w:tc>
        <w:tc>
          <w:tcPr>
            <w:tcW w:w="6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40" w:type="dxa"/>
            <w:vAlign w:val="bottom"/>
            <w:gridSpan w:val="2"/>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884"/>
        </w:trPr>
        <w:tc>
          <w:tcPr>
            <w:tcW w:w="40" w:type="dxa"/>
            <w:vAlign w:val="bottom"/>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7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F-1</w:t>
            </w:r>
          </w:p>
        </w:tc>
        <w:tc>
          <w:tcPr>
            <w:tcW w:w="1820" w:type="dxa"/>
            <w:vAlign w:val="bottom"/>
          </w:tcPr>
          <w:p>
            <w:pPr>
              <w:spacing w:after="0"/>
              <w:rPr>
                <w:sz w:val="24"/>
                <w:szCs w:val="24"/>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Red Violet, Inc. (a Delaware corporation) and subsidiaries (the “Company”) as of December 31, 2023 and 2022, the related consolidated statements of operations,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$159 and $60 as of</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72"/>
        </w:trPr>
        <w:tc>
          <w:tcPr>
            <w:tcW w:w="77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20"/>
                <w:szCs w:val="20"/>
                <w:color w:val="auto"/>
              </w:rPr>
            </w:pPr>
          </w:p>
        </w:tc>
      </w:tr>
      <w:tr>
        <w:trPr>
          <w:trHeight w:val="247"/>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r>
      <w:tr>
        <w:trPr>
          <w:trHeight w:val="241"/>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2023 and 2022</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Common stock—$0.001 par value, 200,000,000 shares authorized, 13,980,274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13,956,404 shares issued, and 13,970,846 and 13,956,404 shares outstanding, as of</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5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9,428 and 0 shares as of December 31, 2023 and 2022</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(188 )</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100" w:type="dxa"/>
            <w:vAlign w:val="bottom"/>
          </w:tcPr>
          <w:p>
            <w:pPr>
              <w:spacing w:after="0"/>
              <w:rPr>
                <w:sz w:val="20"/>
                <w:szCs w:val="20"/>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(7,873 )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(21,402 )</w:t>
            </w:r>
          </w:p>
        </w:tc>
      </w:tr>
      <w:tr>
        <w:trPr>
          <w:trHeight w:val="239"/>
        </w:trPr>
        <w:tc>
          <w:tcPr>
            <w:tcW w:w="774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-4525645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-3274060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-3256915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-2322195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20"/>
                <w:szCs w:val="20"/>
                <w:color w:val="auto"/>
              </w:rPr>
            </w:pPr>
          </w:p>
        </w:tc>
      </w:tr>
      <w:tr>
        <w:trPr>
          <w:trHeight w:val="238"/>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r>
      <w:tr>
        <w:trPr>
          <w:trHeight w:val="241"/>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r>
      <w:tr>
        <w:trPr>
          <w:trHeight w:val="241"/>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(9,691 )</w:t>
            </w:r>
          </w:p>
        </w:tc>
        <w:tc>
          <w:tcPr>
            <w:tcW w:w="6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r>
      <w:tr>
        <w:trPr>
          <w:trHeight w:val="239"/>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300" w:type="dxa"/>
            <w:vAlign w:val="bottom"/>
            <w:tcBorders>
              <w:top w:val="single" w:sz="8" w:color="CFF0FC"/>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3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-1851025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-1533525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-1216660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-539115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-521970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-205105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2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4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13,488,540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(22,018 )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(252,346 )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(5,200 )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(5,200 )</w:t>
            </w: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(50,000 )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(878 )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(302,346 )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(6,078 )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13,956,404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2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(21,402 )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(99,234 )</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(1,992 )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(1,992 )</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(195,740 )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(3,755 )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(3,755 )</w:t>
            </w: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(285,546 )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285,546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(5,559 )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13,980,274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(9,428 )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(7,873 )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-1576705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-1576705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-1576705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-1576705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-1576705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-1576705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(9,801 )</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(2,688 )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(1,973 )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(598 )</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(641 )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Borders>
              <w:top w:val="single" w:sz="8" w:color="CFF0FC"/>
            </w:tcBorders>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(9,024 )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(8,456 )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(9,146 )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(8,829 )</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(1,992 )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(3,711 )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(878 )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(5,703 )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(6,078 )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(2,448 )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assets obtained in exchange of operating lease liabilities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-3011170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-3011170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-2376805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-2376805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-1742440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-1099820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-1082675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Principal activities</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Red Violet, Inc. (“red violet,” or the “Company”), a Delaware corporation, is a software and services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risk mitigation, due diligence, fraud detection and prevention, regulatory compliance, and customer acquisition. The Company’s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The Company drives workflow efficiency and enables organizations to make better data-driven decisions.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the Company’s differentiated information and innovative platform and solutions deliver identity intelligence – entities, relationships, affiliations, interactions, and events. The Company’s solutions are used today to enable frictionless commerce, to ensure safety, and to reduce fraud and the concomitant expense borne by society.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liquidity</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red violet in accordance with accounting principles generally accepted in the United States (“US GAAP”).</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reported net income of $13,529 and $616 for the years ended December 31, 2023 and 2022, respectively. Net cash provided by operating activities was $15,071 and $12,459 for the years ended December 31, 2023 and 2022, respectively. As of December 31, 2023, the Company had an accumulated deficit of $7,873.</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available cash and cash equivalents of $32,032, an increase of $222 from $31,810 as of December 31, 2022.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0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revenue recognition,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bank deposits with original maturities of three months or less, which are unrestricted as to withdrawal and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$32,032 and $31,810 as of December 31, 2023 and 2022, respectively.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Accounts receivable are due from customers and are generally unsecured, which consist of amounts earned but not yet collected. None of the Company’s accounts receivable bear interest. In some arrangements, a right to consideration for the Company's performance under the customer contract may occur before invoicing to the customer, resulting in an unbilled accounts receivable. As of December 31, 2023, the current and noncurrent portion unbilled accounts receivable of $829 and $371, respectively, were included within accounts receivable and other noncurrent assets, respectively, on the consolidated balance sheets. As of December 31, 2022, the current and noncurrent portion unbilled accounts receivable of $923 and $464, respectively, were included within accounts receivable and other noncurrent assets, respectively, on the consolidated balance sheets.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management’s best estimate of the amount of probable credit losses in the Company’s existing accounts receivable. Management determines the allowance based on reviews of various factors, including historical experience, the age of the accounts receivable balance, customer-specific facts, economic conditions, and other factors that may affect the Company's ability to collect from customers.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$159 and $60 as of December 31, 2023 and 2022, respectively, which was included within accounts receivable, net,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items of property and equipment are retired or otherwise disposed of, loss/income is charged or credited for the difference between the net book value and proceeds received thereon.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 other than goodwill</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 — Internal use software,”</w:t>
      </w:r>
      <w:r>
        <w:rPr>
          <w:rFonts w:ascii="Times New Roman" w:cs="Times New Roman" w:eastAsia="Times New Roman" w:hAnsi="Times New Roman"/>
          <w:sz w:val="18"/>
          <w:szCs w:val="18"/>
          <w:color w:val="auto"/>
        </w:rPr>
        <w:t xml:space="preserve"> the Company capitalizes eligible costs, including salaries and staff benefits, share-based compensation expense,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Goodwill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December 31, 2023 and 2022, the balance of goodwill of $5,227 was as a result of the acquisition of Interactive Data, LLC (“Interactive Data”), a wholly-owned subsidiary of red violet, effective on October 2, 2014.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w:t>
      </w:r>
    </w:p>
    <w:p>
      <w:pPr>
        <w:spacing w:after="0" w:line="14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measurement date of the Company’s annual goodwill impairment test is October 1. On October 1, 2023 and 2022, the Company performed qualitative assessments on the reporting unit and, based on this assessment, no events have occurred to indicate that it is more likely than not that the fair value of the reporting unit is less than its carry amount. The Company did not record a goodwill impairment loss during the years ended December 31, 2023 and 2022, and as of December 31, 2023, there was no accumulated goodwill impairment loss.</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Impairment of long-lived assets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 impairment loss of long-lived assets during the years ended December 31, 2023 and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Fair value of financial instruments</w:t>
      </w:r>
    </w:p>
    <w:p>
      <w:pPr>
        <w:spacing w:after="0" w:line="18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tiers include:</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and cash equivalents, receivables, and payables approximate their carrying amount because of the short-term nature of these instruments. The fair value of the noncurrent portion of unbilled accounts receivable included in other noncurrent assets approximates its carrying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3" w:name="page54"/>
    <w:bookmarkEnd w:id="53"/>
    <w:p>
      <w:pPr>
        <w:ind w:right="4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The Company’s revenue is recorded net of applicable sales taxes billed to customers.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The Company's revenue arrangements do not contain significant financing components.</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79% and 75% of total revenue was attributable to customers with pricing contracts, respectively, versus 21% and 25% attributable to transactional customers, respectively. Pricing contracts are generally annual contracts or longer, with auto renewal.</w:t>
      </w:r>
    </w:p>
    <w:p>
      <w:pPr>
        <w:spacing w:after="0" w:line="13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a customer pays consideration before the Company transfers services to the customer, those amounts are classified as deferred revenue. As of December 31, 2023 and 2022, the balance of deferred revenue was $690 and $670, respectively, all of which is expected to be realized in the next 12 months. In relation to the deferred revenue balance as of December 31, 2022, $670 was recognized into revenue during the year ended December 31, 2023.</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2023, $15,821 of revenue is expected to be recognized in the future for performance obligations that are unsatisfied or partially unsatisfied, related to pricing contracts that have a term of more than 12 months, of which $8,662 of revenue will be recognized in 2024, $4,610 in 2025, $1,710 in 2026, and $839 in 2027.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Cost of revenue (exclusive of depreciation and amortization)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Advertising and promotion costs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charged to operations as incurred. Advertising and promotion costs, included in sales and marketing expenses amounted to $541 and $261 for the years ended December 31, 2023 and 2022,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The Company accounts for forfeitures as they occur.</w:t>
      </w:r>
    </w:p>
    <w:p>
      <w:pPr>
        <w:spacing w:after="0" w:line="14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2023, the Company has achieved the performance-based criteria for all share-based awards with performance-based vesting criteria, except for the Criteria Four and Criteria Five awards, as defined in Note 10.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00"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 As of December 31, 2022, the Company had a full valuation allowance of $8,033. During the year ended December 31,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the deferred tax assets as of December 31, 2023 is more likely than not.</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periods. Diluted earnings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Contingencies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5" w:name="page56"/>
    <w:bookmarkEnd w:id="55"/>
    <w:p>
      <w:pPr>
        <w:ind w:right="8300" w:firstLine="8"/>
        <w:spacing w:after="0" w:line="464" w:lineRule="auto"/>
        <w:tabs>
          <w:tab w:leader="none" w:pos="2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concentrations and risks Concentration of credit risk</w:t>
      </w:r>
    </w:p>
    <w:p>
      <w:pPr>
        <w:ind w:right="360"/>
        <w:spacing w:after="0" w:line="258"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concentration of credit risk primarily consist of cash and cash equivalents, and accounts receivable. As of December 31, 2023 and 2022,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and 2022, no individual customer accounted for more than 10% of the total revenue.</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One individual customer accounted for 11% of the Company’s accounts receivable, net, as of December 31, 2023, and one individual customer accounted for 11% of the Company’s accounts receivable, net,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48% and 49% of the Company’s total data acquisition costs for the years ended December 31, 2023 and 2022, respectively. The amended and renewed term of the agreement with this supplier ends June 30, 2026. The Company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the Company and the Company may terminate this agreement by providing not less than 24 months’ advance written notice to this supplier. As of December 31, 2023, the remaining minimum purchase commitments through the end of the amended and renewed term is $13.4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5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among data suppliers, one data supplier accounted for 27% and 40% of the Company’s total accounts payable,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2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December 2023, the Financial Accounting Standard Board (the “FASB”) issued Accounting Standard Updates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 (ASU 2023-09)</w:t>
      </w:r>
      <w:r>
        <w:rPr>
          <w:rFonts w:ascii="Times New Roman" w:cs="Times New Roman" w:eastAsia="Times New Roman" w:hAnsi="Times New Roman"/>
          <w:sz w:val="18"/>
          <w:szCs w:val="18"/>
          <w:color w:val="auto"/>
        </w:rPr>
        <w:t>," which improves the transparency of income tax disclosures by requiring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its impact on our consolidated financial statements and related disclosures.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and 2022, the basic and diluted earnings per share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diluted weighted average shares outstanding are calculated by the inclusion of unvested restricted stock units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Borders>
              <w:top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81"/>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50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2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allowance for doubtful accounts is shown below:</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7"/>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500" w:type="dxa"/>
            <w:vAlign w:val="bottom"/>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(989 )</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1"/>
        </w:trPr>
        <w:tc>
          <w:tcPr>
            <w:tcW w:w="6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gridSpan w:val="4"/>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(1,375 )</w:t>
            </w:r>
          </w:p>
        </w:tc>
        <w:tc>
          <w:tcPr>
            <w:tcW w:w="1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(1,202 )</w:t>
            </w:r>
          </w:p>
        </w:tc>
        <w:tc>
          <w:tcPr>
            <w:tcW w:w="0" w:type="dxa"/>
            <w:vAlign w:val="bottom"/>
          </w:tcPr>
          <w:p>
            <w:pPr>
              <w:spacing w:after="0"/>
              <w:rPr>
                <w:sz w:val="1"/>
                <w:szCs w:val="1"/>
                <w:color w:val="auto"/>
              </w:rPr>
            </w:pPr>
          </w:p>
        </w:tc>
      </w:tr>
      <w:tr>
        <w:trPr>
          <w:trHeight w:val="236"/>
        </w:trPr>
        <w:tc>
          <w:tcPr>
            <w:tcW w:w="6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-3076575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-3059430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-1936750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-504825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of $233 and $235 was recorded for the years ended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3500" w:type="dxa"/>
            <w:vAlign w:val="bottom"/>
          </w:tcPr>
          <w:p>
            <w:pPr>
              <w:spacing w:after="0"/>
              <w:rPr>
                <w:sz w:val="12"/>
                <w:szCs w:val="12"/>
                <w:color w:val="auto"/>
              </w:rPr>
            </w:pPr>
          </w:p>
        </w:tc>
        <w:tc>
          <w:tcPr>
            <w:tcW w:w="12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4"/>
          </w:tcPr>
          <w:p>
            <w:pPr>
              <w:jc w:val="right"/>
              <w:ind w:right="5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5"/>
                <w:szCs w:val="15"/>
                <w:color w:val="auto"/>
              </w:rPr>
            </w:pPr>
          </w:p>
        </w:tc>
      </w:tr>
      <w:tr>
        <w:trPr>
          <w:trHeight w:val="25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5-10 years</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63,545</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(29,142 )  $</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6"/>
              </w:rPr>
              <w:t>34,403</w:t>
            </w:r>
          </w:p>
        </w:tc>
        <w:tc>
          <w:tcPr>
            <w:tcW w:w="1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52,678</w:t>
            </w:r>
          </w:p>
        </w:tc>
        <w:tc>
          <w:tcPr>
            <w:tcW w:w="4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(21,031 )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31,647</w:t>
            </w:r>
          </w:p>
        </w:tc>
        <w:tc>
          <w:tcPr>
            <w:tcW w:w="100" w:type="dxa"/>
            <w:vAlign w:val="bottom"/>
            <w:shd w:val="clear" w:color="auto" w:fill="CFF0FC"/>
          </w:tcPr>
          <w:p>
            <w:pPr>
              <w:spacing w:after="0"/>
              <w:rPr>
                <w:sz w:val="22"/>
                <w:szCs w:val="22"/>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F-13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3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-916305</wp:posOffset>
            </wp:positionV>
            <wp:extent cx="768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-899795</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-916305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-899795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-899795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-916305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-899795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-916305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-899795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447" w:gutter="0" w:footer="0" w:header="0"/>
        </w:sectPr>
      </w:pPr>
    </w:p>
    <w:bookmarkStart w:id="57" w:name="page58"/>
    <w:bookmarkEnd w:id="57"/>
    <w:p>
      <w:pPr>
        <w:ind w:right="460"/>
        <w:spacing w:after="0" w:line="282"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Amortization expenses of $8,119 and $6,440 were included in depreciation and amortization expense for the years ended December 31, 2023 and 2022, respectively. As of December 31, 2023, intangible assets of $5,287, included in the gross amounts of software developed for internal use, have not started amortization, as they are not ready for their intended use.</w:t>
      </w:r>
    </w:p>
    <w:p>
      <w:pPr>
        <w:spacing w:after="0" w:line="1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$10,875 and $10,077 during the years ended December 31, 2023 and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estimated amortization expenses related to the Company’s intangible assets for 2024 through 2029 and thereafter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0"/>
                <w:szCs w:val="20"/>
                <w:color w:val="auto"/>
              </w:rPr>
            </w:pPr>
          </w:p>
        </w:tc>
      </w:tr>
      <w:tr>
        <w:trPr>
          <w:trHeight w:val="27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data acquisition costs</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expenses payable</w:t>
            </w: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income taxes on income before income taxes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378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960" w:type="dxa"/>
            <w:vAlign w:val="bottom"/>
            <w:shd w:val="clear" w:color="auto" w:fill="CEF0FC"/>
          </w:tcPr>
          <w:p>
            <w:pPr>
              <w:spacing w:after="0"/>
              <w:rPr>
                <w:sz w:val="20"/>
                <w:szCs w:val="20"/>
                <w:color w:val="auto"/>
              </w:rPr>
            </w:pPr>
          </w:p>
        </w:tc>
        <w:tc>
          <w:tcPr>
            <w:tcW w:w="500" w:type="dxa"/>
            <w:vAlign w:val="bottom"/>
            <w:shd w:val="clear" w:color="auto" w:fill="CEF0FC"/>
          </w:tcPr>
          <w:p>
            <w:pPr>
              <w:spacing w:after="0"/>
              <w:rPr>
                <w:sz w:val="20"/>
                <w:szCs w:val="20"/>
                <w:color w:val="auto"/>
              </w:rPr>
            </w:pPr>
          </w:p>
        </w:tc>
        <w:tc>
          <w:tcPr>
            <w:tcW w:w="1540" w:type="dxa"/>
            <w:vAlign w:val="bottom"/>
            <w:shd w:val="clear" w:color="auto" w:fill="CEF0FC"/>
          </w:tcPr>
          <w:p>
            <w:pPr>
              <w:spacing w:after="0"/>
              <w:rPr>
                <w:sz w:val="20"/>
                <w:szCs w:val="20"/>
                <w:color w:val="auto"/>
              </w:rPr>
            </w:pPr>
          </w:p>
        </w:tc>
        <w:tc>
          <w:tcPr>
            <w:tcW w:w="320" w:type="dxa"/>
            <w:vAlign w:val="bottom"/>
            <w:shd w:val="clear" w:color="auto" w:fill="CEF0FC"/>
          </w:tcPr>
          <w:p>
            <w:pPr>
              <w:spacing w:after="0"/>
              <w:rPr>
                <w:sz w:val="20"/>
                <w:szCs w:val="20"/>
                <w:color w:val="auto"/>
              </w:rPr>
            </w:pPr>
          </w:p>
        </w:tc>
        <w:tc>
          <w:tcPr>
            <w:tcW w:w="760" w:type="dxa"/>
            <w:vAlign w:val="bottom"/>
            <w:shd w:val="clear" w:color="auto" w:fill="CEF0FC"/>
          </w:tcPr>
          <w:p>
            <w:pPr>
              <w:spacing w:after="0"/>
              <w:rPr>
                <w:sz w:val="20"/>
                <w:szCs w:val="20"/>
                <w:color w:val="auto"/>
              </w:rPr>
            </w:pPr>
          </w:p>
        </w:tc>
        <w:tc>
          <w:tcPr>
            <w:tcW w:w="1280" w:type="dxa"/>
            <w:vAlign w:val="bottom"/>
            <w:shd w:val="clear" w:color="auto" w:fill="CEF0FC"/>
          </w:tcPr>
          <w:p>
            <w:pPr>
              <w:spacing w:after="0"/>
              <w:rPr>
                <w:sz w:val="20"/>
                <w:szCs w:val="20"/>
                <w:color w:val="auto"/>
              </w:rPr>
            </w:pPr>
          </w:p>
        </w:tc>
        <w:tc>
          <w:tcPr>
            <w:tcW w:w="100" w:type="dxa"/>
            <w:vAlign w:val="bottom"/>
            <w:shd w:val="clear" w:color="auto" w:fill="CEF0FC"/>
          </w:tcPr>
          <w:p>
            <w:pPr>
              <w:spacing w:after="0"/>
              <w:rPr>
                <w:sz w:val="20"/>
                <w:szCs w:val="20"/>
                <w:color w:val="auto"/>
              </w:rPr>
            </w:pPr>
          </w:p>
        </w:tc>
      </w:tr>
      <w:tr>
        <w:trPr>
          <w:trHeight w:val="23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80" w:type="dxa"/>
            <w:vAlign w:val="bottom"/>
            <w:tcBorders>
              <w:bottom w:val="single" w:sz="8" w:color="CEF0FC"/>
            </w:tcBorders>
            <w:shd w:val="clear" w:color="auto" w:fill="CE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tcBorders>
              <w:bottom w:val="single" w:sz="8" w:color="CEF0FC"/>
            </w:tcBorders>
            <w:shd w:val="clear" w:color="auto" w:fill="CEF0FC"/>
          </w:tcPr>
          <w:p>
            <w:pPr>
              <w:spacing w:after="0"/>
              <w:rPr>
                <w:sz w:val="21"/>
                <w:szCs w:val="21"/>
                <w:color w:val="auto"/>
              </w:rPr>
            </w:pPr>
          </w:p>
        </w:tc>
        <w:tc>
          <w:tcPr>
            <w:tcW w:w="500" w:type="dxa"/>
            <w:vAlign w:val="bottom"/>
            <w:tcBorders>
              <w:bottom w:val="single" w:sz="8" w:color="auto"/>
            </w:tcBorders>
            <w:shd w:val="clear" w:color="auto" w:fill="CEF0FC"/>
          </w:tcPr>
          <w:p>
            <w:pPr>
              <w:spacing w:after="0"/>
              <w:rPr>
                <w:sz w:val="21"/>
                <w:szCs w:val="21"/>
                <w:color w:val="auto"/>
              </w:rPr>
            </w:pPr>
          </w:p>
        </w:tc>
        <w:tc>
          <w:tcPr>
            <w:tcW w:w="154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CEF0FC"/>
            </w:tcBorders>
            <w:shd w:val="clear" w:color="auto" w:fill="CEF0FC"/>
          </w:tcPr>
          <w:p>
            <w:pPr>
              <w:spacing w:after="0"/>
              <w:rPr>
                <w:sz w:val="21"/>
                <w:szCs w:val="21"/>
                <w:color w:val="auto"/>
              </w:rPr>
            </w:pPr>
          </w:p>
        </w:tc>
        <w:tc>
          <w:tcPr>
            <w:tcW w:w="760" w:type="dxa"/>
            <w:vAlign w:val="bottom"/>
            <w:tcBorders>
              <w:bottom w:val="single" w:sz="8" w:color="auto"/>
            </w:tcBorders>
            <w:shd w:val="clear" w:color="auto" w:fill="CEF0FC"/>
          </w:tcPr>
          <w:p>
            <w:pPr>
              <w:spacing w:after="0"/>
              <w:rPr>
                <w:sz w:val="21"/>
                <w:szCs w:val="21"/>
                <w:color w:val="auto"/>
              </w:rPr>
            </w:pPr>
          </w:p>
        </w:tc>
        <w:tc>
          <w:tcPr>
            <w:tcW w:w="12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EF0FC"/>
            </w:tcBorders>
            <w:shd w:val="clear" w:color="auto" w:fill="CEF0FC"/>
          </w:tcPr>
          <w:p>
            <w:pPr>
              <w:spacing w:after="0"/>
              <w:rPr>
                <w:sz w:val="21"/>
                <w:szCs w:val="21"/>
                <w:color w:val="auto"/>
              </w:rPr>
            </w:pPr>
          </w:p>
        </w:tc>
      </w:tr>
      <w:tr>
        <w:trPr>
          <w:trHeight w:val="232"/>
        </w:trPr>
        <w:tc>
          <w:tcPr>
            <w:tcW w:w="3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378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960" w:type="dxa"/>
            <w:vAlign w:val="bottom"/>
            <w:shd w:val="clear" w:color="auto" w:fill="CEF0FC"/>
          </w:tcPr>
          <w:p>
            <w:pPr>
              <w:spacing w:after="0"/>
              <w:rPr>
                <w:sz w:val="21"/>
                <w:szCs w:val="21"/>
                <w:color w:val="auto"/>
              </w:rPr>
            </w:pPr>
          </w:p>
        </w:tc>
        <w:tc>
          <w:tcPr>
            <w:tcW w:w="500" w:type="dxa"/>
            <w:vAlign w:val="bottom"/>
            <w:shd w:val="clear" w:color="auto" w:fill="CEF0FC"/>
          </w:tcPr>
          <w:p>
            <w:pPr>
              <w:spacing w:after="0"/>
              <w:rPr>
                <w:sz w:val="21"/>
                <w:szCs w:val="21"/>
                <w:color w:val="auto"/>
              </w:rPr>
            </w:pPr>
          </w:p>
        </w:tc>
        <w:tc>
          <w:tcPr>
            <w:tcW w:w="1540" w:type="dxa"/>
            <w:vAlign w:val="bottom"/>
            <w:shd w:val="clear" w:color="auto" w:fill="CEF0FC"/>
          </w:tcPr>
          <w:p>
            <w:pPr>
              <w:spacing w:after="0"/>
              <w:rPr>
                <w:sz w:val="21"/>
                <w:szCs w:val="21"/>
                <w:color w:val="auto"/>
              </w:rPr>
            </w:pPr>
          </w:p>
        </w:tc>
        <w:tc>
          <w:tcPr>
            <w:tcW w:w="320" w:type="dxa"/>
            <w:vAlign w:val="bottom"/>
            <w:shd w:val="clear" w:color="auto" w:fill="CEF0FC"/>
          </w:tcPr>
          <w:p>
            <w:pPr>
              <w:spacing w:after="0"/>
              <w:rPr>
                <w:sz w:val="21"/>
                <w:szCs w:val="21"/>
                <w:color w:val="auto"/>
              </w:rPr>
            </w:pPr>
          </w:p>
        </w:tc>
        <w:tc>
          <w:tcPr>
            <w:tcW w:w="760" w:type="dxa"/>
            <w:vAlign w:val="bottom"/>
            <w:shd w:val="clear" w:color="auto" w:fill="CEF0FC"/>
          </w:tcPr>
          <w:p>
            <w:pPr>
              <w:spacing w:after="0"/>
              <w:rPr>
                <w:sz w:val="21"/>
                <w:szCs w:val="21"/>
                <w:color w:val="auto"/>
              </w:rPr>
            </w:pPr>
          </w:p>
        </w:tc>
        <w:tc>
          <w:tcPr>
            <w:tcW w:w="1280" w:type="dxa"/>
            <w:vAlign w:val="bottom"/>
            <w:shd w:val="clear" w:color="auto" w:fill="CEF0FC"/>
          </w:tcPr>
          <w:p>
            <w:pPr>
              <w:spacing w:after="0"/>
              <w:rPr>
                <w:sz w:val="21"/>
                <w:szCs w:val="21"/>
                <w:color w:val="auto"/>
              </w:rPr>
            </w:pPr>
          </w:p>
        </w:tc>
        <w:tc>
          <w:tcPr>
            <w:tcW w:w="100" w:type="dxa"/>
            <w:vAlign w:val="bottom"/>
            <w:shd w:val="clear" w:color="auto" w:fill="CEF0FC"/>
          </w:tcPr>
          <w:p>
            <w:pPr>
              <w:spacing w:after="0"/>
              <w:rPr>
                <w:sz w:val="21"/>
                <w:szCs w:val="21"/>
                <w:color w:val="auto"/>
              </w:rPr>
            </w:pPr>
          </w:p>
        </w:tc>
      </w:tr>
      <w:tr>
        <w:trPr>
          <w:trHeight w:val="23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(2,139 )</w:t>
            </w: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0"/>
                <w:szCs w:val="20"/>
                <w:color w:val="auto"/>
              </w:rPr>
            </w:pPr>
          </w:p>
        </w:tc>
      </w:tr>
      <w:tr>
        <w:trPr>
          <w:trHeight w:val="247"/>
        </w:trPr>
        <w:tc>
          <w:tcPr>
            <w:tcW w:w="3780" w:type="dxa"/>
            <w:vAlign w:val="bottom"/>
            <w:shd w:val="clear" w:color="auto" w:fill="CE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shd w:val="clear" w:color="auto" w:fill="CEF0FC"/>
          </w:tcPr>
          <w:p>
            <w:pPr>
              <w:spacing w:after="0"/>
              <w:rPr>
                <w:sz w:val="21"/>
                <w:szCs w:val="21"/>
                <w:color w:val="auto"/>
              </w:rPr>
            </w:pPr>
          </w:p>
        </w:tc>
        <w:tc>
          <w:tcPr>
            <w:tcW w:w="500" w:type="dxa"/>
            <w:vAlign w:val="bottom"/>
            <w:shd w:val="clear" w:color="auto" w:fill="CEF0FC"/>
          </w:tcPr>
          <w:p>
            <w:pPr>
              <w:spacing w:after="0"/>
              <w:rPr>
                <w:sz w:val="21"/>
                <w:szCs w:val="21"/>
                <w:color w:val="auto"/>
              </w:rPr>
            </w:pPr>
          </w:p>
        </w:tc>
        <w:tc>
          <w:tcPr>
            <w:tcW w:w="1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shd w:val="clear" w:color="auto" w:fill="CEF0FC"/>
          </w:tcPr>
          <w:p>
            <w:pPr>
              <w:spacing w:after="0"/>
              <w:rPr>
                <w:sz w:val="21"/>
                <w:szCs w:val="21"/>
                <w:color w:val="auto"/>
              </w:rPr>
            </w:pPr>
          </w:p>
        </w:tc>
        <w:tc>
          <w:tcPr>
            <w:tcW w:w="760" w:type="dxa"/>
            <w:vAlign w:val="bottom"/>
            <w:shd w:val="clear" w:color="auto" w:fill="CEF0FC"/>
          </w:tcPr>
          <w:p>
            <w:pPr>
              <w:spacing w:after="0"/>
              <w:rPr>
                <w:sz w:val="21"/>
                <w:szCs w:val="21"/>
                <w:color w:val="auto"/>
              </w:rPr>
            </w:pPr>
          </w:p>
        </w:tc>
        <w:tc>
          <w:tcPr>
            <w:tcW w:w="12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EF0FC"/>
          </w:tcPr>
          <w:p>
            <w:pPr>
              <w:spacing w:after="0"/>
              <w:rPr>
                <w:sz w:val="21"/>
                <w:szCs w:val="21"/>
                <w:color w:val="auto"/>
              </w:rPr>
            </w:pPr>
          </w:p>
        </w:tc>
      </w:tr>
      <w:tr>
        <w:trPr>
          <w:trHeight w:val="243"/>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2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(8,033 )</w:t>
            </w:r>
          </w:p>
        </w:tc>
        <w:tc>
          <w:tcPr>
            <w:tcW w:w="7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(1,452 )</w:t>
            </w:r>
          </w:p>
        </w:tc>
      </w:tr>
      <w:tr>
        <w:trPr>
          <w:trHeight w:val="20"/>
        </w:trPr>
        <w:tc>
          <w:tcPr>
            <w:tcW w:w="3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3780" w:type="dxa"/>
            <w:vAlign w:val="bottom"/>
            <w:shd w:val="clear" w:color="auto" w:fill="CEF0FC"/>
          </w:tcPr>
          <w:p>
            <w:pPr>
              <w:spacing w:after="0"/>
              <w:rPr>
                <w:sz w:val="20"/>
                <w:szCs w:val="20"/>
                <w:color w:val="auto"/>
              </w:rPr>
            </w:pPr>
          </w:p>
        </w:tc>
        <w:tc>
          <w:tcPr>
            <w:tcW w:w="2960" w:type="dxa"/>
            <w:vAlign w:val="bottom"/>
            <w:shd w:val="clear" w:color="auto" w:fill="CEF0FC"/>
          </w:tcPr>
          <w:p>
            <w:pPr>
              <w:spacing w:after="0"/>
              <w:rPr>
                <w:sz w:val="20"/>
                <w:szCs w:val="20"/>
                <w:color w:val="auto"/>
              </w:rPr>
            </w:pPr>
          </w:p>
        </w:tc>
        <w:tc>
          <w:tcPr>
            <w:tcW w:w="500" w:type="dxa"/>
            <w:vAlign w:val="bottom"/>
            <w:shd w:val="clear" w:color="auto" w:fill="CEF0FC"/>
          </w:tcPr>
          <w:p>
            <w:pPr>
              <w:spacing w:after="0"/>
              <w:rPr>
                <w:sz w:val="20"/>
                <w:szCs w:val="20"/>
                <w:color w:val="auto"/>
              </w:rPr>
            </w:pPr>
          </w:p>
        </w:tc>
        <w:tc>
          <w:tcPr>
            <w:tcW w:w="1860" w:type="dxa"/>
            <w:vAlign w:val="bottom"/>
            <w:gridSpan w:val="2"/>
            <w:shd w:val="clear" w:color="auto" w:fill="CEF0FC"/>
          </w:tcPr>
          <w:p>
            <w:pPr>
              <w:jc w:val="right"/>
              <w:ind w:right="240"/>
              <w:spacing w:after="0"/>
              <w:rPr>
                <w:sz w:val="20"/>
                <w:szCs w:val="20"/>
                <w:color w:val="auto"/>
              </w:rPr>
            </w:pPr>
            <w:r>
              <w:rPr>
                <w:rFonts w:ascii="Times New Roman" w:cs="Times New Roman" w:eastAsia="Times New Roman" w:hAnsi="Times New Roman"/>
                <w:sz w:val="18"/>
                <w:szCs w:val="18"/>
                <w:color w:val="auto"/>
              </w:rPr>
              <w:t>(9,801 )</w:t>
            </w:r>
          </w:p>
        </w:tc>
        <w:tc>
          <w:tcPr>
            <w:tcW w:w="760" w:type="dxa"/>
            <w:vAlign w:val="bottom"/>
            <w:shd w:val="clear" w:color="auto" w:fill="CEF0FC"/>
          </w:tcPr>
          <w:p>
            <w:pPr>
              <w:spacing w:after="0"/>
              <w:rPr>
                <w:sz w:val="20"/>
                <w:szCs w:val="20"/>
                <w:color w:val="auto"/>
              </w:rPr>
            </w:pPr>
          </w:p>
        </w:tc>
        <w:tc>
          <w:tcPr>
            <w:tcW w:w="12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EF0FC"/>
          </w:tcPr>
          <w:p>
            <w:pPr>
              <w:spacing w:after="0"/>
              <w:rPr>
                <w:sz w:val="20"/>
                <w:szCs w:val="20"/>
                <w:color w:val="auto"/>
              </w:rPr>
            </w:pPr>
          </w:p>
        </w:tc>
      </w:tr>
      <w:tr>
        <w:trPr>
          <w:trHeight w:val="20"/>
        </w:trPr>
        <w:tc>
          <w:tcPr>
            <w:tcW w:w="3780" w:type="dxa"/>
            <w:vAlign w:val="bottom"/>
            <w:shd w:val="clear" w:color="auto" w:fill="CEF0FC"/>
          </w:tcPr>
          <w:p>
            <w:pPr>
              <w:spacing w:after="0" w:line="20" w:lineRule="exact"/>
              <w:rPr>
                <w:sz w:val="1"/>
                <w:szCs w:val="1"/>
                <w:color w:val="auto"/>
              </w:rPr>
            </w:pPr>
          </w:p>
        </w:tc>
        <w:tc>
          <w:tcPr>
            <w:tcW w:w="2960" w:type="dxa"/>
            <w:vAlign w:val="bottom"/>
            <w:shd w:val="clear" w:color="auto" w:fill="CE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E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EF0FC"/>
          </w:tcPr>
          <w:p>
            <w:pPr>
              <w:spacing w:after="0" w:line="20" w:lineRule="exact"/>
              <w:rPr>
                <w:sz w:val="1"/>
                <w:szCs w:val="1"/>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9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(9,691 )</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34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F-14</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37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-2022475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(benefit) expense differed from the U.S. corporate statutory income tax rate for the years ended December 31, 2023 and 2022. A reconciliation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Tax on income before income taxes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Effect of state taxes (net of federal income tax effect)</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-84 %</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rate change</w:t>
            </w: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7"/>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5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(8,033 )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-209 %</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(1,452 )</w:t>
            </w:r>
          </w:p>
        </w:tc>
        <w:tc>
          <w:tcPr>
            <w:tcW w:w="46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80" w:type="dxa"/>
            <w:vAlign w:val="bottom"/>
            <w:gridSpan w:val="4"/>
            <w:vMerge w:val="continue"/>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 of the following:</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2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06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42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3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40" w:type="dxa"/>
            <w:vAlign w:val="bottom"/>
          </w:tcPr>
          <w:p>
            <w:pPr>
              <w:spacing w:after="0"/>
              <w:rPr>
                <w:sz w:val="20"/>
                <w:szCs w:val="20"/>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220" w:type="dxa"/>
            <w:vAlign w:val="bottom"/>
          </w:tcPr>
          <w:p>
            <w:pPr>
              <w:spacing w:after="0"/>
              <w:rPr>
                <w:sz w:val="20"/>
                <w:szCs w:val="20"/>
                <w:color w:val="auto"/>
              </w:rPr>
            </w:pP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others</w:t>
            </w:r>
          </w:p>
        </w:tc>
        <w:tc>
          <w:tcPr>
            <w:tcW w:w="5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13,771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(8,033 )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38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13,771</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Deferred tax liabilities:</w:t>
            </w:r>
          </w:p>
        </w:tc>
        <w:tc>
          <w:tcPr>
            <w:tcW w:w="33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5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3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540" w:type="dxa"/>
            <w:vAlign w:val="bottom"/>
          </w:tcPr>
          <w:p>
            <w:pPr>
              <w:spacing w:after="0"/>
              <w:rPr>
                <w:sz w:val="20"/>
                <w:szCs w:val="20"/>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20" w:type="dxa"/>
            <w:vAlign w:val="bottom"/>
          </w:tcPr>
          <w:p>
            <w:pPr>
              <w:spacing w:after="0"/>
              <w:rPr>
                <w:sz w:val="20"/>
                <w:szCs w:val="20"/>
                <w:color w:val="auto"/>
              </w:rPr>
            </w:pP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-4482465</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79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-1448435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-1130935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gross federal and state net operating loss carryforwards of $36,486 and $24,021, respectively. Federal net operating losses have an indefinite life and do not expire. State net operating losses of approximate $7,108 expire beginning in 2029 and the remaining could be carried forward indefinitely. As of December 31, 2023, the Company has $3,165 of research and development tax credits which begin to expire in 2039. The Company’s federal and state net operating losses, and research and development tax credits, are not subject to annual Section 382 limitations due to ownership changes that could impact the future realization.</w:t>
      </w:r>
    </w:p>
    <w:p>
      <w:pPr>
        <w:spacing w:after="0" w:line="1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full valuation allowance of $8,033 was necessary as of December 31, 2022, to reduce the deferred tax assets to the amount that is more likely than not to be realized. During the year ended December 31,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the deferred tax assets as of December 31, 2023 is more likely than not.</w:t>
      </w:r>
    </w:p>
    <w:p>
      <w:pPr>
        <w:spacing w:after="0" w:line="14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59" w:name="page60"/>
    <w:bookmarkEnd w:id="59"/>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 and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number of authorized shares of common stock was 200,000,000, with a par value of $0.001 per share, of which, 13,980,274 and 13,956,404 shares of common stock were issued, respectively, which included shares of treasury stock of 9,428 and 0, respectively.</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changes in the number of issued shares of common stock and treasury stock was due to the following factors:</w:t>
      </w:r>
    </w:p>
    <w:p>
      <w:pPr>
        <w:spacing w:after="0" w:line="121" w:lineRule="exact"/>
        <w:rPr>
          <w:sz w:val="20"/>
          <w:szCs w:val="20"/>
          <w:color w:val="auto"/>
        </w:rPr>
      </w:pPr>
    </w:p>
    <w:p>
      <w:pPr>
        <w:ind w:left="380" w:right="4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770,210 shares of common stock issued as a result of the vesting of RSUs, of which, 252,346 shares of common stock were withheld to pay withholding taxes upon such vesting, which were reflected in treasury stock, with a cost of $5,200. The treasury stock of 252,346 shares was then retired fully during the year ended December 31, 2022.</w:t>
      </w:r>
    </w:p>
    <w:p>
      <w:pPr>
        <w:spacing w:after="0" w:line="148" w:lineRule="exact"/>
        <w:rPr>
          <w:rFonts w:ascii="Times New Roman" w:cs="Times New Roman" w:eastAsia="Times New Roman" w:hAnsi="Times New Roman"/>
          <w:sz w:val="18"/>
          <w:szCs w:val="18"/>
          <w:color w:val="auto"/>
        </w:rPr>
      </w:pPr>
    </w:p>
    <w:p>
      <w:pPr>
        <w:ind w:left="380" w:right="20" w:hanging="372"/>
        <w:spacing w:after="0" w:line="25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2022, the board of directors of the Company authorized the repurchase of up to $5.0 million of the Company's common stock from time to time, and subsequently on December 19, 2023, the board of directors authorized the repurchase of an additional $5.0 million of the Company's common stock (the "Stock Repurchase Program"). The Stock Repurchase Program does not obligate the Company to repurchase any shares and may be modified, suspended, or terminated at any time and for any reason at the discretion of the board of directors. During the year ended December 31, 2022, the Company repurchased 50,000 shares of common stock under the Stock Repurchase Program, which was reflected in treasury stock, with a cost of $878. The treasury stock of 50,000 shares was then retired fully during the year ended December 31, 2022.</w:t>
      </w:r>
    </w:p>
    <w:p>
      <w:pPr>
        <w:spacing w:after="0" w:line="14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changes in the number of issued shares of common stock and treasury stock was due to the following factors:</w:t>
      </w:r>
    </w:p>
    <w:p>
      <w:pPr>
        <w:spacing w:after="0" w:line="121" w:lineRule="exact"/>
        <w:rPr>
          <w:sz w:val="20"/>
          <w:szCs w:val="20"/>
          <w:color w:val="auto"/>
        </w:rPr>
      </w:pPr>
    </w:p>
    <w:p>
      <w:pPr>
        <w:jc w:val="both"/>
        <w:ind w:left="380" w:right="40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309,416 shares of common stock were issued as a result of the vesting of RSUs, of which, 99,234 shares of common stock were withheld to pay withholding taxes upon such vesting, which were reflected in treasury stock, with a cost of $1,992. The treasury stock of 99,234 shares was then retired during the year ended December 31, 2023.</w:t>
      </w:r>
    </w:p>
    <w:p>
      <w:pPr>
        <w:spacing w:after="0" w:line="148"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repurchased 195,740 shares of common stock under the Stock Repurchase Program, which was reflected in treasury stock, with a cost of $3,755. Related treasury stock of 186,312 shares, with a cost of $3,567, was retired during the year ended December 31, 2023, which resulted in a treasury stock balance of $188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10,000,000 shares of preferred stock with par value of $0.001 per share authorized, and there were no shares of preferred stock issued or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As of December 31, 2023, there were 1,997,455 shares of common stock available for future issuance under the 2018 Plan, as amended.</w:t>
      </w:r>
    </w:p>
    <w:p>
      <w:pPr>
        <w:spacing w:after="0" w:line="19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RSUs activity during the years ended December 31, 2023 and 2022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1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1,306,953</w:t>
            </w: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561,100</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(517,864 )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(252,346 )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(44,995 )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1,044,132</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399,900</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(210,182 )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(99,234 )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(107,998 )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1,017,718</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380" w:right="80" w:hanging="372"/>
        <w:spacing w:after="0" w:line="26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Company granted an aggregate of 561,100 RSUs to certain employees and members of the Company's board of directors at grant date fair values ranging from $16.00 to $28.75 per share, with a vesting period ranging from two to four years. For the year ended December 31, 2023, the Company granted an aggregate of 399,900 RSUs to certain employees and members of the Company's board of directors at grant date fair values ranging from $16.17 to $20.92 per share, with a vesting period ranging from 4 months to four years.</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9 for details.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not delivered represents RSUs that have been vested but the delivery of the common stock underlying such RSUs were deferred.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certain grants of RSUs with both time- and performance-based conditions. Details of such grants of RSUs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 of share-based compensation</w:t>
            </w:r>
          </w:p>
        </w:tc>
      </w:tr>
      <w:tr>
        <w:trPr>
          <w:trHeight w:val="155"/>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RSU grants with</w:t>
            </w: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5"/>
              </w:rPr>
              <w:t>grant-date</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540" w:type="dxa"/>
            <w:vAlign w:val="bottom"/>
            <w:tcBorders>
              <w:top w:val="single" w:sz="8" w:color="auto"/>
              <w:bottom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Pr>
          <w:p>
            <w:pPr>
              <w:spacing w:after="0"/>
              <w:rPr>
                <w:sz w:val="13"/>
                <w:szCs w:val="13"/>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criteria</w:t>
            </w:r>
          </w:p>
        </w:tc>
        <w:tc>
          <w:tcPr>
            <w:tcW w:w="160" w:type="dxa"/>
            <w:vAlign w:val="bottom"/>
          </w:tcPr>
          <w:p>
            <w:pPr>
              <w:spacing w:after="0"/>
              <w:rPr>
                <w:sz w:val="13"/>
                <w:szCs w:val="13"/>
                <w:color w:val="auto"/>
              </w:rPr>
            </w:pPr>
          </w:p>
        </w:tc>
        <w:tc>
          <w:tcPr>
            <w:tcW w:w="20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Grant dates</w:t>
            </w:r>
          </w:p>
        </w:tc>
        <w:tc>
          <w:tcPr>
            <w:tcW w:w="120" w:type="dxa"/>
            <w:vAlign w:val="bottom"/>
          </w:tcPr>
          <w:p>
            <w:pPr>
              <w:spacing w:after="0"/>
              <w:rPr>
                <w:sz w:val="13"/>
                <w:szCs w:val="13"/>
                <w:color w:val="auto"/>
              </w:rPr>
            </w:pPr>
          </w:p>
        </w:tc>
        <w:tc>
          <w:tcPr>
            <w:tcW w:w="13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of units</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Vesting period</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r>
      <w:tr>
        <w:trPr>
          <w:trHeight w:val="223"/>
        </w:trPr>
        <w:tc>
          <w:tcPr>
            <w:tcW w:w="150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Criteria One</w:t>
            </w:r>
            <w:r>
              <w:rPr>
                <w:rFonts w:ascii="Times New Roman" w:cs="Times New Roman" w:eastAsia="Times New Roman" w:hAnsi="Times New Roman"/>
                <w:sz w:val="21"/>
                <w:szCs w:val="21"/>
                <w:color w:val="auto"/>
                <w:vertAlign w:val="superscript"/>
              </w:rPr>
              <w:t>(1)</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9/5/2018 - 1/16/2019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 years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9"/>
                <w:szCs w:val="19"/>
                <w:color w:val="auto"/>
              </w:rPr>
            </w:pPr>
          </w:p>
        </w:tc>
      </w:tr>
      <w:tr>
        <w:trPr>
          <w:trHeight w:val="230"/>
        </w:trPr>
        <w:tc>
          <w:tcPr>
            <w:tcW w:w="15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Two</w:t>
            </w:r>
            <w:r>
              <w:rPr>
                <w:rFonts w:ascii="Times New Roman" w:cs="Times New Roman" w:eastAsia="Times New Roman" w:hAnsi="Times New Roman"/>
                <w:sz w:val="21"/>
                <w:szCs w:val="21"/>
                <w:color w:val="auto"/>
                <w:vertAlign w:val="superscript"/>
              </w:rPr>
              <w:t>(2)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8/28/2019 - 9/8/2020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277,500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 years</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9"/>
                <w:szCs w:val="19"/>
                <w:color w:val="auto"/>
              </w:rPr>
            </w:pPr>
          </w:p>
        </w:tc>
      </w:tr>
      <w:tr>
        <w:trPr>
          <w:trHeight w:val="230"/>
        </w:trPr>
        <w:tc>
          <w:tcPr>
            <w:tcW w:w="150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Three</w:t>
            </w:r>
            <w:r>
              <w:rPr>
                <w:rFonts w:ascii="Times New Roman" w:cs="Times New Roman" w:eastAsia="Times New Roman" w:hAnsi="Times New Roman"/>
                <w:sz w:val="21"/>
                <w:szCs w:val="21"/>
                <w:color w:val="auto"/>
                <w:vertAlign w:val="superscript"/>
              </w:rPr>
              <w:t>(3)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8/28/2019 - 11/20/2020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FF0FC"/>
          </w:tcPr>
          <w:p>
            <w:pPr>
              <w:spacing w:after="0"/>
              <w:rPr>
                <w:sz w:val="19"/>
                <w:szCs w:val="19"/>
                <w:color w:val="auto"/>
              </w:rPr>
            </w:pPr>
          </w:p>
        </w:tc>
      </w:tr>
      <w:tr>
        <w:trPr>
          <w:trHeight w:val="229"/>
        </w:trPr>
        <w:tc>
          <w:tcPr>
            <w:tcW w:w="15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Four</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0"/>
        </w:trPr>
        <w:tc>
          <w:tcPr>
            <w:tcW w:w="150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Five</w:t>
            </w:r>
            <w:r>
              <w:rPr>
                <w:rFonts w:ascii="Times New Roman" w:cs="Times New Roman" w:eastAsia="Times New Roman" w:hAnsi="Times New Roman"/>
                <w:sz w:val="21"/>
                <w:szCs w:val="21"/>
                <w:color w:val="auto"/>
                <w:vertAlign w:val="superscript"/>
              </w:rPr>
              <w:t>(5)</w:t>
            </w:r>
          </w:p>
        </w:tc>
        <w:tc>
          <w:tcPr>
            <w:tcW w:w="2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9/12/2023</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0.3 years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2,442,000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-179070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180" w:hanging="372"/>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achieved certain performance criteria in gross revenue and positive adjusted EBITDA. Provided the performance criteria are met, the RSUs will vest in accordance with the time-based requirements contained in the award agreement over three or four years. As of June 30, 2019, the Company determined that the Criteria One was met. As of December 31, 2022, all shares underlying such awards have vested and been issued in accordance with their time-based vesting requirement.</w:t>
      </w:r>
    </w:p>
    <w:p>
      <w:pPr>
        <w:spacing w:after="0" w:line="142" w:lineRule="exact"/>
        <w:rPr>
          <w:rFonts w:ascii="Times New Roman" w:cs="Times New Roman" w:eastAsia="Times New Roman" w:hAnsi="Times New Roman"/>
          <w:sz w:val="18"/>
          <w:szCs w:val="18"/>
          <w:color w:val="auto"/>
        </w:rPr>
      </w:pPr>
    </w:p>
    <w:p>
      <w:pPr>
        <w:ind w:left="380" w:right="180" w:hanging="372"/>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achieved certain performance criteria in gross revenue and positive adjusted EBITDA. Provided the performance criteria are met, the RSUs will vest in accordance with the time-based requirements contained in the award agreement over three or four years. The Company determined that Criteria Two was met as of March 31, 2021. As of December 31, 2023, all shares underlying such awards are expected to vest and be issued in accordance with their time-based vesting requirement.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ind w:left="380" w:right="240" w:hanging="372"/>
        <w:spacing w:after="0" w:line="25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achieved certain performance criteria in gross revenue and positive adjusted EBITDA. Provided the respective performance criteria are met, the RSUs will vest in accordance with the time-based requirements contained in the award agreement over three years. As of the respective grant dates, the Company determined that it was probable that the Criteria Three would be met and therefore, began to record the related amortization expense on the grant dates. The Company determined that the performance criteria were met as of March 31, 2022. As of December 31, 2023, all shares underlying such awards are expected to vest and be issued in accordance with their time-based vesting requirement.</w:t>
      </w:r>
    </w:p>
    <w:p>
      <w:pPr>
        <w:spacing w:after="0" w:line="160" w:lineRule="exact"/>
        <w:rPr>
          <w:rFonts w:ascii="Times New Roman" w:cs="Times New Roman" w:eastAsia="Times New Roman" w:hAnsi="Times New Roman"/>
          <w:sz w:val="18"/>
          <w:szCs w:val="18"/>
          <w:color w:val="auto"/>
        </w:rPr>
      </w:pPr>
    </w:p>
    <w:p>
      <w:pPr>
        <w:ind w:left="380" w:right="80" w:hanging="372"/>
        <w:spacing w:after="0" w:line="254"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Company granted 120,000 RSUs, subject to performance-based requirements, to one non-executive employee, which was subsequently modified on November 7, 2022, with a fair value of $15.13 per share as of the modification date. Such RSU grants shall not vest unless and until the Company has achieved certain revenue for a portion of its business prior to the achievement date deadline for each performance milestone. As of December 31, 2023, the Company determined that a total of 24,000 RSUs have forfeited as related performance milestones were not met, unless there is a change in control on or prior to June 30, 2026. No amortization of share-based compensation expense has been recognized for the remaining RSUs, because, as of December 31, 2023, the Company determined that it is not probable that any performance criteria will be met in the future. The remaining 96,000 RSUs, which were subsequently forfeited as a result of the termination of employment of the non-executive employee on February 2, 2024, were included in "Unvested as of December 31, 2023" with a fair value of $15.13 per share.</w:t>
      </w:r>
    </w:p>
    <w:p>
      <w:pPr>
        <w:spacing w:after="0" w:line="151"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2023, the Company granted 12,000 RSUs, subject to performance-based requirements, to one non-executive employee, with a grant date fair value of $20.93 per share. Such RSU grants shall not vest unless and until the Company has achieved certain revenue for a portion of its business for the period from July 1, 2023 to December 31, 2023. No amortization of share-based compensation expense has been recognized for these RSUs, because, as of December 31, 2023, the Company determined that such performance criteria were not met. The 12,000 RSUs were included in "Forfeited" during the year ended December 31, 2023.</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unrecognized share-based compensation expense associated with the granted RSUs amounted to $16,551, which is expected to be recognized over a weighted average period of 2.4 years.</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consolidated financial statements for the years ended December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9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21"/>
                <w:szCs w:val="21"/>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FF0FC"/>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21"/>
                <w:szCs w:val="21"/>
                <w:color w:val="auto"/>
              </w:rPr>
            </w:pP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3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November 15, 2023, the Company purchased 49,600 shares of its common stock from Nantahala Capital Management, LLC, a greater than 5% stockholder, at a price of $20.00 per share, under the Stock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its corporate headquarters lease agreement to exercise the extension option for an additional 60 months through June 30, 2029 (the "Amended Lease"), with an option to further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For the years ended December 31, 2023 and 2022, a summary of the Company’s lease information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4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Right-of-use assets obtained in exchange for operating</w:t>
            </w: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140" w:type="dxa"/>
            <w:vAlign w:val="bottom"/>
            <w:shd w:val="clear" w:color="auto" w:fill="CFF0FC"/>
          </w:tcPr>
          <w:p>
            <w:pPr>
              <w:ind w:left="120"/>
              <w:spacing w:after="0" w:line="267" w:lineRule="exact"/>
              <w:rPr>
                <w:sz w:val="20"/>
                <w:szCs w:val="20"/>
                <w:color w:val="auto"/>
              </w:rPr>
            </w:pPr>
            <w:r>
              <w:rPr>
                <w:rFonts w:ascii="Times New Roman" w:cs="Times New Roman" w:eastAsia="Times New Roman" w:hAnsi="Times New Roman"/>
                <w:sz w:val="18"/>
                <w:szCs w:val="18"/>
                <w:color w:val="auto"/>
              </w:rPr>
              <w:t>lease liabilities</w:t>
            </w:r>
            <w:r>
              <w:rPr>
                <w:rFonts w:ascii="Times New Roman" w:cs="Times New Roman" w:eastAsia="Times New Roman" w:hAnsi="Times New Roman"/>
                <w:sz w:val="24"/>
                <w:szCs w:val="24"/>
                <w:color w:val="auto"/>
                <w:vertAlign w:val="superscript"/>
              </w:rPr>
              <w:t>(1)</w:t>
            </w:r>
          </w:p>
        </w:tc>
        <w:tc>
          <w:tcPr>
            <w:tcW w:w="440" w:type="dxa"/>
            <w:vAlign w:val="bottom"/>
            <w:vMerge w:val="continue"/>
            <w:shd w:val="clear" w:color="auto" w:fill="CFF0FC"/>
          </w:tcPr>
          <w:p>
            <w:pPr>
              <w:spacing w:after="0"/>
              <w:rPr>
                <w:sz w:val="23"/>
                <w:szCs w:val="23"/>
                <w:color w:val="auto"/>
              </w:rPr>
            </w:pPr>
          </w:p>
        </w:tc>
        <w:tc>
          <w:tcPr>
            <w:tcW w:w="1420" w:type="dxa"/>
            <w:vAlign w:val="bottom"/>
            <w:vMerge w:val="continue"/>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20" w:type="dxa"/>
            <w:vAlign w:val="bottom"/>
            <w:vMerge w:val="continue"/>
            <w:shd w:val="clear" w:color="auto" w:fill="CFF0FC"/>
          </w:tcPr>
          <w:p>
            <w:pPr>
              <w:spacing w:after="0"/>
              <w:rPr>
                <w:sz w:val="23"/>
                <w:szCs w:val="23"/>
                <w:color w:val="auto"/>
              </w:rPr>
            </w:pPr>
          </w:p>
        </w:tc>
        <w:tc>
          <w:tcPr>
            <w:tcW w:w="1140" w:type="dxa"/>
            <w:vAlign w:val="bottom"/>
            <w:vMerge w:val="continue"/>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r>
              <w:rPr>
                <w:rFonts w:ascii="Times New Roman" w:cs="Times New Roman" w:eastAsia="Times New Roman" w:hAnsi="Times New Roman"/>
                <w:sz w:val="24"/>
                <w:szCs w:val="24"/>
                <w:color w:val="auto"/>
                <w:vertAlign w:val="superscript"/>
              </w:rPr>
              <w:t>(2)</w:t>
            </w:r>
          </w:p>
        </w:tc>
        <w:tc>
          <w:tcPr>
            <w:tcW w:w="440" w:type="dxa"/>
            <w:vAlign w:val="bottom"/>
          </w:tcPr>
          <w:p>
            <w:pPr>
              <w:spacing w:after="0"/>
              <w:rPr>
                <w:sz w:val="24"/>
                <w:szCs w:val="24"/>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80" w:right="104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Lease resulted in an addition of $1,919 to right-of-use assets and operating lease liabilities, as of September 20, 2023 (the "Remeasurement Date").</w:t>
      </w:r>
    </w:p>
    <w:p>
      <w:pPr>
        <w:spacing w:after="0" w:line="161" w:lineRule="exact"/>
        <w:rPr>
          <w:rFonts w:ascii="Times New Roman" w:cs="Times New Roman" w:eastAsia="Times New Roman" w:hAnsi="Times New Roman"/>
          <w:sz w:val="18"/>
          <w:szCs w:val="18"/>
          <w:color w:val="auto"/>
        </w:rPr>
      </w:pPr>
    </w:p>
    <w:p>
      <w:pPr>
        <w:ind w:left="380" w:right="12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10.0%, its estimated incremental borrowing rate for similar secured assets, as the discount rate for the Amended Lease to determine the present value of the lease payments because the implicit rate is not readily determinable. The discount rate was calculated on the basis of information available as of the Remeasurement Date. The Company used 8.0%, its estimated incremental borrowing rate for similar secured assets calculated on the basis of information available as of January 1, 2019, the initial application date, as the discount rate for the leases that existed prior to the Remeasurement Date, to determine the present value of the lease payments.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weighted average remaining operating lease term was 4.9 years and 1.9 years,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scheduled future maturities and present value of the operating lease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included in condensed consolidated balance sheet: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the maturities and the present value of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of $9,531 and $9,171 for the years ended December 31, 2023 and 2022, respectively, under certain data licensing agreements. As of December 31, 2023, future material capital commitments under certain data licensing agreements were $19,829, shown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shd w:val="clear" w:color="auto" w:fill="CFF0FC"/>
          </w:tcPr>
          <w:p>
            <w:pPr>
              <w:spacing w:after="0"/>
              <w:rPr>
                <w:sz w:val="20"/>
                <w:szCs w:val="20"/>
                <w:color w:val="auto"/>
              </w:rPr>
            </w:pPr>
          </w:p>
        </w:tc>
      </w:tr>
      <w:tr>
        <w:trPr>
          <w:trHeight w:val="23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tcPr>
          <w:p>
            <w:pPr>
              <w:spacing w:after="0"/>
              <w:rPr>
                <w:sz w:val="20"/>
                <w:szCs w:val="20"/>
                <w:color w:val="auto"/>
              </w:rPr>
            </w:pPr>
          </w:p>
        </w:tc>
      </w:tr>
      <w:tr>
        <w:trPr>
          <w:trHeight w:val="243"/>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Pr>
          <w:p>
            <w:pPr>
              <w:spacing w:after="0"/>
              <w:rPr>
                <w:sz w:val="20"/>
                <w:szCs w:val="20"/>
                <w:color w:val="auto"/>
              </w:rPr>
            </w:pPr>
          </w:p>
        </w:tc>
      </w:tr>
      <w:tr>
        <w:trPr>
          <w:trHeight w:val="20"/>
        </w:trPr>
        <w:tc>
          <w:tcPr>
            <w:tcW w:w="31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3180" w:type="dxa"/>
            <w:vAlign w:val="bottom"/>
          </w:tcPr>
          <w:p>
            <w:pPr>
              <w:spacing w:after="0"/>
              <w:rPr>
                <w:sz w:val="24"/>
                <w:szCs w:val="24"/>
                <w:color w:val="auto"/>
              </w:rPr>
            </w:pPr>
          </w:p>
        </w:tc>
        <w:tc>
          <w:tcPr>
            <w:tcW w:w="6500" w:type="dxa"/>
            <w:vAlign w:val="bottom"/>
            <w:gridSpan w:val="2"/>
          </w:tcPr>
          <w:p>
            <w:pPr>
              <w:jc w:val="right"/>
              <w:ind w:right="3790"/>
              <w:spacing w:after="0"/>
              <w:rPr>
                <w:sz w:val="20"/>
                <w:szCs w:val="20"/>
                <w:color w:val="auto"/>
              </w:rPr>
            </w:pPr>
            <w:r>
              <w:rPr>
                <w:rFonts w:ascii="Times New Roman" w:cs="Times New Roman" w:eastAsia="Times New Roman" w:hAnsi="Times New Roman"/>
                <w:sz w:val="18"/>
                <w:szCs w:val="18"/>
                <w:color w:val="auto"/>
              </w:rPr>
              <w:t>F-19</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31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Employment agreements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mainly including its Chief Executive Officer, President, Chief Financial Officer and Chief Information Officer, which provide for compensation and certain other benefits and for severance payments under certain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Contingency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67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378"/>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5"/>
        </w:trPr>
        <w:tc>
          <w:tcPr>
            <w:tcW w:w="4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IDI Holdings, LLC</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Technologies,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IDI Verified,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Forewarn,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Blockchain and Analytical Solutions,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Whoodle,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HolSol, LLC</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1640"/>
        </w:trPr>
        <w:tc>
          <w:tcPr>
            <w:tcW w:w="4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7, 2024, with respect to the consolidated financial statements included in the Annual Report of Red Violet, Inc. on Form 10-K for the year ended December 31, 2023. We consent to the incorporation by reference of said report in the Registration Statements of Red Violet, Inc. on Form S-8 (File No. 333-224147, File No. 333-238947 and File No. 333-265289).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900" w:hanging="35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60" w:hanging="479"/>
        <w:spacing w:after="0" w:line="266"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3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380" w:hanging="514"/>
        <w:spacing w:after="0" w:line="312" w:lineRule="auto"/>
        <w:tabs>
          <w:tab w:leader="none" w:pos="139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900" w:hanging="35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60" w:hanging="479"/>
        <w:spacing w:after="0" w:line="266"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380" w:hanging="514"/>
        <w:spacing w:after="0" w:line="312" w:lineRule="auto"/>
        <w:tabs>
          <w:tab w:leader="none" w:pos="139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2023,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2023,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996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(Adopted on November 3, 2023)</w:t>
      </w:r>
    </w:p>
    <w:p>
      <w:pPr>
        <w:spacing w:after="0" w:line="212" w:lineRule="exact"/>
        <w:rPr>
          <w:sz w:val="20"/>
          <w:szCs w:val="20"/>
          <w:color w:val="auto"/>
        </w:rPr>
      </w:pPr>
    </w:p>
    <w:p>
      <w:pPr>
        <w:ind w:left="540" w:hanging="383"/>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12" w:lineRule="exact"/>
        <w:rPr>
          <w:sz w:val="20"/>
          <w:szCs w:val="20"/>
          <w:color w:val="auto"/>
        </w:rPr>
      </w:pPr>
    </w:p>
    <w:p>
      <w:pPr>
        <w:jc w:val="both"/>
        <w:ind w:right="220" w:firstLine="630"/>
        <w:spacing w:after="0" w:line="224" w:lineRule="exact"/>
        <w:rPr>
          <w:sz w:val="20"/>
          <w:szCs w:val="20"/>
          <w:color w:val="auto"/>
        </w:rPr>
      </w:pPr>
      <w:r>
        <w:rPr>
          <w:rFonts w:ascii="Times New Roman" w:cs="Times New Roman" w:eastAsia="Times New Roman" w:hAnsi="Times New Roman"/>
          <w:sz w:val="18"/>
          <w:szCs w:val="18"/>
          <w:color w:val="auto"/>
        </w:rPr>
        <w:t>Red Violet,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adopting this Clawback Policy (this "Policy"), effective as of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to provide for the Company’s criteria and process of recovering certain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erroneously awarded to or earned or received by certain officers under certain circumstances.</w:t>
      </w:r>
    </w:p>
    <w:p>
      <w:pPr>
        <w:spacing w:after="0" w:line="194" w:lineRule="exact"/>
        <w:rPr>
          <w:sz w:val="20"/>
          <w:szCs w:val="20"/>
          <w:color w:val="auto"/>
        </w:rPr>
      </w:pPr>
    </w:p>
    <w:p>
      <w:pPr>
        <w:jc w:val="both"/>
        <w:ind w:right="220" w:firstLine="630"/>
        <w:spacing w:after="0" w:line="262" w:lineRule="auto"/>
        <w:rPr>
          <w:sz w:val="20"/>
          <w:szCs w:val="20"/>
          <w:color w:val="auto"/>
        </w:rPr>
      </w:pPr>
      <w:r>
        <w:rPr>
          <w:rFonts w:ascii="Times New Roman" w:cs="Times New Roman" w:eastAsia="Times New Roman" w:hAnsi="Times New Roman"/>
          <w:sz w:val="18"/>
          <w:szCs w:val="18"/>
          <w:color w:val="auto"/>
        </w:rPr>
        <w:t>This Policy is administered by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Committee will have full and final authority to make any and all determinations required under this Policy. Any determination by the Committee with respect to this Policy will be final, conclusive and binding on all parties. The Board may amend or terminate this Policy at any time upon the recommendation of the Committee.</w:t>
      </w:r>
    </w:p>
    <w:p>
      <w:pPr>
        <w:spacing w:after="0" w:line="126" w:lineRule="exact"/>
        <w:rPr>
          <w:sz w:val="20"/>
          <w:szCs w:val="20"/>
          <w:color w:val="auto"/>
        </w:rPr>
      </w:pPr>
    </w:p>
    <w:p>
      <w:pPr>
        <w:jc w:val="both"/>
        <w:ind w:firstLine="630"/>
        <w:spacing w:after="0" w:line="236" w:lineRule="exact"/>
        <w:rPr>
          <w:sz w:val="20"/>
          <w:szCs w:val="20"/>
          <w:color w:val="auto"/>
        </w:rPr>
      </w:pPr>
      <w:r>
        <w:rPr>
          <w:rFonts w:ascii="Times New Roman" w:cs="Times New Roman" w:eastAsia="Times New Roman" w:hAnsi="Times New Roman"/>
          <w:sz w:val="18"/>
          <w:szCs w:val="18"/>
          <w:color w:val="auto"/>
        </w:rPr>
        <w:t>This Policy is intended to comply with Section 10D of the Securities and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Rule 10D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thereunder, and the applicable rules of the Nasdaq Stock Market or any other national securities exchange on which the Company’s securities are then listed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and will be interpreted and administered consistent with that intent.</w:t>
      </w:r>
    </w:p>
    <w:p>
      <w:pPr>
        <w:spacing w:after="0" w:line="194" w:lineRule="exact"/>
        <w:rPr>
          <w:sz w:val="20"/>
          <w:szCs w:val="20"/>
          <w:color w:val="auto"/>
        </w:rPr>
      </w:pPr>
    </w:p>
    <w:p>
      <w:pPr>
        <w:ind w:left="540" w:hanging="383"/>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07" w:lineRule="exact"/>
        <w:rPr>
          <w:sz w:val="20"/>
          <w:szCs w:val="20"/>
          <w:color w:val="auto"/>
        </w:rPr>
      </w:pPr>
    </w:p>
    <w:p>
      <w:pPr>
        <w:ind w:right="220" w:firstLine="630"/>
        <w:spacing w:after="0" w:line="245" w:lineRule="exact"/>
        <w:rPr>
          <w:sz w:val="20"/>
          <w:szCs w:val="20"/>
          <w:color w:val="auto"/>
        </w:rPr>
      </w:pPr>
      <w:r>
        <w:rPr>
          <w:rFonts w:ascii="Times New Roman" w:cs="Times New Roman" w:eastAsia="Times New Roman" w:hAnsi="Times New Roman"/>
          <w:sz w:val="18"/>
          <w:szCs w:val="18"/>
          <w:color w:val="auto"/>
        </w:rPr>
        <w:t>This Policy will apply to all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received by an Affected officer on or after the Effective date to the extent permitted or required by applicable law or the rules of the Exchange.</w:t>
      </w:r>
    </w:p>
    <w:p>
      <w:pPr>
        <w:spacing w:after="0" w:line="181" w:lineRule="exact"/>
        <w:rPr>
          <w:sz w:val="20"/>
          <w:szCs w:val="20"/>
          <w:color w:val="auto"/>
        </w:rPr>
      </w:pPr>
    </w:p>
    <w:p>
      <w:pPr>
        <w:ind w:left="540" w:hanging="383"/>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purposes of this Policy, the following definitions apply:</w:t>
      </w:r>
    </w:p>
    <w:p>
      <w:pPr>
        <w:spacing w:after="0" w:line="184" w:lineRule="exact"/>
        <w:rPr>
          <w:sz w:val="20"/>
          <w:szCs w:val="20"/>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officer</w:t>
      </w:r>
      <w:r>
        <w:rPr>
          <w:rFonts w:ascii="Times New Roman" w:cs="Times New Roman" w:eastAsia="Times New Roman" w:hAnsi="Times New Roman"/>
          <w:sz w:val="18"/>
          <w:szCs w:val="18"/>
          <w:color w:val="auto"/>
        </w:rPr>
        <w:t>” means any current or former “officer” as defined in Exchange Act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12" w:lineRule="exact"/>
        <w:rPr>
          <w:sz w:val="20"/>
          <w:szCs w:val="20"/>
          <w:color w:val="auto"/>
        </w:rPr>
      </w:pPr>
    </w:p>
    <w:p>
      <w:pPr>
        <w:jc w:val="both"/>
        <w:ind w:right="220" w:firstLine="630"/>
        <w:spacing w:after="0" w:line="22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received that exceeds the amount of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compensation that otherwise would have been received had it been determined based on the Restatement, computed without regard to any taxes paid. In the case of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based on stock price or total shareholder return, where the amount of Erroneously awarded compensation is not subject to mathematical recalculation directly from the information in the Restatement, the amount will reflect a reasonable estimate of the effect of the Restatement on the stock price or total shareholder return upon which the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was received, as determined by the Committee in its sole discretion. The Company will maintain documentation of the determination of that reasonable estimate and provide the documentation to the Exchange as required by the Exchange.</w:t>
      </w:r>
    </w:p>
    <w:p>
      <w:pPr>
        <w:spacing w:after="0" w:line="182" w:lineRule="exact"/>
        <w:rPr>
          <w:sz w:val="20"/>
          <w:szCs w:val="20"/>
          <w:color w:val="auto"/>
        </w:rPr>
      </w:pPr>
    </w:p>
    <w:p>
      <w:pPr>
        <w:jc w:val="both"/>
        <w:ind w:right="140" w:firstLine="63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that is determined and presented in accordance with the accounting principles used in preparing the Company’s financial statements, and any measures that are derived wholly or in part from those measures, whether or not the measure is presented within the financial statements or included in a filing with the Securities and Exchange Commission. Stock price and total shareholder return are financial reporting measures.</w:t>
      </w:r>
    </w:p>
    <w:p>
      <w:pPr>
        <w:spacing w:after="0" w:line="126" w:lineRule="exact"/>
        <w:rPr>
          <w:sz w:val="20"/>
          <w:szCs w:val="20"/>
          <w:color w:val="auto"/>
        </w:rPr>
      </w:pPr>
    </w:p>
    <w:p>
      <w:pPr>
        <w:jc w:val="both"/>
        <w:ind w:right="220" w:firstLine="630"/>
        <w:spacing w:after="0" w:line="23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r>
        <w:rPr>
          <w:rFonts w:ascii="Times New Roman" w:cs="Times New Roman" w:eastAsia="Times New Roman" w:hAnsi="Times New Roman"/>
          <w:sz w:val="18"/>
          <w:szCs w:val="18"/>
          <w:color w:val="auto"/>
        </w:rPr>
        <w:t>” means any compensation that is awarded, earned or vested based in whole or in part on the attainment of a Financial reporting measure. Base salaries, bonuses or equity awards paid solely upon satisfying one or more subjective standards, strategic or operational measures, or continued employment are not considered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unless the awards were granted, paid or vested based in part on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-497205</wp:posOffset>
            </wp:positionV>
            <wp:extent cx="6413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6" w:lineRule="exact"/>
        <w:rPr>
          <w:sz w:val="20"/>
          <w:szCs w:val="20"/>
          <w:color w:val="auto"/>
        </w:rPr>
      </w:pPr>
    </w:p>
    <w:p>
      <w:pPr>
        <w:jc w:val="both"/>
        <w:ind w:right="180" w:firstLine="63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 the securities laws, including any required accounting restatement that corrects errors (1) that are material to previously issued financial statements, or (2) that are not material to previously issued financial statements but would result in a material misstatement if the errors were left uncorrected in the current report or the error correction was recognized in the current period.</w:t>
      </w:r>
    </w:p>
    <w:p>
      <w:pPr>
        <w:spacing w:after="0" w:line="163" w:lineRule="exact"/>
        <w:rPr>
          <w:sz w:val="20"/>
          <w:szCs w:val="20"/>
          <w:color w:val="auto"/>
        </w:rPr>
      </w:pPr>
    </w:p>
    <w:p>
      <w:pPr>
        <w:ind w:left="540" w:hanging="383"/>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w:t>
      </w:r>
    </w:p>
    <w:p>
      <w:pPr>
        <w:spacing w:after="0" w:line="229"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If the Company is required to prepare a Restatement, the Company will seek to recover and claw back reasonably promptly all Erroneously awarded compensation received on or after the Effective date by an Affected officer:</w:t>
      </w:r>
    </w:p>
    <w:p>
      <w:pPr>
        <w:spacing w:after="0" w:line="162" w:lineRule="exact"/>
        <w:rPr>
          <w:sz w:val="20"/>
          <w:szCs w:val="20"/>
          <w:color w:val="auto"/>
        </w:rPr>
      </w:pPr>
    </w:p>
    <w:p>
      <w:pPr>
        <w:ind w:left="920" w:hanging="298"/>
        <w:spacing w:after="0"/>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After beginning service as an Affected officer;</w:t>
      </w:r>
    </w:p>
    <w:p>
      <w:pPr>
        <w:spacing w:after="0" w:line="174" w:lineRule="exact"/>
        <w:rPr>
          <w:rFonts w:ascii="Times New Roman" w:cs="Times New Roman" w:eastAsia="Times New Roman" w:hAnsi="Times New Roman"/>
          <w:sz w:val="20"/>
          <w:szCs w:val="20"/>
          <w:color w:val="auto"/>
        </w:rPr>
      </w:pPr>
    </w:p>
    <w:p>
      <w:pPr>
        <w:ind w:left="920" w:hanging="298"/>
        <w:spacing w:after="0" w:line="230" w:lineRule="exact"/>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Who served as an Affected officer at any time during the performance period for that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p>
      <w:pPr>
        <w:spacing w:after="0" w:line="283" w:lineRule="exact"/>
        <w:rPr>
          <w:rFonts w:ascii="Times New Roman" w:cs="Times New Roman" w:eastAsia="Times New Roman" w:hAnsi="Times New Roman"/>
          <w:sz w:val="20"/>
          <w:szCs w:val="20"/>
          <w:color w:val="auto"/>
        </w:rPr>
      </w:pPr>
    </w:p>
    <w:p>
      <w:pPr>
        <w:ind w:left="920" w:hanging="298"/>
        <w:spacing w:after="0"/>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While the Company has a class of securities listed on the Exchange; and</w:t>
      </w:r>
    </w:p>
    <w:p>
      <w:pPr>
        <w:spacing w:after="0" w:line="215" w:lineRule="exact"/>
        <w:rPr>
          <w:rFonts w:ascii="Times New Roman" w:cs="Times New Roman" w:eastAsia="Times New Roman" w:hAnsi="Times New Roman"/>
          <w:sz w:val="20"/>
          <w:szCs w:val="20"/>
          <w:color w:val="auto"/>
        </w:rPr>
      </w:pPr>
    </w:p>
    <w:p>
      <w:pPr>
        <w:ind w:left="940" w:hanging="318"/>
        <w:spacing w:after="0"/>
        <w:tabs>
          <w:tab w:leader="none" w:pos="9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the three completed fiscal years immediately preceding the date on which the Company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469900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19" w:right="339" w:bottom="937" w:gutter="0" w:footer="0" w:header="0"/>
        </w:sectPr>
      </w:pPr>
    </w:p>
    <w:bookmarkStart w:id="71" w:name="page72"/>
    <w:bookmarkEnd w:id="71"/>
    <w:p>
      <w:pPr>
        <w:ind w:left="9" w:right="160"/>
        <w:spacing w:after="0" w:line="282" w:lineRule="auto"/>
        <w:rPr>
          <w:sz w:val="20"/>
          <w:szCs w:val="20"/>
          <w:color w:val="auto"/>
        </w:rPr>
      </w:pPr>
      <w:r>
        <w:rPr>
          <w:rFonts w:ascii="Times New Roman" w:cs="Times New Roman" w:eastAsia="Times New Roman" w:hAnsi="Times New Roman"/>
          <w:sz w:val="18"/>
          <w:szCs w:val="18"/>
          <w:color w:val="auto"/>
        </w:rPr>
        <w:t>to prepare the Restatement (including any transition period within or immediately following those three completed fiscal years that results from a change in the Company’s fiscal year, determined in accordance with the rules of the Exchange).</w:t>
      </w:r>
    </w:p>
    <w:p>
      <w:pPr>
        <w:spacing w:after="0" w:line="148" w:lineRule="exact"/>
        <w:rPr>
          <w:sz w:val="20"/>
          <w:szCs w:val="20"/>
          <w:color w:val="auto"/>
        </w:rPr>
      </w:pPr>
    </w:p>
    <w:p>
      <w:pPr>
        <w:jc w:val="both"/>
        <w:ind w:left="9" w:right="20" w:firstLine="630"/>
        <w:spacing w:after="0" w:line="220" w:lineRule="exact"/>
        <w:rPr>
          <w:sz w:val="20"/>
          <w:szCs w:val="20"/>
          <w:color w:val="auto"/>
        </w:rPr>
      </w:pPr>
      <w:r>
        <w:rPr>
          <w:rFonts w:ascii="Times New Roman" w:cs="Times New Roman" w:eastAsia="Times New Roman" w:hAnsi="Times New Roman"/>
          <w:sz w:val="17"/>
          <w:szCs w:val="17"/>
          <w:color w:val="auto"/>
        </w:rPr>
        <w:t>To the extent any amounts are determined by the Committee to be Erroneously awarded compensation, if, after the release of earnings for any period for which a Restatement subsequently occurs and prior to the announcement of the Restatement for that period, the Affected officer sold any shares of Company common stock acquired under an equity incentive award that constitutes Incentive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the Company will also seek to recover and claw back reasonably promptly the excess of (1) the actual aggregate sales proceeds from the Affected officer’s sale of those shares, over</w:t>
      </w:r>
    </w:p>
    <w:p>
      <w:pPr>
        <w:spacing w:after="0" w:line="3" w:lineRule="exact"/>
        <w:rPr>
          <w:sz w:val="20"/>
          <w:szCs w:val="20"/>
          <w:color w:val="auto"/>
        </w:rPr>
      </w:pPr>
    </w:p>
    <w:p>
      <w:pPr>
        <w:jc w:val="both"/>
        <w:ind w:left="9" w:right="20" w:hanging="9"/>
        <w:spacing w:after="0" w:line="253" w:lineRule="auto"/>
        <w:tabs>
          <w:tab w:leader="none" w:pos="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on condition that the aggregate sales proceeds determined by the Committee under this clause (2) with respect to shares acquired upon exercise of an option may not be less than the aggregate exercise price paid for those shares.</w:t>
      </w:r>
    </w:p>
    <w:p>
      <w:pPr>
        <w:spacing w:after="0" w:line="121" w:lineRule="exact"/>
        <w:rPr>
          <w:sz w:val="20"/>
          <w:szCs w:val="20"/>
          <w:color w:val="auto"/>
        </w:rPr>
      </w:pPr>
    </w:p>
    <w:p>
      <w:pPr>
        <w:ind w:left="629"/>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1" w:lineRule="exact"/>
        <w:rPr>
          <w:sz w:val="20"/>
          <w:szCs w:val="20"/>
          <w:color w:val="auto"/>
        </w:rPr>
      </w:pPr>
    </w:p>
    <w:p>
      <w:pPr>
        <w:jc w:val="both"/>
        <w:ind w:left="9" w:right="40" w:firstLine="1258"/>
        <w:spacing w:after="0" w:line="228"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Erroneously awarded compensation is deemed to be received in the Company’s fiscal year during which the Financial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measure specified in the Incentive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is attained, even if the payment or grant of the Incentive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occurs after the end of that period; and</w:t>
      </w:r>
    </w:p>
    <w:p>
      <w:pPr>
        <w:spacing w:after="0" w:line="181" w:lineRule="exact"/>
        <w:rPr>
          <w:sz w:val="20"/>
          <w:szCs w:val="20"/>
          <w:color w:val="auto"/>
        </w:rPr>
      </w:pPr>
    </w:p>
    <w:p>
      <w:pPr>
        <w:jc w:val="both"/>
        <w:ind w:left="9" w:right="60" w:firstLine="1258"/>
        <w:spacing w:after="0" w:line="275"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17"/>
          <w:szCs w:val="17"/>
          <w:color w:val="auto"/>
        </w:rPr>
        <w:t>the date the Company is required to prepare a Restatement is the earlier of (1) the date the Board, the Committee or any officer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the Company authorized to take such action concludes, or reasonably should have concluded, that the Company is required to prepare the Restatement, and (2) the date a court, regulator, or other legally authorized body directs the Company to prepare the Restatement.</w:t>
      </w:r>
    </w:p>
    <w:p>
      <w:pPr>
        <w:spacing w:after="0" w:line="153" w:lineRule="exact"/>
        <w:rPr>
          <w:sz w:val="20"/>
          <w:szCs w:val="20"/>
          <w:color w:val="auto"/>
        </w:rPr>
      </w:pPr>
    </w:p>
    <w:p>
      <w:pPr>
        <w:jc w:val="both"/>
        <w:ind w:left="9" w:right="120" w:firstLine="1258"/>
        <w:spacing w:after="0" w:line="225" w:lineRule="exact"/>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7"/>
          <w:szCs w:val="17"/>
          <w:color w:val="auto"/>
        </w:rPr>
        <w:t>Notwithstanding anything in this Policy, in no event will the Company be required to award any Affected officers an 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payment or other compensation if the Restatement would have resulted in the grant, payment or vesting of Incentive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that is greater than the Incentive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actually received by the Affected officer. The recovery of Erroneously awarded compensation is not dependent on if or when the Restatement is filed.</w:t>
      </w:r>
    </w:p>
    <w:p>
      <w:pPr>
        <w:spacing w:after="0" w:line="196" w:lineRule="exact"/>
        <w:rPr>
          <w:sz w:val="20"/>
          <w:szCs w:val="20"/>
          <w:color w:val="auto"/>
        </w:rPr>
      </w:pPr>
    </w:p>
    <w:p>
      <w:pPr>
        <w:ind w:left="549" w:hanging="383"/>
        <w:spacing w:after="0"/>
        <w:tabs>
          <w:tab w:leader="none" w:pos="54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SOURCES OF RECOUPMENT</w:t>
      </w:r>
    </w:p>
    <w:p>
      <w:pPr>
        <w:spacing w:after="0" w:line="148" w:lineRule="exact"/>
        <w:rPr>
          <w:sz w:val="20"/>
          <w:szCs w:val="20"/>
          <w:color w:val="auto"/>
        </w:rPr>
      </w:pPr>
    </w:p>
    <w:p>
      <w:pPr>
        <w:jc w:val="both"/>
        <w:ind w:left="9" w:right="60" w:firstLine="630"/>
        <w:spacing w:after="0" w:line="220" w:lineRule="exact"/>
        <w:rPr>
          <w:sz w:val="20"/>
          <w:szCs w:val="20"/>
          <w:color w:val="auto"/>
        </w:rPr>
      </w:pPr>
      <w:r>
        <w:rPr>
          <w:rFonts w:ascii="Times New Roman" w:cs="Times New Roman" w:eastAsia="Times New Roman" w:hAnsi="Times New Roman"/>
          <w:sz w:val="18"/>
          <w:szCs w:val="18"/>
          <w:color w:val="auto"/>
        </w:rPr>
        <w:t>To the extent permitted by applicable law, the Committee may, in its discretion, seek recoupment of Erroneously awarded compensation from an Affected officer from any of the following sources: (1) prior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payments; (2) future payments of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(3) cancellation of outstanding Incentive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(4) direct repayment. To the extent permitted by applicable law, the Company may offset such amount against any compensation or other amounts owed by the Company to the Affected officer.</w:t>
      </w:r>
    </w:p>
    <w:p>
      <w:pPr>
        <w:spacing w:after="0" w:line="187" w:lineRule="exact"/>
        <w:rPr>
          <w:sz w:val="20"/>
          <w:szCs w:val="20"/>
          <w:color w:val="auto"/>
        </w:rPr>
      </w:pPr>
    </w:p>
    <w:p>
      <w:pPr>
        <w:jc w:val="both"/>
        <w:ind w:left="9" w:right="100" w:firstLine="630"/>
        <w:spacing w:after="0" w:line="261" w:lineRule="auto"/>
        <w:rPr>
          <w:sz w:val="20"/>
          <w:szCs w:val="20"/>
          <w:color w:val="auto"/>
        </w:rPr>
      </w:pPr>
      <w:r>
        <w:rPr>
          <w:rFonts w:ascii="Times New Roman" w:cs="Times New Roman" w:eastAsia="Times New Roman" w:hAnsi="Times New Roman"/>
          <w:sz w:val="18"/>
          <w:szCs w:val="18"/>
          <w:color w:val="auto"/>
        </w:rPr>
        <w:t>If an Affected officer fails to repay all Erroneously awarded compensation to the Company when due, the Company will, or will cause one or more of its subsidiaries to, take all actions reasonable and appropriate to recover the Erroneously awarded compensation from the Affected officer; and in that case the Affected officer will be required to reimburse the Company and its subsidiaries for any and all expenses reasonably incurred (including legal fees) by the Company or any of its subsidiaries in recovering the Erroneously awarded compensation.</w:t>
      </w:r>
    </w:p>
    <w:p>
      <w:pPr>
        <w:spacing w:after="0" w:line="176" w:lineRule="exact"/>
        <w:rPr>
          <w:sz w:val="20"/>
          <w:szCs w:val="20"/>
          <w:color w:val="auto"/>
        </w:rPr>
      </w:pPr>
    </w:p>
    <w:p>
      <w:pPr>
        <w:ind w:left="549" w:hanging="383"/>
        <w:spacing w:after="0"/>
        <w:tabs>
          <w:tab w:leader="none" w:pos="54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EXCEPTIONS TO RECOVERY</w:t>
      </w:r>
    </w:p>
    <w:p>
      <w:pPr>
        <w:spacing w:after="0" w:line="216" w:lineRule="exact"/>
        <w:rPr>
          <w:sz w:val="20"/>
          <w:szCs w:val="20"/>
          <w:color w:val="auto"/>
        </w:rPr>
      </w:pPr>
    </w:p>
    <w:p>
      <w:pPr>
        <w:jc w:val="both"/>
        <w:ind w:left="9" w:right="60" w:firstLine="63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on condition that the Committee (or a majority of the independent members of the Board) has made a determination that recovery would be impracticable because:</w:t>
      </w:r>
    </w:p>
    <w:p>
      <w:pPr>
        <w:spacing w:after="0" w:line="189" w:lineRule="exact"/>
        <w:rPr>
          <w:sz w:val="20"/>
          <w:szCs w:val="20"/>
          <w:color w:val="auto"/>
        </w:rPr>
      </w:pPr>
    </w:p>
    <w:p>
      <w:pPr>
        <w:jc w:val="both"/>
        <w:ind w:left="-11" w:firstLine="641"/>
        <w:spacing w:after="0" w:line="252" w:lineRule="auto"/>
        <w:tabs>
          <w:tab w:leader="none" w:pos="91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amounts, and in which case the Company has made a reasonable attempt to recover the Erroneously awarded compensation, has documented that attempt and has (to the extent required) provided that documentation to the Exchange;</w:t>
      </w:r>
    </w:p>
    <w:p>
      <w:pPr>
        <w:spacing w:after="0" w:line="228" w:lineRule="exact"/>
        <w:rPr>
          <w:rFonts w:ascii="Times New Roman" w:cs="Times New Roman" w:eastAsia="Times New Roman" w:hAnsi="Times New Roman"/>
          <w:sz w:val="20"/>
          <w:szCs w:val="20"/>
          <w:color w:val="auto"/>
        </w:rPr>
      </w:pPr>
    </w:p>
    <w:p>
      <w:pPr>
        <w:ind w:left="-111" w:firstLine="742"/>
        <w:spacing w:after="0" w:line="255" w:lineRule="auto"/>
        <w:tabs>
          <w:tab w:leader="none" w:pos="90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recovery would violate home country law where the law was adopted prior to November 28, 2022, and in which case the Company provides an opinion of home country counsel to that effect to the Exchange that is acceptable to the Exchange; or</w:t>
      </w:r>
    </w:p>
    <w:p>
      <w:pPr>
        <w:spacing w:after="0" w:line="183" w:lineRule="exact"/>
        <w:rPr>
          <w:rFonts w:ascii="Times New Roman" w:cs="Times New Roman" w:eastAsia="Times New Roman" w:hAnsi="Times New Roman"/>
          <w:sz w:val="20"/>
          <w:szCs w:val="20"/>
          <w:color w:val="auto"/>
        </w:rPr>
      </w:pPr>
    </w:p>
    <w:p>
      <w:pPr>
        <w:ind w:left="-111" w:firstLine="742"/>
        <w:spacing w:after="0" w:line="245" w:lineRule="exact"/>
        <w:tabs>
          <w:tab w:leader="none" w:pos="90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recovery would likely cause an otherwise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retirement plan, under which benefits are broadly available to employees of the Company, to fail to meet the requirements of the Internal Revenue Code of 1986.</w:t>
      </w:r>
    </w:p>
    <w:p>
      <w:pPr>
        <w:spacing w:after="0" w:line="235" w:lineRule="exact"/>
        <w:rPr>
          <w:sz w:val="20"/>
          <w:szCs w:val="20"/>
          <w:color w:val="auto"/>
        </w:rPr>
      </w:pPr>
    </w:p>
    <w:p>
      <w:pPr>
        <w:ind w:left="549" w:hanging="383"/>
        <w:spacing w:after="0"/>
        <w:tabs>
          <w:tab w:leader="none" w:pos="54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AND INSURANCE</w:t>
      </w:r>
    </w:p>
    <w:p>
      <w:pPr>
        <w:spacing w:after="0" w:line="229" w:lineRule="exact"/>
        <w:rPr>
          <w:sz w:val="20"/>
          <w:szCs w:val="20"/>
          <w:color w:val="auto"/>
        </w:rPr>
      </w:pPr>
    </w:p>
    <w:p>
      <w:pPr>
        <w:jc w:val="both"/>
        <w:ind w:left="9" w:right="60" w:firstLine="630"/>
        <w:spacing w:after="0" w:line="220" w:lineRule="exact"/>
        <w:rPr>
          <w:sz w:val="20"/>
          <w:szCs w:val="20"/>
          <w:color w:val="auto"/>
        </w:rPr>
      </w:pPr>
      <w:r>
        <w:rPr>
          <w:rFonts w:ascii="Times New Roman" w:cs="Times New Roman" w:eastAsia="Times New Roman" w:hAnsi="Times New Roman"/>
          <w:sz w:val="18"/>
          <w:szCs w:val="18"/>
          <w:color w:val="0D0D0D"/>
        </w:rPr>
        <w:t>Neither the Company nor any of its subsidiaries is permitted to indemnify or reimburse any Affected officer against the recovery of Erroneously awarded compensation. In addition, the Company and its subsidiaries are prohibited from paying the premiums on an insurance policy that would cover an Affected officer’s potential clawback obligations, or entering into any agreement that exempts any Incentive</w:t>
      </w:r>
      <w:r>
        <w:rPr>
          <w:rFonts w:ascii="MS PGothic" w:cs="MS PGothic" w:eastAsia="MS PGothic" w:hAnsi="MS PGothic"/>
          <w:sz w:val="18"/>
          <w:szCs w:val="18"/>
          <w:color w:val="0D0D0D"/>
        </w:rPr>
        <w:t>‐</w:t>
      </w:r>
      <w:r>
        <w:rPr>
          <w:rFonts w:ascii="Times New Roman" w:cs="Times New Roman" w:eastAsia="Times New Roman" w:hAnsi="Times New Roman"/>
          <w:sz w:val="18"/>
          <w:szCs w:val="18"/>
          <w:color w:val="0D0D0D"/>
        </w:rPr>
        <w:t>based compensation from this Policy or that waives the Company’s or any of its subsidiary’s rights to recover Erroneously awarded compensation in accordance with this Policy, and this Policy will supersede any such agreement.</w:t>
      </w:r>
    </w:p>
    <w:p>
      <w:pPr>
        <w:spacing w:after="0" w:line="183" w:lineRule="exact"/>
        <w:rPr>
          <w:sz w:val="20"/>
          <w:szCs w:val="20"/>
          <w:color w:val="auto"/>
        </w:rPr>
      </w:pPr>
    </w:p>
    <w:p>
      <w:pPr>
        <w:ind w:left="549" w:hanging="383"/>
        <w:spacing w:after="0"/>
        <w:tabs>
          <w:tab w:leader="none" w:pos="54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9" w:right="20" w:firstLine="630"/>
        <w:spacing w:after="0" w:line="266" w:lineRule="auto"/>
        <w:rPr>
          <w:sz w:val="20"/>
          <w:szCs w:val="20"/>
          <w:color w:val="auto"/>
        </w:rPr>
      </w:pPr>
      <w:r>
        <w:rPr>
          <w:rFonts w:ascii="Times New Roman" w:cs="Times New Roman" w:eastAsia="Times New Roman" w:hAnsi="Times New Roman"/>
          <w:sz w:val="18"/>
          <w:szCs w:val="18"/>
          <w:color w:val="auto"/>
        </w:rPr>
        <w:t xml:space="preserve">If any provision of this Policy or the application of any such provision to any Affected officer is adjudicated to be invalid, illegal or unenforceable in any respect, that invalidity, illegality or </w:t>
      </w:r>
      <w:r>
        <w:rPr>
          <w:rFonts w:ascii="Times New Roman" w:cs="Times New Roman" w:eastAsia="Times New Roman" w:hAnsi="Times New Roman"/>
          <w:sz w:val="18"/>
          <w:szCs w:val="18"/>
          <w:color w:val="0D0D0D"/>
        </w:rPr>
        <w:t>unenforceability</w:t>
      </w:r>
      <w:r>
        <w:rPr>
          <w:rFonts w:ascii="Times New Roman" w:cs="Times New Roman" w:eastAsia="Times New Roman" w:hAnsi="Times New Roman"/>
          <w:sz w:val="18"/>
          <w:szCs w:val="18"/>
          <w:color w:val="auto"/>
        </w:rPr>
        <w:t xml:space="preserve"> will not affect any other provisions of this Policy, and the invalid, illegal or unenforceable provisions is to be deemed amended to the minimum extent necessary to render that provision or application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453390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9"/>
          </w:cols>
          <w:pgMar w:left="431" w:top="769" w:right="499" w:bottom="830" w:gutter="0" w:footer="0" w:header="0"/>
        </w:sectPr>
      </w:pPr>
    </w:p>
    <w:bookmarkStart w:id="72" w:name="page73"/>
    <w:bookmarkEnd w:id="72"/>
    <w:p>
      <w:pPr>
        <w:ind w:left="540" w:hanging="383"/>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OTHER REMEDIES</w:t>
      </w:r>
    </w:p>
    <w:p>
      <w:pPr>
        <w:spacing w:after="0" w:line="229" w:lineRule="exact"/>
        <w:rPr>
          <w:sz w:val="20"/>
          <w:szCs w:val="20"/>
          <w:color w:val="auto"/>
        </w:rPr>
      </w:pPr>
    </w:p>
    <w:p>
      <w:pPr>
        <w:jc w:val="both"/>
        <w:ind w:firstLine="630"/>
        <w:spacing w:after="0" w:line="218" w:lineRule="exact"/>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an Affected officer’s obligations to the Company or limit any other remedies that the Company may have available to it and any other actions that the Company may take, including termination of employment, institution of civil proceedings, or reporting of any misconduct to appropriate government authorities. The Company will comply with the disclosure, documentation and records requirements related to this Policy under Section 10D of the Exchange Act, applicable listing rules of the Exchange and applicable Securities and Exchange Commission filings. This Policy is in addition to the requirements of Section 304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are applicable to the Company’s chief executive officer and chief financial officer. Any right of recovery under this Policy is in addition to, and not in lieu of, any other remedies or rights of recovery that may be available to the Company and any of its subsidiaries under applicable law, regulation or rule or under the terms of any similar policy in any employment agreement, offer letter, compensation plan, equity award agreement, or similar agreement and any other legal remedies available to the Company or any of its subsidiaries. The Committee may require that any employment agreement, offer letter, compensation plan, equity award agreement, or any other agreement entered into on or after the Effective date will, as a condition to the grant of any benefit thereunder, require an Affected officer to agree to abide by the terms of this Policy.</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968" w:right="559" w:bottom="1440" w:gutter="0" w:footer="0" w:header="0"/>
        </w:sectPr>
      </w:pPr>
    </w:p>
    <w:bookmarkStart w:id="73" w:name="page74"/>
    <w:bookmarkEnd w:id="73"/>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ATTESTATION AND ACKNOWLEDGEMENT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225"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and read the attached Clawback Policy (this "Policy").</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abide by all of the terms of this Policy both during and after my employment with the Company, including, without limitation, by promptly repaying or returning any Erroneously awarded compensation or other compensation to the Company as determined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7"/>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3"/>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lvl w:ilvl="1">
      <w:lvlJc w:val="left"/>
      <w:lvlText w:val="(%2)"/>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2"/>
    </w:lvl>
  </w:abstractNum>
  <w:abstractNum w:abstractNumId="37">
    <w:nsid w:val="2A487CB0"/>
    <w:multiLevelType w:val="hybridMultilevel"/>
    <w:lvl w:ilvl="0">
      <w:lvlJc w:val="left"/>
      <w:lvlText w:val="%1."/>
      <w:numFmt w:val="decimal"/>
      <w:start w:val="3"/>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2"/>
    </w:lvl>
  </w:abstractNum>
  <w:abstractNum w:abstractNumId="41">
    <w:nsid w:val="57E4CCAF"/>
    <w:multiLevelType w:val="hybridMultilevel"/>
    <w:lvl w:ilvl="0">
      <w:lvlJc w:val="left"/>
      <w:lvlText w:val="%1."/>
      <w:numFmt w:val="decimal"/>
      <w:start w:val="5"/>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7"/>
    </w:lvl>
  </w:abstractNum>
  <w:abstractNum w:abstractNumId="45">
    <w:nsid w:val="6DE91B18"/>
    <w:multiLevelType w:val="hybridMultilevel"/>
    <w:lvl w:ilvl="0">
      <w:lvlJc w:val="left"/>
      <w:lvlText w:val="%1."/>
      <w:numFmt w:val="decimal"/>
      <w:start w:val="8"/>
    </w:lvl>
  </w:abstractNum>
  <w:abstractNum w:abstractNumId="46">
    <w:nsid w:val="38437FDB"/>
    <w:multiLevelType w:val="hybridMultilevel"/>
    <w:lvl w:ilvl="0">
      <w:lvlJc w:val="left"/>
      <w:lvlText w:val="%1."/>
      <w:numFmt w:val="decimal"/>
      <w:start w:val="9"/>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272" Type="http://schemas.openxmlformats.org/officeDocument/2006/relationships/hyperlink" Target="https://www.sec.gov/Archives/edgar/data/1720116/000119312518062230/d528710dex21.htm" TargetMode="External"/><Relationship Id="rId273" Type="http://schemas.openxmlformats.org/officeDocument/2006/relationships/hyperlink" Target="https://www.sec.gov/Archives/edgar/data/1720116/000119312518097860/d559011dex31.htm" TargetMode="External"/><Relationship Id="rId274" Type="http://schemas.openxmlformats.org/officeDocument/2006/relationships/hyperlink" Target="https://www.sec.gov/Archives/edgar/data/1720116/000119312518097860/d559011dex32.htm" TargetMode="External"/><Relationship Id="rId275" Type="http://schemas.openxmlformats.org/officeDocument/2006/relationships/hyperlink" Target="https://www.sec.gov/Archives/edgar/data/0001720116/000156459020010508/rdvt-ex41_144.htm" TargetMode="External"/><Relationship Id="rId276" Type="http://schemas.openxmlformats.org/officeDocument/2006/relationships/hyperlink" Target="https://www.sec.gov/Archives/edgar/data/1720116/000119312518062230/d528710dex102.htm" TargetMode="External"/><Relationship Id="rId277" Type="http://schemas.openxmlformats.org/officeDocument/2006/relationships/hyperlink" Target="https://www.sec.gov/Archives/edgar/data/1720116/000119312518097860/d559011dex102.htm" TargetMode="External"/><Relationship Id="rId278" Type="http://schemas.openxmlformats.org/officeDocument/2006/relationships/hyperlink" Target="https://www.sec.gov/Archives/edgar/data/1720116/000119312518097860/d559011dex103.htm" TargetMode="External"/><Relationship Id="rId279" Type="http://schemas.openxmlformats.org/officeDocument/2006/relationships/hyperlink" Target="https://www.sec.gov/Archives/edgar/data/1720116/000119312518097860/d559011dex104.htm" TargetMode="External"/><Relationship Id="rId280" Type="http://schemas.openxmlformats.org/officeDocument/2006/relationships/hyperlink" Target="https://www.sec.gov/Archives/edgar/data/1720116/000119312518097860/d559011dex105.htm" TargetMode="External"/><Relationship Id="rId281" Type="http://schemas.openxmlformats.org/officeDocument/2006/relationships/hyperlink" Target="https://www.sec.gov/Archives/edgar/data/1720116/000119312518097860/d559011dex106.htm" TargetMode="External"/><Relationship Id="rId282" Type="http://schemas.openxmlformats.org/officeDocument/2006/relationships/hyperlink" Target="https://www.sec.gov/Archives/edgar/data/1720116/000156459018020212/rdvt-ex101_136.htm" TargetMode="External"/><Relationship Id="rId283" Type="http://schemas.openxmlformats.org/officeDocument/2006/relationships/hyperlink" Target="https://www.sec.gov/Archives/edgar/data/1720116/000156459018028035/rdvt-ex102_85.htm" TargetMode="External"/><Relationship Id="rId284" Type="http://schemas.openxmlformats.org/officeDocument/2006/relationships/hyperlink" Target="https://www.sec.gov/Archives/edgar/data/1720116/000156459019028779/rdvt-ex101_12.htm" TargetMode="External"/><Relationship Id="rId285" Type="http://schemas.openxmlformats.org/officeDocument/2006/relationships/hyperlink" Target="https://www.sec.gov/Archives/edgar/data/1720116/000156459020010508/rdvt-ex1013_193.htm" TargetMode="External"/><Relationship Id="rId286" Type="http://schemas.openxmlformats.org/officeDocument/2006/relationships/hyperlink" Target="https://www.sec.gov/Archives/edgar/data/1720116/000156459020028399/rdvt-ex101_6.htm" TargetMode="External"/><Relationship Id="rId287" Type="http://schemas.openxmlformats.org/officeDocument/2006/relationships/hyperlink" Target="https://www.sec.gov/Archives/edgar/data/1720116/000156459021006204/rdvt-ex101_6.htm" TargetMode="External"/><Relationship Id="rId288" Type="http://schemas.openxmlformats.org/officeDocument/2006/relationships/hyperlink" Target="https://www.sec.gov/Archives/edgar/data/0001720116/000156459021012098/rdvt-ex1015_19.htm" TargetMode="External"/><Relationship Id="rId289" Type="http://schemas.openxmlformats.org/officeDocument/2006/relationships/hyperlink" Target="https://www.sec.gov/Archives/edgar/data/0001720116/000156459021012098/rdvt-ex1016_18.htm" TargetMode="External"/><Relationship Id="rId290" Type="http://schemas.openxmlformats.org/officeDocument/2006/relationships/hyperlink" Target="https://www.sec.gov/Archives/edgar/data/0001720116/000156459021012098/rdvt-ex1017_16.htm" TargetMode="External"/><Relationship Id="rId291" Type="http://schemas.openxmlformats.org/officeDocument/2006/relationships/hyperlink" Target="https://www.sec.gov/Archives/edgar/data/0001720116/000156459021012098/rdvt-ex1018_17.htm" TargetMode="External"/><Relationship Id="rId292" Type="http://schemas.openxmlformats.org/officeDocument/2006/relationships/hyperlink" Target="https://www.sec.gov/Archives/edgar/data/0001720116/000095017021004778/rdvt-ex10_1.htm" TargetMode="External"/><Relationship Id="rId293" Type="http://schemas.openxmlformats.org/officeDocument/2006/relationships/hyperlink" Target="https://www.sec.gov/Archives/edgar/data/1720116/000095017022010778/rdvt-ex10_1.htm" TargetMode="External"/><Relationship Id="rId294" Type="http://schemas.openxmlformats.org/officeDocument/2006/relationships/hyperlink" Target="https://www.sec.gov/Archives/edgar/data/1720116/000095017023039142/rdvt-ex10_1.htm" TargetMode="External"/><Relationship Id="rId295" Type="http://schemas.openxmlformats.org/officeDocument/2006/relationships/hyperlink" Target="https://www.sec.gov/Archives/edgar/data/1720116/000095017023039142/rdvt-ex10_2.htm" TargetMode="External"/><Relationship Id="rId296" Type="http://schemas.openxmlformats.org/officeDocument/2006/relationships/hyperlink" Target="https://www.sec.gov/Archives/edgar/data/1720116/000095017023039142/rdvt-ex10_3.htm" TargetMode="External"/><Relationship Id="rId297" Type="http://schemas.openxmlformats.org/officeDocument/2006/relationships/hyperlink" Target="https://www.sec.gov/Archives/edgar/data/1720116/000095017023039142/rdvt-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2024-03-07T16:03:33Z</dcterms:created>
  <dcterms:modified xsi:type="dcterms:W3CDTF">2024-03-07T16:03:33Z</dcterms:modified>
</cp:coreProperties>
</file>