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172720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162560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RED VIOLET,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97" w:lineRule="exact"/>
        <w:rPr>
          <w:sz w:val="24"/>
          <w:szCs w:val="24"/>
          <w:color w:val="auto"/>
        </w:rPr>
      </w:pPr>
    </w:p>
    <w:tbl>
      <w:tblPr>
        <w:tblLayout w:type="fixed"/>
        <w:tblInd w:w="1240" w:type="dxa"/>
        <w:tblCellMar>
          <w:top w:w="0" w:type="dxa"/>
          <w:left w:w="0" w:type="dxa"/>
          <w:bottom w:w="0" w:type="dxa"/>
          <w:right w:w="0" w:type="dxa"/>
        </w:tblCellMar>
      </w:tblPr>
      <w:tr>
        <w:trPr>
          <w:trHeight w:val="214"/>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001-38407</w:t>
            </w:r>
          </w:p>
        </w:tc>
        <w:tc>
          <w:tcPr>
            <w:tcW w:w="240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82-2408531</w:t>
            </w:r>
          </w:p>
        </w:tc>
      </w:tr>
      <w:tr>
        <w:trPr>
          <w:trHeight w:val="148"/>
        </w:trPr>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4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00" w:type="dxa"/>
            <w:vAlign w:val="bottom"/>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4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0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63" w:lineRule="exact"/>
        <w:rPr>
          <w:sz w:val="24"/>
          <w:szCs w:val="24"/>
          <w:color w:val="auto"/>
        </w:rPr>
      </w:pPr>
    </w:p>
    <w:p>
      <w:pPr>
        <w:sectPr>
          <w:pgSz w:w="11900" w:h="16838" w:orient="portrait"/>
          <w:cols w:equalWidth="0" w:num="1">
            <w:col w:w="11240"/>
          </w:cols>
          <w:pgMar w:left="320" w:top="1407" w:right="339" w:bottom="1440" w:gutter="0" w:footer="0" w:header="0"/>
        </w:sectPr>
      </w:pPr>
    </w:p>
    <w:p>
      <w:pPr>
        <w:ind w:left="3060"/>
        <w:spacing w:after="0"/>
        <w:rPr>
          <w:sz w:val="20"/>
          <w:szCs w:val="20"/>
          <w:color w:val="auto"/>
        </w:rPr>
      </w:pPr>
      <w:r>
        <w:rPr>
          <w:rFonts w:ascii="Times New Roman" w:cs="Times New Roman" w:eastAsia="Times New Roman" w:hAnsi="Times New Roman"/>
          <w:sz w:val="17"/>
          <w:szCs w:val="17"/>
          <w:b w:val="1"/>
          <w:bCs w:val="1"/>
          <w:color w:val="auto"/>
        </w:rPr>
        <w:t>2650 North Military Trail, Suite 300, Boca Raton, FL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33431</w:t>
      </w:r>
    </w:p>
    <w:p>
      <w:pPr>
        <w:spacing w:after="0" w:line="59" w:lineRule="exact"/>
        <w:rPr>
          <w:sz w:val="24"/>
          <w:szCs w:val="24"/>
          <w:color w:val="auto"/>
        </w:rPr>
      </w:pPr>
    </w:p>
    <w:p>
      <w:pPr>
        <w:sectPr>
          <w:pgSz w:w="11900" w:h="16838" w:orient="portrait"/>
          <w:cols w:equalWidth="0" w:num="2">
            <w:col w:w="7140" w:space="600"/>
            <w:col w:w="3500"/>
          </w:cols>
          <w:pgMar w:left="320" w:top="1407" w:right="339" w:bottom="1440" w:gutter="0" w:footer="0" w:header="0"/>
          <w:type w:val="continuous"/>
        </w:sectPr>
      </w:pPr>
    </w:p>
    <w:p>
      <w:pPr>
        <w:ind w:left="29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92" w:lineRule="exact"/>
        <w:rPr>
          <w:sz w:val="24"/>
          <w:szCs w:val="24"/>
          <w:color w:val="auto"/>
        </w:rPr>
      </w:pPr>
    </w:p>
    <w:p>
      <w:pPr>
        <w:sectPr>
          <w:pgSz w:w="11900" w:h="16838" w:orient="portrait"/>
          <w:cols w:equalWidth="0" w:num="2">
            <w:col w:w="6900" w:space="720"/>
            <w:col w:w="3620"/>
          </w:cols>
          <w:pgMar w:left="320" w:top="1407"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561-757-4000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1240"/>
          </w:cols>
          <w:pgMar w:left="320" w:top="1407" w:right="339" w:bottom="1440" w:gutter="0" w:footer="0" w:header="0"/>
          <w:type w:val="continuous"/>
        </w:sectPr>
      </w:pP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142240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78"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680" w:hanging="672"/>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680" w:hanging="672"/>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680" w:hanging="672"/>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219"/>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Trading Symbol (s)</w:t>
            </w:r>
          </w:p>
        </w:tc>
        <w:tc>
          <w:tcPr>
            <w:tcW w:w="374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94"/>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RDVT</w:t>
            </w:r>
          </w:p>
        </w:tc>
        <w:tc>
          <w:tcPr>
            <w:tcW w:w="37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43"/>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bl>
    <w:p>
      <w:pPr>
        <w:spacing w:after="0" w:line="40" w:lineRule="exact"/>
        <w:rPr>
          <w:sz w:val="24"/>
          <w:szCs w:val="24"/>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09"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type w:val="continuous"/>
        </w:sectPr>
      </w:pPr>
    </w:p>
    <w:bookmarkStart w:id="1" w:name="page2"/>
    <w:bookmarkEnd w:id="1"/>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information set forth under Item 5.07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On June 3, 2026, Red Violet, Inc. (the “Company”) held its 2026 Annual Meeting of Stockholders (the "Annual Meeting"). At the Annual Meeting, the total number of shares represented in person or by proxy was 12,094,664 of the 14,112,391 shares of common stock outstanding and entitled to vote at the Annual Meeting as of the record date, April 9, 2026. The following matters were voted upon at the Annual Meeting:</w:t>
      </w:r>
    </w:p>
    <w:p>
      <w:pPr>
        <w:spacing w:after="0" w:line="176" w:lineRule="exact"/>
        <w:rPr>
          <w:sz w:val="20"/>
          <w:szCs w:val="20"/>
          <w:color w:val="auto"/>
        </w:rPr>
      </w:pPr>
    </w:p>
    <w:p>
      <w:pPr>
        <w:ind w:right="720" w:firstLine="8"/>
        <w:spacing w:after="0" w:line="282" w:lineRule="auto"/>
        <w:tabs>
          <w:tab w:leader="none" w:pos="50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The following named persons were elected as Directors of the Company to serve until the next Annual Meeting of Stockholders in 2027 or until their successors are elected and qualified. The votes cast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w w:val="99"/>
              </w:rPr>
              <w:t>Director Nominee</w:t>
            </w:r>
          </w:p>
        </w:tc>
        <w:tc>
          <w:tcPr>
            <w:tcW w:w="150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 Withheld</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w w:val="98"/>
              </w:rPr>
              <w:t>Broker Non-Vote</w:t>
            </w:r>
          </w:p>
        </w:tc>
      </w:tr>
      <w:tr>
        <w:trPr>
          <w:trHeight w:val="20"/>
        </w:trPr>
        <w:tc>
          <w:tcPr>
            <w:tcW w:w="13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45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Derek Dubner</w:t>
            </w:r>
          </w:p>
        </w:tc>
        <w:tc>
          <w:tcPr>
            <w:tcW w:w="15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8,474,133</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1,215,506</w:t>
            </w:r>
          </w:p>
        </w:tc>
        <w:tc>
          <w:tcPr>
            <w:tcW w:w="176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2,405,025</w:t>
            </w:r>
          </w:p>
        </w:tc>
      </w:tr>
      <w:tr>
        <w:trPr>
          <w:trHeight w:val="432"/>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Livek</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9,401,190</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288,449</w:t>
            </w:r>
          </w:p>
        </w:tc>
        <w:tc>
          <w:tcPr>
            <w:tcW w:w="176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2,405,025</w:t>
            </w:r>
          </w:p>
        </w:tc>
      </w:tr>
      <w:tr>
        <w:trPr>
          <w:trHeight w:val="432"/>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Rubin</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4,346,340</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5,343,299</w:t>
            </w:r>
          </w:p>
        </w:tc>
        <w:tc>
          <w:tcPr>
            <w:tcW w:w="176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2,405,025</w:t>
            </w:r>
          </w:p>
        </w:tc>
      </w:tr>
      <w:tr>
        <w:trPr>
          <w:trHeight w:val="432"/>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Stanton</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9,421,726</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267,913</w:t>
            </w:r>
          </w:p>
        </w:tc>
        <w:tc>
          <w:tcPr>
            <w:tcW w:w="176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2,405,025</w:t>
            </w:r>
          </w:p>
        </w:tc>
      </w:tr>
      <w:tr>
        <w:trPr>
          <w:trHeight w:val="432"/>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 Strakosch</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9,530,425</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159,214</w:t>
            </w:r>
          </w:p>
        </w:tc>
        <w:tc>
          <w:tcPr>
            <w:tcW w:w="176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2,405,025</w:t>
            </w:r>
          </w:p>
        </w:tc>
      </w:tr>
    </w:tbl>
    <w:p>
      <w:pPr>
        <w:spacing w:after="0" w:line="238" w:lineRule="exact"/>
        <w:rPr>
          <w:sz w:val="20"/>
          <w:szCs w:val="20"/>
          <w:color w:val="auto"/>
        </w:rPr>
      </w:pPr>
    </w:p>
    <w:p>
      <w:pPr>
        <w:ind w:right="280" w:firstLine="8"/>
        <w:spacing w:after="0" w:line="282" w:lineRule="auto"/>
        <w:tabs>
          <w:tab w:leader="none" w:pos="5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Independent Public Accounting Firm for 2026</w:t>
      </w:r>
      <w:r>
        <w:rPr>
          <w:rFonts w:ascii="Times New Roman" w:cs="Times New Roman" w:eastAsia="Times New Roman" w:hAnsi="Times New Roman"/>
          <w:sz w:val="18"/>
          <w:szCs w:val="18"/>
          <w:color w:val="auto"/>
        </w:rPr>
        <w:t>. The stockholders voted to ratify the appointment of Grant Thornton, LLP as the independent registered public accounting firm for the Company for the year ending December 31, 2026. The stockholder vote was as follows:</w:t>
      </w:r>
    </w:p>
    <w:p>
      <w:pPr>
        <w:spacing w:after="0" w:line="162" w:lineRule="exact"/>
        <w:rPr>
          <w:sz w:val="20"/>
          <w:szCs w:val="20"/>
          <w:color w:val="auto"/>
        </w:rPr>
      </w:pPr>
    </w:p>
    <w:tbl>
      <w:tblPr>
        <w:tblLayout w:type="fixed"/>
        <w:tblInd w:w="68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Votes</w:t>
            </w:r>
          </w:p>
        </w:tc>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12,083,156</w:t>
            </w:r>
          </w:p>
        </w:tc>
        <w:tc>
          <w:tcPr>
            <w:tcW w:w="2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FOR the resolution</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Votes</w:t>
            </w:r>
          </w:p>
        </w:tc>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9,602</w:t>
            </w:r>
          </w:p>
        </w:tc>
        <w:tc>
          <w:tcPr>
            <w:tcW w:w="26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8"/>
              </w:rPr>
              <w:t>AGAINST the resolution</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Votes</w:t>
            </w:r>
          </w:p>
        </w:tc>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1,906</w:t>
            </w:r>
          </w:p>
        </w:tc>
        <w:tc>
          <w:tcPr>
            <w:tcW w:w="2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ABSTAIN</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broker non-votes for this proposal.</w:t>
      </w:r>
    </w:p>
    <w:p>
      <w:pPr>
        <w:spacing w:after="0" w:line="225" w:lineRule="exact"/>
        <w:rPr>
          <w:sz w:val="20"/>
          <w:szCs w:val="20"/>
          <w:color w:val="auto"/>
        </w:rPr>
      </w:pPr>
    </w:p>
    <w:p>
      <w:pPr>
        <w:ind w:right="560" w:firstLine="8"/>
        <w:spacing w:after="0" w:line="282" w:lineRule="auto"/>
        <w:tabs>
          <w:tab w:leader="none" w:pos="5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Say on Pay</w:t>
      </w:r>
      <w:r>
        <w:rPr>
          <w:rFonts w:ascii="Times New Roman" w:cs="Times New Roman" w:eastAsia="Times New Roman" w:hAnsi="Times New Roman"/>
          <w:sz w:val="18"/>
          <w:szCs w:val="18"/>
          <w:color w:val="auto"/>
        </w:rPr>
        <w:t>. The stockholders voted to approve, on an advisory basis, the Company’s named executive officers’ compensation for 2025, as described in the proxy statement for the Annual Meeting in accordance with Regulation S-K, Item 402. The stockholder vote was as follows:</w:t>
      </w:r>
    </w:p>
    <w:p>
      <w:pPr>
        <w:spacing w:after="0" w:line="162" w:lineRule="exact"/>
        <w:rPr>
          <w:sz w:val="20"/>
          <w:szCs w:val="20"/>
          <w:color w:val="auto"/>
        </w:rPr>
      </w:pPr>
    </w:p>
    <w:tbl>
      <w:tblPr>
        <w:tblLayout w:type="fixed"/>
        <w:tblInd w:w="68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Votes</w:t>
            </w:r>
          </w:p>
        </w:tc>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8,925,718</w:t>
            </w:r>
          </w:p>
        </w:tc>
        <w:tc>
          <w:tcPr>
            <w:tcW w:w="2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FOR the resolution</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Votes</w:t>
            </w:r>
          </w:p>
        </w:tc>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238,311</w:t>
            </w:r>
          </w:p>
        </w:tc>
        <w:tc>
          <w:tcPr>
            <w:tcW w:w="26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8"/>
              </w:rPr>
              <w:t>AGAINST the resolution</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Votes</w:t>
            </w:r>
          </w:p>
        </w:tc>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525,610</w:t>
            </w:r>
          </w:p>
        </w:tc>
        <w:tc>
          <w:tcPr>
            <w:tcW w:w="2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ABSTAIN</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2,405,025 broker non-votes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5" w:right="4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29" w:lineRule="exact"/>
        <w:rPr>
          <w:sz w:val="20"/>
          <w:szCs w:val="20"/>
          <w:color w:val="auto"/>
        </w:rPr>
      </w:pPr>
    </w:p>
    <w:p>
      <w:pPr>
        <w:spacing w:after="0"/>
        <w:tabs>
          <w:tab w:leader="none" w:pos="5220" w:val="left"/>
          <w:tab w:leader="none" w:pos="5700" w:val="left"/>
        </w:tabs>
        <w:rPr>
          <w:sz w:val="20"/>
          <w:szCs w:val="20"/>
          <w:color w:val="auto"/>
        </w:rPr>
      </w:pPr>
      <w:r>
        <w:rPr>
          <w:rFonts w:ascii="Times New Roman" w:cs="Times New Roman" w:eastAsia="Times New Roman" w:hAnsi="Times New Roman"/>
          <w:sz w:val="18"/>
          <w:szCs w:val="18"/>
          <w:color w:val="auto"/>
        </w:rPr>
        <w:t>Date: June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3505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Derek Dubner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2026-06-05T16:21:34Z</dcterms:created>
  <dcterms:modified xsi:type="dcterms:W3CDTF">2026-06-05T16:21:34Z</dcterms:modified>
</cp:coreProperties>
</file>