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47625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80645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61" w:lineRule="exact"/>
        <w:rPr>
          <w:rFonts w:ascii="MS PGothic" w:cs="MS PGothic" w:eastAsia="MS PGothic" w:hAnsi="MS PGothic"/>
          <w:sz w:val="22"/>
          <w:szCs w:val="22"/>
          <w:color w:val="auto"/>
          <w:highlight w:val="black"/>
        </w:rPr>
      </w:pPr>
    </w:p>
    <w:p>
      <w:pPr>
        <w:spacing w:after="0"/>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For the quarterly period ended September 30, 2019</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5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860" w:type="dxa"/>
            <w:vAlign w:val="bottom"/>
          </w:tcPr>
          <w:p>
            <w:pPr>
              <w:spacing w:after="0"/>
              <w:rPr>
                <w:sz w:val="17"/>
                <w:szCs w:val="17"/>
                <w:color w:val="auto"/>
              </w:rPr>
            </w:pPr>
          </w:p>
        </w:tc>
        <w:tc>
          <w:tcPr>
            <w:tcW w:w="38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45"/>
        </w:trPr>
        <w:tc>
          <w:tcPr>
            <w:tcW w:w="23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760" w:type="dxa"/>
            <w:vAlign w:val="bottom"/>
          </w:tcPr>
          <w:p>
            <w:pPr>
              <w:ind w:left="40"/>
              <w:spacing w:after="0"/>
              <w:rPr>
                <w:sz w:val="20"/>
                <w:szCs w:val="20"/>
                <w:color w:val="auto"/>
              </w:rPr>
            </w:pPr>
            <w:r>
              <w:rPr>
                <w:rFonts w:ascii="Arial" w:cs="Arial" w:eastAsia="Arial" w:hAnsi="Arial"/>
                <w:sz w:val="18"/>
                <w:szCs w:val="18"/>
                <w:b w:val="1"/>
                <w:bCs w:val="1"/>
                <w:color w:val="auto"/>
                <w:w w:val="89"/>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68580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RED VIOLET,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6520" w:type="dxa"/>
            <w:vAlign w:val="bottom"/>
            <w:gridSpan w:val="4"/>
          </w:tcPr>
          <w:p>
            <w:pPr>
              <w:jc w:val="center"/>
              <w:ind w:right="722"/>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82-2408531</w:t>
            </w:r>
          </w:p>
        </w:tc>
      </w:tr>
      <w:tr>
        <w:trPr>
          <w:trHeight w:val="218"/>
        </w:trPr>
        <w:tc>
          <w:tcPr>
            <w:tcW w:w="6520" w:type="dxa"/>
            <w:vAlign w:val="bottom"/>
            <w:gridSpan w:val="4"/>
          </w:tcPr>
          <w:p>
            <w:pPr>
              <w:jc w:val="center"/>
              <w:ind w:right="722"/>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240" w:type="dxa"/>
            <w:vAlign w:val="bottom"/>
            <w:gridSpan w:val="2"/>
          </w:tcPr>
          <w:p>
            <w:pPr>
              <w:jc w:val="center"/>
              <w:ind w:left="883"/>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73"/>
        </w:trPr>
        <w:tc>
          <w:tcPr>
            <w:tcW w:w="3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500" w:type="dxa"/>
            <w:vAlign w:val="bottom"/>
            <w:gridSpan w:val="4"/>
          </w:tcPr>
          <w:p>
            <w:pPr>
              <w:jc w:val="center"/>
              <w:ind w:right="1600"/>
              <w:spacing w:after="0"/>
              <w:rPr>
                <w:sz w:val="20"/>
                <w:szCs w:val="20"/>
                <w:color w:val="auto"/>
              </w:rPr>
            </w:pPr>
            <w:r>
              <w:rPr>
                <w:rFonts w:ascii="Arial" w:cs="Arial" w:eastAsia="Arial" w:hAnsi="Arial"/>
                <w:sz w:val="18"/>
                <w:szCs w:val="18"/>
                <w:b w:val="1"/>
                <w:bCs w:val="1"/>
                <w:color w:val="auto"/>
                <w:w w:val="92"/>
              </w:rPr>
              <w:t>2650 North Military Trail, Suite 300, Boca Raton, Florida 33431</w:t>
            </w:r>
          </w:p>
        </w:tc>
      </w:tr>
      <w:tr>
        <w:trPr>
          <w:trHeight w:val="186"/>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500" w:type="dxa"/>
            <w:vAlign w:val="bottom"/>
            <w:gridSpan w:val="4"/>
          </w:tcPr>
          <w:p>
            <w:pPr>
              <w:jc w:val="center"/>
              <w:ind w:right="1580"/>
              <w:spacing w:after="0"/>
              <w:rPr>
                <w:sz w:val="20"/>
                <w:szCs w:val="20"/>
                <w:color w:val="auto"/>
              </w:rPr>
            </w:pPr>
            <w:r>
              <w:rPr>
                <w:rFonts w:ascii="Arial" w:cs="Arial" w:eastAsia="Arial" w:hAnsi="Arial"/>
                <w:sz w:val="14"/>
                <w:szCs w:val="14"/>
                <w:b w:val="1"/>
                <w:bCs w:val="1"/>
                <w:color w:val="auto"/>
                <w:w w:val="93"/>
              </w:rPr>
              <w:t>(Address of Principal Executive Offices) (Zip Code)</w:t>
            </w:r>
          </w:p>
        </w:tc>
      </w:tr>
      <w:tr>
        <w:trPr>
          <w:trHeight w:val="286"/>
        </w:trPr>
        <w:tc>
          <w:tcPr>
            <w:tcW w:w="3120" w:type="dxa"/>
            <w:vAlign w:val="bottom"/>
          </w:tcPr>
          <w:p>
            <w:pPr>
              <w:spacing w:after="0"/>
              <w:rPr>
                <w:sz w:val="24"/>
                <w:szCs w:val="24"/>
                <w:color w:val="auto"/>
              </w:rPr>
            </w:pPr>
          </w:p>
        </w:tc>
        <w:tc>
          <w:tcPr>
            <w:tcW w:w="3400" w:type="dxa"/>
            <w:vAlign w:val="bottom"/>
            <w:gridSpan w:val="3"/>
          </w:tcPr>
          <w:p>
            <w:pPr>
              <w:jc w:val="center"/>
              <w:ind w:left="1719"/>
              <w:spacing w:after="0"/>
              <w:rPr>
                <w:sz w:val="20"/>
                <w:szCs w:val="20"/>
                <w:color w:val="auto"/>
              </w:rPr>
            </w:pPr>
            <w:r>
              <w:rPr>
                <w:rFonts w:ascii="Arial" w:cs="Arial" w:eastAsia="Arial" w:hAnsi="Arial"/>
                <w:sz w:val="18"/>
                <w:szCs w:val="18"/>
                <w:b w:val="1"/>
                <w:bCs w:val="1"/>
                <w:color w:val="auto"/>
                <w:w w:val="90"/>
              </w:rPr>
              <w:t>(561) 757-4000</w:t>
            </w:r>
          </w:p>
        </w:tc>
        <w:tc>
          <w:tcPr>
            <w:tcW w:w="13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6"/>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500" w:type="dxa"/>
            <w:vAlign w:val="bottom"/>
            <w:gridSpan w:val="4"/>
          </w:tcPr>
          <w:p>
            <w:pPr>
              <w:jc w:val="center"/>
              <w:ind w:right="1580"/>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r>
        <w:trPr>
          <w:trHeight w:val="286"/>
        </w:trPr>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jc w:val="center"/>
              <w:ind w:left="562"/>
              <w:spacing w:after="0"/>
              <w:rPr>
                <w:sz w:val="20"/>
                <w:szCs w:val="20"/>
                <w:color w:val="auto"/>
              </w:rPr>
            </w:pPr>
            <w:r>
              <w:rPr>
                <w:rFonts w:ascii="Arial" w:cs="Arial" w:eastAsia="Arial" w:hAnsi="Arial"/>
                <w:sz w:val="18"/>
                <w:szCs w:val="18"/>
                <w:b w:val="1"/>
                <w:bCs w:val="1"/>
                <w:color w:val="auto"/>
                <w:w w:val="88"/>
              </w:rPr>
              <w:t>None</w:t>
            </w:r>
          </w:p>
        </w:tc>
        <w:tc>
          <w:tcPr>
            <w:tcW w:w="13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6"/>
        </w:trPr>
        <w:tc>
          <w:tcPr>
            <w:tcW w:w="3120" w:type="dxa"/>
            <w:vAlign w:val="bottom"/>
          </w:tcPr>
          <w:p>
            <w:pPr>
              <w:spacing w:after="0"/>
              <w:rPr>
                <w:sz w:val="16"/>
                <w:szCs w:val="16"/>
                <w:color w:val="auto"/>
              </w:rPr>
            </w:pPr>
          </w:p>
        </w:tc>
        <w:tc>
          <w:tcPr>
            <w:tcW w:w="6640" w:type="dxa"/>
            <w:vAlign w:val="bottom"/>
            <w:gridSpan w:val="5"/>
          </w:tcPr>
          <w:p>
            <w:pPr>
              <w:jc w:val="center"/>
              <w:ind w:right="1460"/>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80"/>
        </w:trPr>
        <w:tc>
          <w:tcPr>
            <w:tcW w:w="3260" w:type="dxa"/>
            <w:vAlign w:val="bottom"/>
            <w:gridSpan w:val="2"/>
          </w:tcPr>
          <w:p>
            <w:pPr>
              <w:spacing w:after="0"/>
              <w:rPr>
                <w:sz w:val="6"/>
                <w:szCs w:val="6"/>
                <w:color w:val="auto"/>
              </w:rPr>
            </w:pPr>
          </w:p>
        </w:tc>
        <w:tc>
          <w:tcPr>
            <w:tcW w:w="102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860" w:type="dxa"/>
            <w:vAlign w:val="bottom"/>
          </w:tcPr>
          <w:p>
            <w:pPr>
              <w:spacing w:after="0"/>
              <w:rPr>
                <w:sz w:val="6"/>
                <w:szCs w:val="6"/>
                <w:color w:val="auto"/>
              </w:rPr>
            </w:pPr>
          </w:p>
        </w:tc>
      </w:tr>
      <w:tr>
        <w:trPr>
          <w:trHeight w:val="318"/>
        </w:trPr>
        <w:tc>
          <w:tcPr>
            <w:tcW w:w="65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08"/>
        </w:trPr>
        <w:tc>
          <w:tcPr>
            <w:tcW w:w="3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gridSpan w:val="2"/>
          </w:tcPr>
          <w:p>
            <w:pPr>
              <w:spacing w:after="0"/>
              <w:rPr>
                <w:sz w:val="9"/>
                <w:szCs w:val="9"/>
                <w:color w:val="auto"/>
              </w:rPr>
            </w:pPr>
          </w:p>
        </w:tc>
      </w:tr>
      <w:tr>
        <w:trPr>
          <w:trHeight w:val="196"/>
        </w:trPr>
        <w:tc>
          <w:tcPr>
            <w:tcW w:w="3120" w:type="dxa"/>
            <w:vAlign w:val="bottom"/>
            <w:tcBorders>
              <w:left w:val="single" w:sz="8" w:color="auto"/>
              <w:bottom w:val="single" w:sz="8" w:color="auto"/>
            </w:tcBorders>
          </w:tcPr>
          <w:p>
            <w:pPr>
              <w:jc w:val="center"/>
              <w:ind w:left="61"/>
              <w:spacing w:after="0"/>
              <w:rPr>
                <w:sz w:val="20"/>
                <w:szCs w:val="20"/>
                <w:color w:val="auto"/>
              </w:rPr>
            </w:pPr>
            <w:r>
              <w:rPr>
                <w:rFonts w:ascii="Arial" w:cs="Arial" w:eastAsia="Arial" w:hAnsi="Arial"/>
                <w:sz w:val="13"/>
                <w:szCs w:val="13"/>
                <w:color w:val="auto"/>
                <w:w w:val="86"/>
              </w:rPr>
              <w:t>Title of each class</w:t>
            </w:r>
          </w:p>
        </w:tc>
        <w:tc>
          <w:tcPr>
            <w:tcW w:w="1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jc w:val="center"/>
              <w:ind w:right="982"/>
              <w:spacing w:after="0"/>
              <w:rPr>
                <w:sz w:val="20"/>
                <w:szCs w:val="20"/>
                <w:color w:val="auto"/>
              </w:rPr>
            </w:pPr>
            <w:r>
              <w:rPr>
                <w:rFonts w:ascii="Arial" w:cs="Arial" w:eastAsia="Arial" w:hAnsi="Arial"/>
                <w:sz w:val="13"/>
                <w:szCs w:val="13"/>
                <w:color w:val="auto"/>
                <w:w w:val="90"/>
              </w:rPr>
              <w:t>Trading Symbol</w:t>
            </w:r>
          </w:p>
        </w:tc>
        <w:tc>
          <w:tcPr>
            <w:tcW w:w="3240" w:type="dxa"/>
            <w:vAlign w:val="bottom"/>
            <w:tcBorders>
              <w:bottom w:val="single" w:sz="8" w:color="auto"/>
              <w:right w:val="single" w:sz="8" w:color="auto"/>
            </w:tcBorders>
            <w:gridSpan w:val="2"/>
          </w:tcPr>
          <w:p>
            <w:pPr>
              <w:ind w:left="480"/>
              <w:spacing w:after="0"/>
              <w:rPr>
                <w:sz w:val="20"/>
                <w:szCs w:val="20"/>
                <w:color w:val="auto"/>
              </w:rPr>
            </w:pPr>
            <w:r>
              <w:rPr>
                <w:rFonts w:ascii="Arial" w:cs="Arial" w:eastAsia="Arial" w:hAnsi="Arial"/>
                <w:sz w:val="13"/>
                <w:szCs w:val="13"/>
                <w:color w:val="auto"/>
              </w:rPr>
              <w:t>Name of each exchange on which registered</w:t>
            </w:r>
          </w:p>
        </w:tc>
      </w:tr>
      <w:tr>
        <w:trPr>
          <w:trHeight w:val="196"/>
        </w:trPr>
        <w:tc>
          <w:tcPr>
            <w:tcW w:w="3120" w:type="dxa"/>
            <w:vAlign w:val="bottom"/>
            <w:tcBorders>
              <w:left w:val="single" w:sz="8" w:color="auto"/>
              <w:bottom w:val="single" w:sz="8" w:color="auto"/>
            </w:tcBorders>
          </w:tcPr>
          <w:p>
            <w:pPr>
              <w:jc w:val="center"/>
              <w:ind w:left="81"/>
              <w:spacing w:after="0"/>
              <w:rPr>
                <w:sz w:val="20"/>
                <w:szCs w:val="20"/>
                <w:color w:val="auto"/>
              </w:rPr>
            </w:pPr>
            <w:r>
              <w:rPr>
                <w:rFonts w:ascii="Arial" w:cs="Arial" w:eastAsia="Arial" w:hAnsi="Arial"/>
                <w:sz w:val="16"/>
                <w:szCs w:val="16"/>
                <w:color w:val="auto"/>
                <w:w w:val="90"/>
              </w:rPr>
              <w:t>Common Stock, $0.001 par value per share</w:t>
            </w:r>
          </w:p>
        </w:tc>
        <w:tc>
          <w:tcPr>
            <w:tcW w:w="1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jc w:val="center"/>
              <w:ind w:right="962"/>
              <w:spacing w:after="0"/>
              <w:rPr>
                <w:sz w:val="20"/>
                <w:szCs w:val="20"/>
                <w:color w:val="auto"/>
              </w:rPr>
            </w:pPr>
            <w:r>
              <w:rPr>
                <w:rFonts w:ascii="Arial" w:cs="Arial" w:eastAsia="Arial" w:hAnsi="Arial"/>
                <w:sz w:val="16"/>
                <w:szCs w:val="16"/>
                <w:color w:val="auto"/>
              </w:rPr>
              <w:t>RDVT</w:t>
            </w:r>
          </w:p>
        </w:tc>
        <w:tc>
          <w:tcPr>
            <w:tcW w:w="3240" w:type="dxa"/>
            <w:vAlign w:val="bottom"/>
            <w:tcBorders>
              <w:bottom w:val="single" w:sz="8" w:color="auto"/>
              <w:right w:val="single" w:sz="8" w:color="auto"/>
            </w:tcBorders>
            <w:gridSpan w:val="2"/>
          </w:tcPr>
          <w:p>
            <w:pPr>
              <w:ind w:left="480"/>
              <w:spacing w:after="0"/>
              <w:rPr>
                <w:sz w:val="20"/>
                <w:szCs w:val="20"/>
                <w:color w:val="auto"/>
              </w:rPr>
            </w:pPr>
            <w:r>
              <w:rPr>
                <w:rFonts w:ascii="Arial" w:cs="Arial" w:eastAsia="Arial" w:hAnsi="Arial"/>
                <w:sz w:val="16"/>
                <w:szCs w:val="16"/>
                <w:color w:val="auto"/>
              </w:rPr>
              <w:t>The NASDAQ Stock Market LLC</w:t>
            </w:r>
          </w:p>
        </w:tc>
      </w:tr>
    </w:tbl>
    <w:p>
      <w:pPr>
        <w:spacing w:after="0" w:line="9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270"/>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42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42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2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960" w:type="dxa"/>
            <w:vAlign w:val="bottom"/>
          </w:tcPr>
          <w:p>
            <w:pPr>
              <w:ind w:left="242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01" w:lineRule="exact"/>
        <w:rPr>
          <w:sz w:val="24"/>
          <w:szCs w:val="24"/>
          <w:color w:val="auto"/>
        </w:rPr>
      </w:pPr>
    </w:p>
    <w:p>
      <w:pPr>
        <w:jc w:val="both"/>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74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4, 2019, the registrant had 11,536,140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73"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FOR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gridSpan w:val="11"/>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 FINANCIAL INFORMATION</w:t>
              </w:r>
            </w:hyperlink>
          </w:p>
        </w:tc>
        <w:tc>
          <w:tcPr>
            <w:tcW w:w="7760" w:type="dxa"/>
            <w:vAlign w:val="bottom"/>
            <w:gridSpan w:val="11"/>
            <w:vMerge w:val="restart"/>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9"/>
        </w:trPr>
        <w:tc>
          <w:tcPr>
            <w:tcW w:w="2960" w:type="dxa"/>
            <w:vAlign w:val="bottom"/>
            <w:tcBorders>
              <w:bottom w:val="single" w:sz="8" w:color="0000EE"/>
            </w:tcBorders>
            <w:gridSpan w:val="11"/>
            <w:vMerge w:val="continue"/>
          </w:tcPr>
          <w:p>
            <w:pPr>
              <w:spacing w:after="0"/>
              <w:rPr>
                <w:sz w:val="15"/>
                <w:szCs w:val="15"/>
                <w:color w:val="auto"/>
              </w:rPr>
            </w:pPr>
          </w:p>
        </w:tc>
        <w:tc>
          <w:tcPr>
            <w:tcW w:w="7760" w:type="dxa"/>
            <w:vAlign w:val="bottom"/>
            <w:gridSpan w:val="11"/>
            <w:vMerge w:val="continue"/>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4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September 30, 2019 and December 31, 2018</w:t>
              </w:r>
            </w:hyperlink>
          </w:p>
        </w:tc>
        <w:tc>
          <w:tcPr>
            <w:tcW w:w="3180" w:type="dxa"/>
            <w:vAlign w:val="bottom"/>
            <w:gridSpan w:val="4"/>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84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2019 and 2018</w:t>
              </w:r>
            </w:hyperlink>
          </w:p>
        </w:tc>
        <w:tc>
          <w:tcPr>
            <w:tcW w:w="1280" w:type="dxa"/>
            <w:vAlign w:val="bottom"/>
            <w:gridSpan w:val="2"/>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4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changes in shareholders' equity and member’s capital for the three and nine months ended</w:t>
              </w:r>
            </w:hyperlink>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September 30, 2019 and 2018</w:t>
              </w:r>
            </w:hyperlink>
          </w:p>
        </w:tc>
        <w:tc>
          <w:tcPr>
            <w:tcW w:w="7500" w:type="dxa"/>
            <w:vAlign w:val="bottom"/>
            <w:gridSpan w:val="1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77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September 30, 2019 and 2018</w:t>
              </w:r>
            </w:hyperlink>
          </w:p>
        </w:tc>
        <w:tc>
          <w:tcPr>
            <w:tcW w:w="1980" w:type="dxa"/>
            <w:vAlign w:val="bottom"/>
            <w:gridSpan w:val="3"/>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2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0"/>
                <w:szCs w:val="20"/>
                <w:color w:val="auto"/>
              </w:rPr>
            </w:pPr>
          </w:p>
        </w:tc>
        <w:tc>
          <w:tcPr>
            <w:tcW w:w="962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60" w:type="dxa"/>
            <w:vAlign w:val="bottom"/>
          </w:tcPr>
          <w:p>
            <w:pPr>
              <w:spacing w:after="0"/>
              <w:rPr>
                <w:sz w:val="20"/>
                <w:szCs w:val="20"/>
                <w:color w:val="auto"/>
              </w:rPr>
            </w:pPr>
          </w:p>
        </w:tc>
        <w:tc>
          <w:tcPr>
            <w:tcW w:w="43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Quantitative and Qualitative Disclosures About Market Risk</w:t>
              </w:r>
            </w:hyperlink>
          </w:p>
        </w:tc>
        <w:tc>
          <w:tcPr>
            <w:tcW w:w="2060" w:type="dxa"/>
            <w:vAlign w:val="bottom"/>
            <w:tcBorders>
              <w:top w:val="single" w:sz="8" w:color="0000EE"/>
            </w:tcBorders>
          </w:tcPr>
          <w:p>
            <w:pPr>
              <w:spacing w:after="0"/>
              <w:rPr>
                <w:sz w:val="20"/>
                <w:szCs w:val="20"/>
                <w:color w:val="auto"/>
              </w:rPr>
            </w:pPr>
          </w:p>
        </w:tc>
        <w:tc>
          <w:tcPr>
            <w:tcW w:w="3220" w:type="dxa"/>
            <w:vAlign w:val="bottom"/>
            <w:gridSpan w:val="5"/>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0"/>
                <w:szCs w:val="20"/>
                <w:color w:val="auto"/>
              </w:rPr>
            </w:pPr>
          </w:p>
        </w:tc>
        <w:tc>
          <w:tcPr>
            <w:tcW w:w="17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Controls and Procedures</w:t>
              </w:r>
            </w:hyperlink>
          </w:p>
        </w:tc>
        <w:tc>
          <w:tcPr>
            <w:tcW w:w="7860" w:type="dxa"/>
            <w:vAlign w:val="bottom"/>
            <w:gridSpan w:val="12"/>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58"/>
        </w:trPr>
        <w:tc>
          <w:tcPr>
            <w:tcW w:w="10720" w:type="dxa"/>
            <w:vAlign w:val="bottom"/>
            <w:gridSpan w:val="2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PART II - OTHER INFORMATION</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60" w:type="dxa"/>
            <w:vAlign w:val="bottom"/>
            <w:tcBorders>
              <w:top w:val="single" w:sz="8" w:color="0000EE"/>
            </w:tcBorders>
          </w:tcPr>
          <w:p>
            <w:pPr>
              <w:spacing w:after="0"/>
              <w:rPr>
                <w:sz w:val="24"/>
                <w:szCs w:val="24"/>
                <w:color w:val="auto"/>
              </w:rPr>
            </w:pP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240" w:type="dxa"/>
            <w:vAlign w:val="bottom"/>
            <w:tcBorders>
              <w:top w:val="single" w:sz="8" w:color="0000EE"/>
            </w:tcBorders>
          </w:tcPr>
          <w:p>
            <w:pPr>
              <w:spacing w:after="0"/>
              <w:rPr>
                <w:sz w:val="24"/>
                <w:szCs w:val="24"/>
                <w:color w:val="auto"/>
              </w:rPr>
            </w:pPr>
          </w:p>
        </w:tc>
        <w:tc>
          <w:tcPr>
            <w:tcW w:w="8080" w:type="dxa"/>
            <w:vAlign w:val="bottom"/>
            <w:gridSpan w:val="15"/>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60" w:type="dxa"/>
            <w:vAlign w:val="bottom"/>
          </w:tcPr>
          <w:p>
            <w:pPr>
              <w:spacing w:after="0"/>
              <w:rPr>
                <w:sz w:val="20"/>
                <w:szCs w:val="20"/>
                <w:color w:val="auto"/>
              </w:rPr>
            </w:pPr>
          </w:p>
        </w:tc>
        <w:tc>
          <w:tcPr>
            <w:tcW w:w="962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0"/>
                <w:szCs w:val="20"/>
                <w:color w:val="auto"/>
              </w:rPr>
            </w:pPr>
          </w:p>
        </w:tc>
        <w:tc>
          <w:tcPr>
            <w:tcW w:w="43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Unregistered Sales of Equity Securities and Use of Proceeds</w:t>
              </w:r>
            </w:hyperlink>
          </w:p>
        </w:tc>
        <w:tc>
          <w:tcPr>
            <w:tcW w:w="5300" w:type="dxa"/>
            <w:vAlign w:val="bottom"/>
            <w:gridSpan w:val="7"/>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60" w:type="dxa"/>
            <w:vAlign w:val="bottom"/>
          </w:tcPr>
          <w:p>
            <w:pPr>
              <w:spacing w:after="0"/>
              <w:rPr>
                <w:sz w:val="20"/>
                <w:szCs w:val="20"/>
                <w:color w:val="auto"/>
              </w:rPr>
            </w:pPr>
          </w:p>
        </w:tc>
        <w:tc>
          <w:tcPr>
            <w:tcW w:w="962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0"/>
                <w:szCs w:val="20"/>
                <w:color w:val="auto"/>
              </w:rPr>
            </w:pPr>
          </w:p>
        </w:tc>
        <w:tc>
          <w:tcPr>
            <w:tcW w:w="2340" w:type="dxa"/>
            <w:vAlign w:val="bottom"/>
            <w:tcBorders>
              <w:top w:val="single" w:sz="8" w:color="0000EE"/>
            </w:tcBorders>
            <w:gridSpan w:val="1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w:t>
              </w:r>
            </w:hyperlink>
            <w:r>
              <w:rPr>
                <w:rFonts w:ascii="Arial" w:cs="Arial" w:eastAsia="Arial" w:hAnsi="Arial"/>
                <w:sz w:val="18"/>
                <w:szCs w:val="18"/>
                <w:color w:val="000000"/>
              </w:rPr>
              <w:t>s</w:t>
            </w:r>
          </w:p>
        </w:tc>
        <w:tc>
          <w:tcPr>
            <w:tcW w:w="7280" w:type="dxa"/>
            <w:vAlign w:val="bottom"/>
            <w:gridSpan w:val="9"/>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60" w:type="dxa"/>
            <w:vAlign w:val="bottom"/>
          </w:tcPr>
          <w:p>
            <w:pPr>
              <w:spacing w:after="0"/>
              <w:rPr>
                <w:sz w:val="20"/>
                <w:szCs w:val="20"/>
                <w:color w:val="auto"/>
              </w:rPr>
            </w:pPr>
          </w:p>
        </w:tc>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Other Information</w:t>
              </w:r>
            </w:hyperlink>
          </w:p>
        </w:tc>
        <w:tc>
          <w:tcPr>
            <w:tcW w:w="380" w:type="dxa"/>
            <w:vAlign w:val="bottom"/>
            <w:tcBorders>
              <w:top w:val="single" w:sz="8" w:color="0000EE"/>
            </w:tcBorders>
            <w:gridSpan w:val="3"/>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880" w:type="dxa"/>
            <w:vAlign w:val="bottom"/>
            <w:gridSpan w:val="13"/>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60" w:type="dxa"/>
            <w:vAlign w:val="bottom"/>
          </w:tcPr>
          <w:p>
            <w:pPr>
              <w:spacing w:after="0"/>
              <w:rPr>
                <w:sz w:val="20"/>
                <w:szCs w:val="20"/>
                <w:color w:val="auto"/>
              </w:rPr>
            </w:pPr>
          </w:p>
        </w:tc>
        <w:tc>
          <w:tcPr>
            <w:tcW w:w="962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60" w:type="dxa"/>
            <w:vAlign w:val="bottom"/>
            <w:gridSpan w:val="1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72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669"/>
        </w:trPr>
        <w:tc>
          <w:tcPr>
            <w:tcW w:w="10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0" w:type="dxa"/>
            <w:vAlign w:val="bottom"/>
            <w:gridSpan w:val="15"/>
          </w:tcPr>
          <w:p>
            <w:pPr>
              <w:jc w:val="right"/>
              <w:ind w:right="17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September 30, 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2018</w:t>
            </w:r>
          </w:p>
        </w:tc>
      </w:tr>
      <w:tr>
        <w:trPr>
          <w:trHeight w:val="203"/>
        </w:trPr>
        <w:tc>
          <w:tcPr>
            <w:tcW w:w="20" w:type="dxa"/>
            <w:vAlign w:val="bottom"/>
          </w:tcPr>
          <w:p>
            <w:pPr>
              <w:spacing w:after="0"/>
              <w:rPr>
                <w:sz w:val="17"/>
                <w:szCs w:val="17"/>
                <w:color w:val="auto"/>
              </w:rPr>
            </w:pPr>
          </w:p>
        </w:tc>
        <w:tc>
          <w:tcPr>
            <w:tcW w:w="72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9"/>
              </w:rPr>
              <w:t>ASSETS:</w:t>
            </w:r>
          </w:p>
        </w:tc>
        <w:tc>
          <w:tcPr>
            <w:tcW w:w="714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13,337</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$30 and $77</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60" w:type="dxa"/>
            <w:vAlign w:val="bottom"/>
            <w:gridSpan w:val="3"/>
          </w:tcPr>
          <w:p>
            <w:pPr>
              <w:ind w:left="80"/>
              <w:spacing w:after="0"/>
              <w:rPr>
                <w:sz w:val="20"/>
                <w:szCs w:val="20"/>
                <w:color w:val="auto"/>
              </w:rPr>
            </w:pPr>
            <w:r>
              <w:rPr>
                <w:rFonts w:ascii="Arial" w:cs="Arial" w:eastAsia="Arial" w:hAnsi="Arial"/>
                <w:sz w:val="18"/>
                <w:szCs w:val="18"/>
                <w:color w:val="auto"/>
              </w:rPr>
              <w:t>as of September 30, 2019 and December 31, 2018,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FF0FC"/>
          </w:tcPr>
          <w:p>
            <w:pPr>
              <w:spacing w:after="0"/>
              <w:rPr>
                <w:sz w:val="19"/>
                <w:szCs w:val="19"/>
                <w:color w:val="auto"/>
              </w:rPr>
            </w:pPr>
          </w:p>
        </w:tc>
      </w:tr>
      <w:tr>
        <w:trPr>
          <w:trHeight w:val="223"/>
        </w:trPr>
        <w:tc>
          <w:tcPr>
            <w:tcW w:w="7880" w:type="dxa"/>
            <w:vAlign w:val="bottom"/>
            <w:gridSpan w:val="4"/>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13,149</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23,050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19,971</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FF0FC"/>
          </w:tcPr>
          <w:p>
            <w:pPr>
              <w:spacing w:after="0"/>
              <w:rPr>
                <w:sz w:val="19"/>
                <w:szCs w:val="19"/>
                <w:color w:val="auto"/>
              </w:rPr>
            </w:pPr>
          </w:p>
        </w:tc>
      </w:tr>
      <w:tr>
        <w:trPr>
          <w:trHeight w:val="263"/>
        </w:trPr>
        <w:tc>
          <w:tcPr>
            <w:tcW w:w="788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39,827</w:t>
            </w:r>
          </w:p>
        </w:tc>
        <w:tc>
          <w:tcPr>
            <w:tcW w:w="120" w:type="dxa"/>
            <w:vAlign w:val="bottom"/>
          </w:tcPr>
          <w:p>
            <w:pPr>
              <w:spacing w:after="0"/>
              <w:rPr>
                <w:sz w:val="22"/>
                <w:szCs w:val="22"/>
                <w:color w:val="auto"/>
              </w:rPr>
            </w:pPr>
          </w:p>
        </w:tc>
      </w:tr>
      <w:tr>
        <w:trPr>
          <w:trHeight w:val="190"/>
        </w:trPr>
        <w:tc>
          <w:tcPr>
            <w:tcW w:w="20" w:type="dxa"/>
            <w:vAlign w:val="bottom"/>
          </w:tcPr>
          <w:p>
            <w:pPr>
              <w:spacing w:after="0"/>
              <w:rPr>
                <w:sz w:val="16"/>
                <w:szCs w:val="16"/>
                <w:color w:val="auto"/>
              </w:rPr>
            </w:pPr>
          </w:p>
        </w:tc>
        <w:tc>
          <w:tcPr>
            <w:tcW w:w="3920" w:type="dxa"/>
            <w:vAlign w:val="bottom"/>
            <w:tcBorders>
              <w:top w:val="single" w:sz="8" w:color="CFF0FC"/>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94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42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44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issued and outstanding, as of September 30, 2019 and December 31, 2018</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11,633,662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ind w:left="80"/>
              <w:spacing w:after="0"/>
              <w:rPr>
                <w:sz w:val="20"/>
                <w:szCs w:val="20"/>
                <w:color w:val="auto"/>
              </w:rPr>
            </w:pPr>
            <w:r>
              <w:rPr>
                <w:rFonts w:ascii="Arial" w:cs="Arial" w:eastAsia="Arial" w:hAnsi="Arial"/>
                <w:sz w:val="18"/>
                <w:szCs w:val="18"/>
                <w:color w:val="auto"/>
              </w:rPr>
              <w:t>10,266,613 shares issued, 11,530,515 and 10,266,613 shares outstanding, as of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60" w:type="dxa"/>
            <w:vAlign w:val="bottom"/>
            <w:gridSpan w:val="3"/>
          </w:tcPr>
          <w:p>
            <w:pPr>
              <w:ind w:left="80"/>
              <w:spacing w:after="0"/>
              <w:rPr>
                <w:sz w:val="20"/>
                <w:szCs w:val="20"/>
                <w:color w:val="auto"/>
              </w:rPr>
            </w:pPr>
            <w:r>
              <w:rPr>
                <w:rFonts w:ascii="Arial" w:cs="Arial" w:eastAsia="Arial" w:hAnsi="Arial"/>
                <w:sz w:val="18"/>
                <w:szCs w:val="18"/>
                <w:color w:val="auto"/>
              </w:rPr>
              <w:t>September 30, 2019 and December 31, 2018</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Treasury stock, at cost, 103,147 and 0 shares as of September 30, 2019 and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December 31, 2018</w:t>
            </w:r>
          </w:p>
        </w:tc>
        <w:tc>
          <w:tcPr>
            <w:tcW w:w="1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54,302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41,052</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(11,004)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(4,784)</w:t>
            </w:r>
          </w:p>
        </w:tc>
      </w:tr>
      <w:tr>
        <w:trPr>
          <w:trHeight w:val="223"/>
        </w:trPr>
        <w:tc>
          <w:tcPr>
            <w:tcW w:w="7880" w:type="dxa"/>
            <w:vAlign w:val="bottom"/>
            <w:gridSpan w:val="4"/>
          </w:tcPr>
          <w:p>
            <w:pPr>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36,278</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49,640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4"/>
              </w:rPr>
              <w:t>Three Months Ended September 30,</w:t>
            </w:r>
          </w:p>
        </w:tc>
        <w:tc>
          <w:tcPr>
            <w:tcW w:w="180" w:type="dxa"/>
            <w:vAlign w:val="bottom"/>
          </w:tcPr>
          <w:p>
            <w:pPr>
              <w:spacing w:after="0"/>
              <w:rPr>
                <w:sz w:val="16"/>
                <w:szCs w:val="16"/>
                <w:color w:val="auto"/>
              </w:rPr>
            </w:pPr>
          </w:p>
        </w:tc>
        <w:tc>
          <w:tcPr>
            <w:tcW w:w="26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27,579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(6,343)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Loss per share:</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(0.59)</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10,917,673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10,266,613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10,497,036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10,266,613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MEMBER’S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10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96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Member's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paid-in</w:t>
            </w:r>
          </w:p>
        </w:tc>
        <w:tc>
          <w:tcPr>
            <w:tcW w:w="102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9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98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84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7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10,286,613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(10,012)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666,049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Increase in treasury stock resulting</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from shares withheld to cover</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statutory taxes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Issuance of common stock upon direct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00"/>
              <w:spacing w:after="0"/>
              <w:rPr>
                <w:sz w:val="20"/>
                <w:szCs w:val="20"/>
                <w:color w:val="auto"/>
              </w:rPr>
            </w:pPr>
            <w:r>
              <w:rPr>
                <w:rFonts w:ascii="Arial" w:cs="Arial" w:eastAsia="Arial" w:hAnsi="Arial"/>
                <w:sz w:val="18"/>
                <w:szCs w:val="18"/>
                <w:color w:val="auto"/>
              </w:rPr>
              <w:t>offering to certain investors, net of</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00"/>
              <w:spacing w:after="0"/>
              <w:rPr>
                <w:sz w:val="20"/>
                <w:szCs w:val="20"/>
                <w:color w:val="auto"/>
              </w:rPr>
            </w:pPr>
            <w:r>
              <w:rPr>
                <w:rFonts w:ascii="Arial" w:cs="Arial" w:eastAsia="Arial" w:hAnsi="Arial"/>
                <w:sz w:val="18"/>
                <w:szCs w:val="18"/>
                <w:color w:val="auto"/>
              </w:rPr>
              <w:t>issuance costs of $55</w:t>
            </w:r>
          </w:p>
        </w:tc>
        <w:tc>
          <w:tcPr>
            <w:tcW w:w="940" w:type="dxa"/>
            <w:vAlign w:val="bottom"/>
          </w:tcPr>
          <w:p>
            <w:pPr>
              <w:jc w:val="right"/>
              <w:spacing w:after="0"/>
              <w:rPr>
                <w:sz w:val="20"/>
                <w:szCs w:val="20"/>
                <w:color w:val="auto"/>
              </w:rPr>
            </w:pPr>
            <w:r>
              <w:rPr>
                <w:rFonts w:ascii="Arial" w:cs="Arial" w:eastAsia="Arial" w:hAnsi="Arial"/>
                <w:sz w:val="18"/>
                <w:szCs w:val="18"/>
                <w:color w:val="auto"/>
              </w:rPr>
              <w:t>681,000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7,435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11,633,662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(11,004</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b w:val="1"/>
                <w:bCs w:val="1"/>
                <w:color w:val="auto"/>
              </w:rPr>
              <w:t>Balance at June 30, 2018</w:t>
            </w:r>
          </w:p>
        </w:tc>
        <w:tc>
          <w:tcPr>
            <w:tcW w:w="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10,266,613</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40,301</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(1,252)</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2018</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10,266,613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520" w:type="dxa"/>
            <w:vAlign w:val="bottom"/>
          </w:tcPr>
          <w:p>
            <w:pPr>
              <w:spacing w:after="0"/>
              <w:rPr>
                <w:sz w:val="24"/>
                <w:szCs w:val="24"/>
                <w:color w:val="auto"/>
              </w:rPr>
            </w:pPr>
          </w:p>
        </w:tc>
        <w:tc>
          <w:tcPr>
            <w:tcW w:w="210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96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Member's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paid-in</w:t>
            </w:r>
          </w:p>
        </w:tc>
        <w:tc>
          <w:tcPr>
            <w:tcW w:w="102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9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98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84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7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10,266,613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686,049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Increase in treasury stock resulting</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from shares withheld to cover</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statutory taxes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Issuance of common stock upon direct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00"/>
              <w:spacing w:after="0"/>
              <w:rPr>
                <w:sz w:val="20"/>
                <w:szCs w:val="20"/>
                <w:color w:val="auto"/>
              </w:rPr>
            </w:pPr>
            <w:r>
              <w:rPr>
                <w:rFonts w:ascii="Arial" w:cs="Arial" w:eastAsia="Arial" w:hAnsi="Arial"/>
                <w:sz w:val="18"/>
                <w:szCs w:val="18"/>
                <w:color w:val="auto"/>
              </w:rPr>
              <w:t>offering to certain investors, net of</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00"/>
              <w:spacing w:after="0"/>
              <w:rPr>
                <w:sz w:val="20"/>
                <w:szCs w:val="20"/>
                <w:color w:val="auto"/>
              </w:rPr>
            </w:pPr>
            <w:r>
              <w:rPr>
                <w:rFonts w:ascii="Arial" w:cs="Arial" w:eastAsia="Arial" w:hAnsi="Arial"/>
                <w:sz w:val="18"/>
                <w:szCs w:val="18"/>
                <w:color w:val="auto"/>
              </w:rPr>
              <w:t>issuance costs of $55</w:t>
            </w:r>
          </w:p>
        </w:tc>
        <w:tc>
          <w:tcPr>
            <w:tcW w:w="940" w:type="dxa"/>
            <w:vAlign w:val="bottom"/>
          </w:tcPr>
          <w:p>
            <w:pPr>
              <w:jc w:val="right"/>
              <w:spacing w:after="0"/>
              <w:rPr>
                <w:sz w:val="20"/>
                <w:szCs w:val="20"/>
                <w:color w:val="auto"/>
              </w:rPr>
            </w:pPr>
            <w:r>
              <w:rPr>
                <w:rFonts w:ascii="Arial" w:cs="Arial" w:eastAsia="Arial" w:hAnsi="Arial"/>
                <w:sz w:val="18"/>
                <w:szCs w:val="18"/>
                <w:color w:val="auto"/>
              </w:rPr>
              <w:t>681,000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7,435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(6,220)</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11,633,662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(11,004</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2017</w:t>
            </w:r>
          </w:p>
        </w:tc>
        <w:tc>
          <w:tcPr>
            <w:tcW w:w="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17,736</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Contribution by Fluent, Inc., including</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allocation of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24,264</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(2,746)</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(2,084)</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Spin-off from Fluent, Inc.</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10,265,613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40,252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(40,262)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2018</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10,266,613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2840" w:type="dxa"/>
            <w:vAlign w:val="bottom"/>
            <w:gridSpan w:val="5"/>
          </w:tcPr>
          <w:p>
            <w:pPr>
              <w:ind w:left="620"/>
              <w:spacing w:after="0"/>
              <w:rPr>
                <w:sz w:val="20"/>
                <w:szCs w:val="20"/>
                <w:color w:val="auto"/>
              </w:rPr>
            </w:pPr>
            <w:r>
              <w:rPr>
                <w:rFonts w:ascii="Arial" w:cs="Arial" w:eastAsia="Arial" w:hAnsi="Arial"/>
                <w:sz w:val="14"/>
                <w:szCs w:val="14"/>
                <w:b w:val="1"/>
                <w:bCs w:val="1"/>
                <w:color w:val="auto"/>
                <w:w w:val="95"/>
              </w:rPr>
              <w:t>Nine Months Ended September 30,</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880" w:type="dxa"/>
            <w:vAlign w:val="bottom"/>
          </w:tcPr>
          <w:p>
            <w:pPr>
              <w:spacing w:after="0"/>
              <w:rPr>
                <w:sz w:val="13"/>
                <w:szCs w:val="13"/>
                <w:color w:val="auto"/>
              </w:rPr>
            </w:pPr>
          </w:p>
        </w:tc>
        <w:tc>
          <w:tcPr>
            <w:tcW w:w="1000" w:type="dxa"/>
            <w:vAlign w:val="bottom"/>
          </w:tcPr>
          <w:p>
            <w:pPr>
              <w:ind w:left="640"/>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(6,220)</w:t>
            </w:r>
          </w:p>
        </w:tc>
        <w:tc>
          <w:tcPr>
            <w:tcW w:w="110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Allocation of expenses from Fluent, Inc.</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Noncash lease expenses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Capitalized costs included in intangible assets</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(4,413)</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(4,484)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Capital contributed by Fluent, Inc.</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shares, net of issuance costs</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23,939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12,581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0" w:type="dxa"/>
            <w:vAlign w:val="bottom"/>
            <w:tcBorders>
              <w:bottom w:val="single" w:sz="8" w:color="auto"/>
            </w:tcBorders>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13,337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12,646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SUPPLEMENTAL DISCLOSURE INFORMATION</w:t>
            </w: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Right-of-use assets obtained in exchange of operating lease liabilities</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3,042</w:t>
            </w:r>
          </w:p>
        </w:tc>
        <w:tc>
          <w:tcPr>
            <w:tcW w:w="180" w:type="dxa"/>
            <w:vAlign w:val="bottom"/>
          </w:tcPr>
          <w:p>
            <w:pPr>
              <w:spacing w:after="0"/>
              <w:rPr>
                <w:sz w:val="19"/>
                <w:szCs w:val="19"/>
                <w:color w:val="auto"/>
              </w:rPr>
            </w:pPr>
          </w:p>
        </w:tc>
        <w:tc>
          <w:tcPr>
            <w:tcW w:w="110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3,387</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accompanying unaudited condensed consolidated financial statements of Red Violet, Inc. (“red violet” or the “Company”), a Delaware corporation, have been prepared in accordance with accounting principles generally accepted in the United States (“US GAAP”) and applicable rules and regulations of the Securities and Exchange Commission regarding interim financial reporting. Certain information and note disclosures normally included in annual financial statements prepared in accordance with US GAAP have been condensed or omitted pursuant to those rules and regulations.</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On March 26, 2018, Fluent, Inc. (“Fluent”) completed a spin-off of its risk management business from its digital marketing business by way of a distribution of all the shares of common stock of Fluent’s then wholly-owned subsidiary, red violet, to Fluent’s stockholders of record as of March 19, 2018, the record date, and certain warrant holders (the “Spin-off”). The distribution occurred by way of a pro rata stock distribution to such common stock and warrant holders, each of whom received one share of red violet’s common stock for every 7.5 shares of Fluent’s common stock held on the record date or to which they were entitled to under their warrants, which resulted in a distribution of a total of 10,266,613 shares of red violet common stock. Upon the Spin-off, the Company owns Fluent subsidiaries that previously operated Fluent’s risk management business. The Company accounted for the Spin-off in accordance with ASC 805-50-30-5 </w:t>
      </w:r>
      <w:r>
        <w:rPr>
          <w:rFonts w:ascii="Arial" w:cs="Arial" w:eastAsia="Arial" w:hAnsi="Arial"/>
          <w:sz w:val="18"/>
          <w:szCs w:val="18"/>
          <w:i w:val="1"/>
          <w:iCs w:val="1"/>
          <w:color w:val="auto"/>
        </w:rPr>
        <w:t>Initial Measurement- Transactions Between Entities Under Common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Transfer Date Measurement</w:t>
      </w:r>
      <w:r>
        <w:rPr>
          <w:rFonts w:ascii="Arial" w:cs="Arial" w:eastAsia="Arial" w:hAnsi="Arial"/>
          <w:sz w:val="18"/>
          <w:szCs w:val="18"/>
          <w:color w:val="auto"/>
        </w:rPr>
        <w:t xml:space="preserve"> and therefore the net assets transferred from Fluent to red violet upon the Spin-off were reflected in red violet’s condensed consolidated financial statements at Fluent’s carrying values at the time of the Spin-off.</w:t>
      </w:r>
    </w:p>
    <w:p>
      <w:pPr>
        <w:spacing w:after="0" w:line="19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2019.</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the consolidated financial statements and accompanying notes included in the Company’s Annual Report on Form 10-K for the year ended December 31, 2018 (“2018 Form 10-K”).</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condensed consolidated balance sheet as of December 31, 2018 included herein was derived from the audited financial statements as of that date included in the 2018 Form 10-K, but does not include all disclosures required by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only one operating segment, as defined by Accounting Standards Codification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condensed consolidated financial statements include the financial statements of the Company and its subsidiaries. All significant transactions among the Company and its subsidiaries have been eliminated upon consolidation. For periods prior to the Spin-off, these financial statements were prepared on a consolidated and combined basis because certain of the entities were under common control.</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Although the Spin-off was completed on March 26, 2018, the Company has reflected the Spin-off in these financial statements as if it occurred on March 31, 2018 as the Company determined that the impact is not material to the condensed consolidated financial statements.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historical condensed consolidated and combined financial results presented prior to the Spin-off may not be indicative of the results that would have been achieved by the Company had it operated as a separate, standalone entity prior to the Spin-off. The condensed consolidated and combined financial statements presented prior to the Spin-off do not reflect any changes that may occur in the Company’s operations in connection with or as a result of the Spin-off.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Recently issued accounting standards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231F20"/>
        </w:rPr>
        <w:t>As an emerging growth company, the Company has left open the opportunity to take advantage of the extended transition period provided to emerging growth companies in Section 13(a) of the Securities Exchange Act of 1934, as amended (the “Exchange Act”), however, it is the Company’s present intention to adopt any applicable new accounting standards timely.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ind w:right="120"/>
        <w:spacing w:after="0" w:line="255" w:lineRule="auto"/>
        <w:rPr>
          <w:sz w:val="20"/>
          <w:szCs w:val="20"/>
          <w:color w:val="auto"/>
        </w:rPr>
      </w:pPr>
      <w:r>
        <w:rPr>
          <w:rFonts w:ascii="Arial" w:cs="Arial" w:eastAsia="Arial" w:hAnsi="Arial"/>
          <w:sz w:val="18"/>
          <w:szCs w:val="18"/>
          <w:color w:val="auto"/>
        </w:rPr>
        <w:t>In February 2016, Financial Accounting Standard Board (“FASB”) issued ASU No. 2016-02 (“ASU 2016-02”), “Leases (Topic 842),” which generally requires companies to recognize operating and financing lease liabilities and corresponding right-of-use assets on the balance sheet. In July 2018, FASB issued ASU No. 2018-10, “Codification Improvements to Topic 842, Leases,” and ASU No. 2018-11, “Leases (Topic 842): Targeted Improvements.” Topic 842 is effective for public entities and private entities in the first quarter of 2019 and the first quarter of 2020, respectively, on a modified retrospective basis. The Company adopted Topic 842 in the first quarter of 2019. The Company recorded a right-of-use asset and a total operating lease obligation on its condensed consolidated balance sheet of approximately $3.0 million and $3.4 million, respectively, upon the adoption. Refer to Note 10, Leases, for further details.</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2016, FASB issued ASU No. 2016-13 (“ASU 2016-13”), “Financial Instruments - Credit Losses (Topic 326): Measurement of Credit Losses on Financial Instruments.” In November 2018, FASB issued ASU No. 2018-19, “Codification Improvements to Topic 326, Financial Instruments-Credit Losses,” which amends the scope and transition requirements of ASU 2016-13. Topic 326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Topic 326 will become effective for public companies beginning January 1, 2020, with early adoption permitted, on a modified retrospective approach. The Company is currently evaluating the impact this guidance will have on its consolidated financial statements and related disclosures.</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August 2018, FASB issued ASU No. 2018-15 (“ASU 2018-15”), “Intangibles—Goodwill and Other—Internal-Use Software (Subtopic 350-40): Customer's Accounting for Implementation Costs Incurred in a Cloud Computing Arrangement That Is a Service Contract,” which requires an entity (customer) in a hosting arrangement that is a service contract to follow the guidance in Subtopic 350-40 to determine which implementation costs to capitalize as an asset related to the service contract and which costs to expense. It also requires the entity (customer) to expense the capitalized implementation costs of a hosting arrangement that is a service contract over the term of the hosting arrangement, which includes reasonably certain renewals. This guidance will be effective for the Company for annual reporting periods beginning after December 15, 2020, on a retrospective or prospective basis and early adoption is permitted. The Company is currently evaluating the impact this guidance will have on its consolidated financial statements and related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Loss per share</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Basic loss per share is computed by dividing net loss by the weighted average number of shares of common stock outstanding during the periods. Diluted loss per share reflects the potential dilution that could occur if securities or other contracts to issue common stock were exercised or converted into common stock and is calculated using the treasury stock method for unvested shares. Common equivalent shares are excluded from the calculation in the loss periods as their effects would be anti-dilutive.</w:t>
      </w:r>
    </w:p>
    <w:p>
      <w:pPr>
        <w:spacing w:after="0" w:line="18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Prior to the Spin-off, the financial information of red violet represented the consolidated and combined figures of red violet and its subsidiaries. red violet only had 1,000 shares of common stock outstanding, all of which Fluent owned. On March 26, 2018, upon the Spin-off of red violet, an aggregate of 10,266,613 shares of red violet common stock were distributed to Fluent stockholders and certain warrant holders. This number of shares remained outstanding as of September 30, 2018 and is utilized to calculate loss per share for the nine months ended September 30, 2018, as shown in the table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4"/>
              </w:rPr>
              <w:t>Three Months Ended September 30,</w:t>
            </w:r>
          </w:p>
        </w:tc>
        <w:tc>
          <w:tcPr>
            <w:tcW w:w="180" w:type="dxa"/>
            <w:vAlign w:val="bottom"/>
          </w:tcPr>
          <w:p>
            <w:pPr>
              <w:spacing w:after="0"/>
              <w:rPr>
                <w:sz w:val="16"/>
                <w:szCs w:val="16"/>
                <w:color w:val="auto"/>
              </w:rPr>
            </w:pPr>
          </w:p>
        </w:tc>
        <w:tc>
          <w:tcPr>
            <w:tcW w:w="26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CFF0FC"/>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(1,252)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(6,220)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10,917,673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10,266,613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10,497,036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10,266,613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(0.59)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A total of 1,954,910 unvested restricted stock units (“RSUs”) have been excluded from the diluted loss per share for the three and nine months ended September 30, 2019, and 2,145,500 RSUs have been excluded for the three and nine months ended September 30, 2018, as the impact is anti-dilutive.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right="145"/>
              <w:spacing w:after="0"/>
              <w:rPr>
                <w:sz w:val="20"/>
                <w:szCs w:val="20"/>
                <w:color w:val="auto"/>
              </w:rPr>
            </w:pPr>
            <w:r>
              <w:rPr>
                <w:rFonts w:ascii="Arial" w:cs="Arial" w:eastAsia="Arial" w:hAnsi="Arial"/>
                <w:sz w:val="14"/>
                <w:szCs w:val="14"/>
                <w:b w:val="1"/>
                <w:bCs w:val="1"/>
                <w:color w:val="auto"/>
                <w:w w:val="91"/>
              </w:rPr>
              <w:t>September 30, 2019</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right="145"/>
              <w:spacing w:after="0"/>
              <w:rPr>
                <w:sz w:val="20"/>
                <w:szCs w:val="20"/>
                <w:color w:val="auto"/>
              </w:rPr>
            </w:pPr>
            <w:r>
              <w:rPr>
                <w:rFonts w:ascii="Arial" w:cs="Arial" w:eastAsia="Arial" w:hAnsi="Arial"/>
                <w:sz w:val="14"/>
                <w:szCs w:val="14"/>
                <w:b w:val="1"/>
                <w:bCs w:val="1"/>
                <w:color w:val="auto"/>
                <w:w w:val="91"/>
              </w:rPr>
              <w:t>December 31, 2018</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320" w:type="dxa"/>
            <w:vAlign w:val="bottom"/>
            <w:gridSpan w:val="4"/>
          </w:tcPr>
          <w:p>
            <w:pPr>
              <w:jc w:val="center"/>
              <w:ind w:right="345"/>
              <w:spacing w:after="0" w:line="133" w:lineRule="exact"/>
              <w:rPr>
                <w:sz w:val="20"/>
                <w:szCs w:val="20"/>
                <w:color w:val="auto"/>
              </w:rPr>
            </w:pPr>
            <w:r>
              <w:rPr>
                <w:rFonts w:ascii="Arial" w:cs="Arial" w:eastAsia="Arial" w:hAnsi="Arial"/>
                <w:sz w:val="14"/>
                <w:szCs w:val="14"/>
                <w:b w:val="1"/>
                <w:bCs w:val="1"/>
                <w:color w:val="auto"/>
                <w:w w:val="93"/>
              </w:rPr>
              <w:t>Accumulated</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1"/>
                <w:szCs w:val="11"/>
                <w:color w:val="auto"/>
              </w:rPr>
            </w:pPr>
          </w:p>
        </w:tc>
        <w:tc>
          <w:tcPr>
            <w:tcW w:w="76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340" w:type="dxa"/>
            <w:vAlign w:val="bottom"/>
            <w:gridSpan w:val="4"/>
          </w:tcPr>
          <w:p>
            <w:pPr>
              <w:jc w:val="center"/>
              <w:ind w:right="365"/>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320" w:type="dxa"/>
            <w:vAlign w:val="bottom"/>
            <w:gridSpan w:val="4"/>
          </w:tcPr>
          <w:p>
            <w:pPr>
              <w:jc w:val="center"/>
              <w:ind w:right="345"/>
              <w:spacing w:after="0"/>
              <w:rPr>
                <w:sz w:val="20"/>
                <w:szCs w:val="20"/>
                <w:color w:val="auto"/>
              </w:rPr>
            </w:pPr>
            <w:r>
              <w:rPr>
                <w:rFonts w:ascii="Arial" w:cs="Arial" w:eastAsia="Arial" w:hAnsi="Arial"/>
                <w:sz w:val="14"/>
                <w:szCs w:val="14"/>
                <w:b w:val="1"/>
                <w:bCs w:val="1"/>
                <w:color w:val="auto"/>
                <w:w w:val="95"/>
              </w:rPr>
              <w:t>Amortization</w:t>
            </w: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340" w:type="dxa"/>
            <w:vAlign w:val="bottom"/>
            <w:gridSpan w:val="4"/>
          </w:tcPr>
          <w:p>
            <w:pPr>
              <w:jc w:val="center"/>
              <w:ind w:right="365"/>
              <w:spacing w:after="0"/>
              <w:rPr>
                <w:sz w:val="20"/>
                <w:szCs w:val="20"/>
                <w:color w:val="auto"/>
              </w:rPr>
            </w:pPr>
            <w:r>
              <w:rPr>
                <w:rFonts w:ascii="Arial" w:cs="Arial" w:eastAsia="Arial" w:hAnsi="Arial"/>
                <w:sz w:val="14"/>
                <w:szCs w:val="14"/>
                <w:b w:val="1"/>
                <w:bCs w:val="1"/>
                <w:color w:val="auto"/>
                <w:w w:val="95"/>
              </w:rPr>
              <w:t>Amortization</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Software developed for internal use</w:t>
            </w:r>
          </w:p>
        </w:tc>
        <w:tc>
          <w:tcPr>
            <w:tcW w:w="100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9"/>
              </w:rPr>
              <w:t>5-10 years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gross amount associated with software developed for internal use represents capitalized costs of internally-developed software, including eligible salaries and staff benefits and share-based compensation incurred by relevant employees, and other relevant costs.</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Amortization expenses of $689 and $445 for the three months ended September 30, 2019 and 2018, respectively, and $1,860 and $1,235 for the nine months ended September 30, 2019 and 2018, respectively, were included in depreciation and amortization expense. As of September 30, 2019, intangible assets of $4,018, included in the gross amounts of software developed for internal use, have not started amortization, as they are not ready for their intended use.</w:t>
      </w:r>
    </w:p>
    <w:p>
      <w:pPr>
        <w:spacing w:after="0" w:line="14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capitalized costs of internally-developed software of $1,708 and $1,744 during the three months ended September 30, 2019 and 2018, respectively, and $4,939 and $4,813 for the nine months ended September 30, 2019 and 2018, respectively.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September 30, 2019, estimated amortization expense related to the Company’s intangible assets for the remainder of 2019 through 2024 and thereafter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96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r>
      <w:tr>
        <w:trPr>
          <w:trHeight w:val="223"/>
        </w:trPr>
        <w:tc>
          <w:tcPr>
            <w:tcW w:w="9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3,446</w:t>
            </w:r>
          </w:p>
        </w:tc>
        <w:tc>
          <w:tcPr>
            <w:tcW w:w="120" w:type="dxa"/>
            <w:vAlign w:val="bottom"/>
          </w:tcPr>
          <w:p>
            <w:pPr>
              <w:spacing w:after="0"/>
              <w:rPr>
                <w:sz w:val="19"/>
                <w:szCs w:val="19"/>
                <w:color w:val="auto"/>
              </w:rPr>
            </w:pPr>
          </w:p>
        </w:tc>
      </w:tr>
      <w:tr>
        <w:trPr>
          <w:trHeight w:val="230"/>
        </w:trPr>
        <w:tc>
          <w:tcPr>
            <w:tcW w:w="96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120" w:type="dxa"/>
            <w:vAlign w:val="bottom"/>
            <w:shd w:val="clear" w:color="auto" w:fill="CFF0FC"/>
          </w:tcPr>
          <w:p>
            <w:pPr>
              <w:spacing w:after="0"/>
              <w:rPr>
                <w:sz w:val="19"/>
                <w:szCs w:val="19"/>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Pr>
          <w:p>
            <w:pPr>
              <w:spacing w:after="0"/>
              <w:rPr>
                <w:sz w:val="19"/>
                <w:szCs w:val="19"/>
                <w:color w:val="auto"/>
              </w:rPr>
            </w:pPr>
          </w:p>
        </w:tc>
      </w:tr>
      <w:tr>
        <w:trPr>
          <w:trHeight w:val="230"/>
        </w:trPr>
        <w:tc>
          <w:tcPr>
            <w:tcW w:w="96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w:t>
            </w:r>
          </w:p>
        </w:tc>
        <w:tc>
          <w:tcPr>
            <w:tcW w:w="120" w:type="dxa"/>
            <w:vAlign w:val="bottom"/>
            <w:shd w:val="clear" w:color="auto" w:fill="CFF0FC"/>
          </w:tcPr>
          <w:p>
            <w:pPr>
              <w:spacing w:after="0"/>
              <w:rPr>
                <w:sz w:val="19"/>
                <w:szCs w:val="19"/>
                <w:color w:val="auto"/>
              </w:rPr>
            </w:pPr>
          </w:p>
        </w:tc>
      </w:tr>
      <w:tr>
        <w:trPr>
          <w:trHeight w:val="230"/>
        </w:trPr>
        <w:tc>
          <w:tcPr>
            <w:tcW w:w="9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8,043</w:t>
            </w:r>
          </w:p>
        </w:tc>
        <w:tc>
          <w:tcPr>
            <w:tcW w:w="120" w:type="dxa"/>
            <w:vAlign w:val="bottom"/>
            <w:tcBorders>
              <w:bottom w:val="single" w:sz="8" w:color="CFF0FC"/>
            </w:tcBorders>
          </w:tcPr>
          <w:p>
            <w:pPr>
              <w:spacing w:after="0"/>
              <w:rPr>
                <w:sz w:val="19"/>
                <w:szCs w:val="19"/>
                <w:color w:val="auto"/>
              </w:rPr>
            </w:pPr>
          </w:p>
        </w:tc>
      </w:tr>
      <w:tr>
        <w:trPr>
          <w:trHeight w:val="223"/>
        </w:trPr>
        <w:tc>
          <w:tcPr>
            <w:tcW w:w="9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Goodwill represents the cost in excess of the fair value of the net assets acquired in a business combination. As of September 30, 2019 and December 31, 2018, the balance of goodwill of $5,227 was as a result of the acquisition of Interactive Data, LLC, a wholly-owned subsidiary of red violet, effective on October 2, 2014.</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and December 31, 2018, no goodwill impairment charges were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229" w:lineRule="exact"/>
        <w:rPr>
          <w:sz w:val="20"/>
          <w:szCs w:val="20"/>
          <w:color w:val="auto"/>
        </w:rPr>
      </w:pPr>
    </w:p>
    <w:p>
      <w:pPr>
        <w:ind w:right="100"/>
        <w:spacing w:after="0" w:line="219" w:lineRule="exact"/>
        <w:rPr>
          <w:sz w:val="20"/>
          <w:szCs w:val="20"/>
          <w:color w:val="auto"/>
        </w:rPr>
      </w:pPr>
      <w:r>
        <w:rPr>
          <w:rFonts w:ascii="Arial" w:cs="Arial" w:eastAsia="Arial" w:hAnsi="Arial"/>
          <w:sz w:val="16"/>
          <w:szCs w:val="16"/>
          <w:color w:val="auto"/>
        </w:rPr>
        <w:t>On January 1, 2018, the Company adopted ASC 606, “Revenue from Contracts with Customers,” (“Topic 606”) using the modi</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retrospective method applied to all contracts that were not completed contracts at the date of initial application. There was no impact on the opening accumulated de</w:t>
      </w:r>
      <w:r>
        <w:rPr>
          <w:rFonts w:ascii="Arial Unicode MS" w:cs="Arial Unicode MS" w:eastAsia="Arial Unicode MS" w:hAnsi="Arial Unicode MS"/>
          <w:sz w:val="16"/>
          <w:szCs w:val="16"/>
          <w:color w:val="auto"/>
        </w:rPr>
        <w:t></w:t>
      </w:r>
      <w:r>
        <w:rPr>
          <w:rFonts w:ascii="Arial" w:cs="Arial" w:eastAsia="Arial" w:hAnsi="Arial"/>
          <w:sz w:val="16"/>
          <w:szCs w:val="16"/>
          <w:color w:val="auto"/>
        </w:rPr>
        <w:t>cit as of January 1, 2018 due to the adoption of Topic 606. Revenue is recognized when control of goods or services is transferred to the Company’s customers, in an amount that re</w:t>
      </w:r>
      <w:r>
        <w:rPr>
          <w:rFonts w:ascii="Arial Unicode MS" w:cs="Arial Unicode MS" w:eastAsia="Arial Unicode MS" w:hAnsi="Arial Unicode MS"/>
          <w:sz w:val="16"/>
          <w:szCs w:val="16"/>
          <w:color w:val="auto"/>
        </w:rPr>
        <w:t></w:t>
      </w:r>
      <w:r>
        <w:rPr>
          <w:rFonts w:ascii="Arial" w:cs="Arial" w:eastAsia="Arial" w:hAnsi="Arial"/>
          <w:sz w:val="16"/>
          <w:szCs w:val="16"/>
          <w:color w:val="auto"/>
        </w:rPr>
        <w:t>ects the consideration the Company expects to be entitled to in exchange for those goods or services. The Company’s performance obligation is to provide on demand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9" w:name="page10"/>
    <w:bookmarkEnd w:id="9"/>
    <w:p>
      <w:pPr>
        <w:ind w:right="120"/>
        <w:spacing w:after="0" w:line="259" w:lineRule="auto"/>
        <w:rPr>
          <w:sz w:val="20"/>
          <w:szCs w:val="20"/>
          <w:color w:val="auto"/>
        </w:rPr>
      </w:pPr>
      <w:r>
        <w:rPr>
          <w:rFonts w:ascii="Arial" w:cs="Arial" w:eastAsia="Arial" w:hAnsi="Arial"/>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87"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Revenue is recognized over a period of time since the performance obligation is delivered in a series.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months ended September 30, 2019 and 2018, 66% and 64% of total revenue was attributable to customers with pricing contracts, respectively, versus 34% and 36% attributable to transactional customers, respectively. For the nine months ended September 30, 2019 and 2018, 65% and 54% of total revenue was attributable to customers with pricing contracts, respectively, versus 35% and 46% attributable to transactional customers, respectively. Pricing contracts are generally annual contracts or longer, with auto renewal.</w:t>
      </w:r>
    </w:p>
    <w:p>
      <w:pPr>
        <w:spacing w:after="0" w:line="187"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If a customer pays consideration before the Company transfers services to the customer, those amounts are classi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as deferred revenue. As of September 30, 2019 and December 31, 2018, the balance of deferred revenue was $35 and $26, respectively, all of which is expected to be realized in the next 12 months. In relation to the deferred revenue balance as of December 31, 2018, $0 and $26 was recognized into revenue during the three and nine months ended September 30, 2019, respectively.</w:t>
      </w:r>
    </w:p>
    <w:p>
      <w:pPr>
        <w:spacing w:after="0" w:line="20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of September 30, 2019, $3,405 of revenue is expected to be recognized in the future for outstanding performance obligations, primarily related to pricing contracts that have a term of more than 12 months. $522 of revenue will be recognized in the remainder of 2019, $1,795 in 2020, $1,085 in 2021, and $3 in 2022.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70" w:lineRule="exact"/>
        <w:rPr>
          <w:sz w:val="20"/>
          <w:szCs w:val="20"/>
          <w:color w:val="auto"/>
        </w:rPr>
      </w:pPr>
    </w:p>
    <w:p>
      <w:pPr>
        <w:ind w:right="40"/>
        <w:spacing w:after="0" w:line="221" w:lineRule="exact"/>
        <w:rPr>
          <w:sz w:val="20"/>
          <w:szCs w:val="20"/>
          <w:color w:val="auto"/>
        </w:rPr>
      </w:pPr>
      <w:r>
        <w:rPr>
          <w:rFonts w:ascii="Arial" w:cs="Arial" w:eastAsia="Arial" w:hAnsi="Arial"/>
          <w:sz w:val="18"/>
          <w:szCs w:val="18"/>
          <w:color w:val="auto"/>
        </w:rPr>
        <w:t>In addition, the Company elected the practical expedient to not disclose the value of unsatis</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 obligations for (i) contracts with an original expected length of one year or less and (ii) contracts for which the Company recognizes revenue at the amount to which it has the right to invoice for services performed.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is subject to federal and state income taxes in the United States. The Company’s tax provision for interim periods is determined using an estimate of its annual effective tax rate, adjusted for discrete items arising in that quarter. In each quarter, the Company updates its estimate of the annual effective tax rate, and if its estimated annual tax rate changes, the Company makes a cumulative adjustment in that quarter.</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red violet is a “C” corporation, while its subsidiaries are all limited liability companies. Before the Spin-off, red violet and its subsidiaries were consolidated with Fluent for U.S. federal income tax purposes. However, for purposes of these financial statements, the income tax provisions prior to the Spin-off were prepared assuming the entities filed separate tax returns.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Company’s effective income tax rate differed from the statutory federal income tax rate of 21% for the three and nine months ended September 30, 2019 and 2018. For the three and nine months ended September 30, 2019 and 2018, the effective income tax rate was 0%, and the difference is primarily the result of the full valuation allowance applied against the Company’s deferred tax assets.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continually evaluates expiring statutes of limitations, audits, proposed settlements, changes in tax law and new authoritative rulings. All of the Company’s income tax filings since 2015 remain open for tax examinations.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Company does not have any unrecognized tax benefits as of September 30, 2019 and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treasury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As of September 30, 2019 and December 31, 2018, the number of issued shares of common stock was 11,633,662 and 10,266,613, respectively, which included shares of treasury stock of 103,417 and 0, respectively. The change in the number of issued shares of common stock was due to the following issuance:</w:t>
      </w:r>
    </w:p>
    <w:p>
      <w:pPr>
        <w:ind w:left="380" w:right="540" w:hanging="372"/>
        <w:spacing w:after="0" w:line="26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aggregate of 686,049 shares of common stock were issued as a result of the vesting of RSUs, of which, 103,147 shares of common stock were withheld to pay withholding taxes upon such vesting, which are reflected in treasury stock.</w:t>
      </w:r>
    </w:p>
    <w:p>
      <w:pPr>
        <w:spacing w:after="0" w:line="75" w:lineRule="exact"/>
        <w:rPr>
          <w:rFonts w:ascii="Arial" w:cs="Arial" w:eastAsia="Arial" w:hAnsi="Arial"/>
          <w:sz w:val="18"/>
          <w:szCs w:val="18"/>
          <w:color w:val="auto"/>
        </w:rPr>
      </w:pPr>
    </w:p>
    <w:p>
      <w:pPr>
        <w:ind w:left="380" w:right="540" w:hanging="372"/>
        <w:spacing w:after="0" w:line="342"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aggregate of 681,000 shares of common stock, with an issuance price of $11.00 per share, were issued in a registered direct offering to certain investors, pursuant to a securities purchase agreement entered into on August 28, 2019. Net proceeds of $7,436 were received in August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the Company held 103,147 shares of treasury stock, with a cost of $1,255. There was no treasury stock as of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treasury stock was due to shares withheld to pay withholding taxes upon the vesting of RSUs.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March 22, 2018, the board of directors of the Company and Fluent, in its capacity as sole stockholder of red violet prior to the Spin-off, approved the Red Violet, Inc. 2018 Stock Incentive Plan (the “2018 Plan”), which became effective immediately prior to the Spin-off. A total of 3,000,000 shares of common stock were authorized to be issued under the 2018 Plan. 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there were 346,791 shares of common stock reserved for issuance under the 2018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Details of unvested RSU activity during the nine months ended September 30, 2019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0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Number of units</w:t>
            </w:r>
          </w:p>
        </w:tc>
        <w:tc>
          <w:tcPr>
            <w:tcW w:w="16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grant-date fair value</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Unvested as of December 31, 2018 </w:t>
            </w:r>
            <w:r>
              <w:rPr>
                <w:rFonts w:ascii="Arial" w:cs="Arial" w:eastAsia="Arial" w:hAnsi="Arial"/>
                <w:sz w:val="15"/>
                <w:szCs w:val="15"/>
                <w:color w:val="auto"/>
              </w:rPr>
              <w:t>(1)</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2,121,000</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5"/>
                <w:szCs w:val="15"/>
                <w:color w:val="auto"/>
              </w:rPr>
              <w:t>(1)(2)</w:t>
            </w:r>
          </w:p>
        </w:tc>
        <w:tc>
          <w:tcPr>
            <w:tcW w:w="1740" w:type="dxa"/>
            <w:vAlign w:val="bottom"/>
          </w:tcPr>
          <w:p>
            <w:pPr>
              <w:jc w:val="right"/>
              <w:spacing w:after="0"/>
              <w:rPr>
                <w:sz w:val="20"/>
                <w:szCs w:val="20"/>
                <w:color w:val="auto"/>
              </w:rPr>
            </w:pPr>
            <w:r>
              <w:rPr>
                <w:rFonts w:ascii="Arial" w:cs="Arial" w:eastAsia="Arial" w:hAnsi="Arial"/>
                <w:sz w:val="18"/>
                <w:szCs w:val="18"/>
                <w:color w:val="auto"/>
              </w:rPr>
              <w:t>577,000</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Vested and delivered</w:t>
            </w: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(582,902)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 xml:space="preserve">Withheld as treasury stock </w:t>
            </w:r>
            <w:r>
              <w:rPr>
                <w:rFonts w:ascii="Arial" w:cs="Arial" w:eastAsia="Arial" w:hAnsi="Arial"/>
                <w:sz w:val="15"/>
                <w:szCs w:val="15"/>
                <w:color w:val="auto"/>
              </w:rPr>
              <w:t>(3)</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(103,147)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Vested not delivered</w:t>
            </w: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(12,250)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Forfeited</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(44,791)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September 30, 2019</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1,954,910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20" w:hanging="372"/>
        <w:spacing w:after="0" w:line="269"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September 5, 2018 and January 16, 2019, the Company granted an aggregate of 1,487,500 RSUs (included in “Unvested as of December 31, 2018” above) and 90,000 RSUs (included in “Granted” above), respectively, subject to both time- and performance-based requirements, to certain of its employees and directors, at a grant date fair value of $7.69 per share and $7.25 per share, respectively, with a three-year vesting period. Such RSU grants shall not vest unless and until the Company has, for any fiscal quarter in which the RSUs are outstanding, (i) gross revenue determined in accordance with the Company’s reviewed or audited financial statements in excess of $7.0 million for such fiscal quarter, (ii) positive adjusted EBITDA, as determined based on amounts derived from the Company’s reviewed or audited financial statements for such fiscal quarter, and (iii) the participant continues to provide services to the Company either as an employee, director or consultant on the last day of the quarter that the performance criteria are met (collectively, the “2018 Performance Criteria”). Provided the 2018 Performance Criteria are met, the RSUs will vest in accordance with the time-based requirements contained in the award agreement over three years. In the event of a change of control, all RSUs which have not vested on the date of such change of control shall immediately vest even if the 2018 Performance Criteria have not been met. As of June 30, 2019, the Company determined that the 2018 Performance Criteria were met and expects to issue shares underlying the RSUs in accordance with the continuing time-based vesting requirement.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left="380" w:right="220"/>
        <w:spacing w:after="0" w:line="257" w:lineRule="auto"/>
        <w:rPr>
          <w:sz w:val="20"/>
          <w:szCs w:val="20"/>
          <w:color w:val="auto"/>
        </w:rPr>
      </w:pPr>
      <w:r>
        <w:rPr>
          <w:rFonts w:ascii="Arial" w:cs="Arial" w:eastAsia="Arial" w:hAnsi="Arial"/>
          <w:sz w:val="18"/>
          <w:szCs w:val="18"/>
          <w:color w:val="auto"/>
        </w:rPr>
        <w:t>As a result of meeting the 2018 Performance Criteria as of June 30, 2019, the Company recognized a total of $1,075 and $4,489 of share-based compensation expense relating to RSUs with 2018 Performance Criteria during the three and nine months ended September 30, 2019, respectively. Of the $4,489 recognized, $1,309 represented a catch-up of unamortized expense from September 5, 2018 through December 31, 2018, which was not recognized in prior periods because the Company determined at each period end that it was not probable that the 2018 Performance Criteria would be met.</w:t>
      </w:r>
    </w:p>
    <w:p>
      <w:pPr>
        <w:spacing w:after="0" w:line="188" w:lineRule="exact"/>
        <w:rPr>
          <w:sz w:val="20"/>
          <w:szCs w:val="20"/>
          <w:color w:val="auto"/>
        </w:rPr>
      </w:pPr>
    </w:p>
    <w:p>
      <w:pPr>
        <w:ind w:left="380" w:hanging="372"/>
        <w:spacing w:after="0" w:line="287"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August 28, 2019, the Company granted an aggregate of 373,500 RSUs, subject to both time- and performance-based requirements, to certain employees, at a grant date fair value of $11.42 per share, with vesting periods of either three or four years. Such RSU grants shall not vest unless and until the Company has, for any fiscal quarter in which the RSUs are outstanding, (i) gross revenue determined in accordance with the Company’s reviewed or audited financial statements in excess of (a) $10.0 million for such fiscal quarter and positive adjusted EBITDA of at least $1.5 million , as determined based on amounts derived from the Company’s reviewed or audited financial statements for such fiscal quarter for 248,500 RSUs, and (b) $12.5 million for such fiscal quarter and positive adjusted EBITDA of at least $2.0 million, as determined based on amounts derived from the Company’s reviewed or audited financial statements for such fiscal quarter for 125,000 RSUs, and (ii) the participant continues to provide services to the Company either as an employee, director or consultant on the last day of the quarter that the performance criteria is met (collectively, the “2019 Performance Criteria”). Provided the respective 2019 Performance Criteria are met, the RSUs will vest in accordance with the time-based requirements contained in the award agreement over three or four years. In the event of a change of control, all RSUs which have not vested on the date of such change of control shall immediately vest even if the 2019 Performance Criteria have not been met. As of September 30, 2019, the Company determined that it is probable that the 2019 Performance Criteria will be met and therefore, began to record the related amortization expense on the grant date.</w:t>
      </w:r>
    </w:p>
    <w:p>
      <w:pPr>
        <w:spacing w:after="0" w:line="168" w:lineRule="exact"/>
        <w:rPr>
          <w:rFonts w:ascii="Arial" w:cs="Arial" w:eastAsia="Arial" w:hAnsi="Arial"/>
          <w:sz w:val="16"/>
          <w:szCs w:val="16"/>
          <w:color w:val="auto"/>
        </w:rPr>
      </w:pPr>
    </w:p>
    <w:p>
      <w:pPr>
        <w:ind w:left="380" w:right="16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 in treasury stock was due to shares withheld to pay statutory taxes upon the vesting of RSUs during the nine months ended September 30, 2019. Refer to Note 7 for details.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September 30, 2019, unrecognized share-based compensation expense associated with the granted RSUs amounted to $15,105, which is expected to be recognized over a remaining weighted average period of 2.3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was allocated to the following accounts in the condensed consolidated financial statements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268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100" w:type="dxa"/>
            <w:vAlign w:val="bottom"/>
            <w:tcBorders>
              <w:bottom w:val="single" w:sz="8" w:color="CFF0FC"/>
            </w:tcBorders>
            <w:vMerge w:val="continue"/>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in intangible assets</w:t>
            </w:r>
          </w:p>
        </w:tc>
        <w:tc>
          <w:tcPr>
            <w:tcW w:w="1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amounts recorded in the nine months ended September 30, 2018 included an allocation of share-based compensation related to the share-based awards granted by Fluent to Company employees or non-employees prior to the Spin-off.</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August 7, 2018, the Company entered into an executive chairman services agreement with Mr. Michael Brauser, the then Executive Chairman of the Company, pursuant to which Mr. Brauser will be providing recommendations on organizational and capital structure, future financing needs and future acquisitions or strategic transactions (“Services Agreement”), for a term of one year, automatically renewing for additional one-year periods unless either party provides written notice to the other of its intent not to renew not fewer than 30 days prior to the expiration of the then current term. Mr. Brauser continues to provide services as a consultant under the Services Agreement after his resignation as Executive Chairman and as a member of the board of directors effective on September 9, 2018. Under the Services Agreement, Mr. Brauser receives cash compensation of $30 per month and is entitled to participate in the Company’s incentive compensation plan. The Company recognized consulting service fees relating to the Services Agreement of a total of $90 and $270 during the three and nine months ended September 30, 2019, respectively, and $90 during the three and nine months ended September 30, 2018. In addition, amortization of share-based compensation expense of $343 and $1,458 in relation to the RSUs with the 2018 Performance Criteria previously granted to Mr. Brauser was recognized during the three and nine months ended September 30, 2019,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Contribution by Fluent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Contribution by Fluent represents cash funding provided or the portion of certain expenses allocated by Fluent to red violet, on or prior to the Spin-off.</w:t>
      </w:r>
    </w:p>
    <w:p>
      <w:pPr>
        <w:spacing w:after="0" w:line="23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These allocated expenses are primarily corporate employee salaries and benefits of the functional groups (inclusive of executive management, accounting, administrative and information technology) and corporate administrative expenses (inclusive of legal services, accounting and finance services and other corporate and infrastructure services). Corporate employee salaries and benefits were allocated on the basis of time spent, and corporate administrative expenses were allocated on the basis of relative percentage of services utilized or benefit received. red violet recorded expenses of $325 for the three months ended March 31, 2018 as a result of the allocation of expenses from Fluent. Upon the Spin-off, Fluent no longer allocates any expenses to red violet.</w:t>
      </w:r>
    </w:p>
    <w:p>
      <w:pPr>
        <w:spacing w:after="0" w:line="1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share-based compensation of $344, relating to the share-based awards granted by Fluent prior to the Spin-off, was recorded during the three months ended March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On January 1, 2019, the Company adopted Leases (Topic 842) using the modified retrospective method applied to all leases existing at the date of initial application. The Company elected the practical expedients to not reassess whether any existing contracts are or contain leases, not reassess the lease classification for any existing leases, and not reassess initial direct costs for any existing leases, upon the adoption of Leases (Topic 842).</w:t>
      </w:r>
    </w:p>
    <w:p>
      <w:pPr>
        <w:spacing w:after="0" w:line="14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Company leases its corporate headquarters of 21,020 rentable square feet in accordance with a non-cancelable 89-month operating lease agreement as amended and effective in January 2017. The Company also leases an additional office space of 6,003 rentable square feet in accordance with a non-cancellable 90-month operating lease agreement entered into in April 2017, with an option to extend for additional 60 months. The extension option is not included in the determination of the lease term as it is not reasonably certain to be exercised.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2019, a summary of the Company’s lease information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Three Months 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6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ind w:right="176"/>
              <w:spacing w:after="0"/>
              <w:rPr>
                <w:sz w:val="20"/>
                <w:szCs w:val="20"/>
                <w:color w:val="auto"/>
              </w:rPr>
            </w:pPr>
            <w:r>
              <w:rPr>
                <w:rFonts w:ascii="Arial" w:cs="Arial" w:eastAsia="Arial" w:hAnsi="Arial"/>
                <w:sz w:val="14"/>
                <w:szCs w:val="14"/>
                <w:b w:val="1"/>
                <w:bCs w:val="1"/>
                <w:color w:val="auto"/>
                <w:w w:val="97"/>
              </w:rPr>
              <w:t>September 30, 2019</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September 30, 2019</w:t>
            </w:r>
          </w:p>
        </w:tc>
      </w:tr>
      <w:tr>
        <w:trPr>
          <w:trHeight w:val="223"/>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1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Operating lease costs</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168</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Cash paid for operating leases</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172</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8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 xml:space="preserve">Weighted average discount rate for operating leases </w:t>
            </w:r>
            <w:r>
              <w:rPr>
                <w:rFonts w:ascii="Arial" w:cs="Arial" w:eastAsia="Arial" w:hAnsi="Arial"/>
                <w:sz w:val="15"/>
                <w:szCs w:val="15"/>
                <w:color w:val="auto"/>
              </w:rPr>
              <w:t>(1)</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bl>
    <w:p>
      <w:pPr>
        <w:spacing w:after="0" w:line="201" w:lineRule="exact"/>
        <w:rPr>
          <w:sz w:val="20"/>
          <w:szCs w:val="20"/>
          <w:color w:val="auto"/>
        </w:rPr>
      </w:pPr>
    </w:p>
    <w:p>
      <w:pPr>
        <w:ind w:left="380" w:right="100" w:hanging="372"/>
        <w:spacing w:after="0" w:line="264"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used 8.0%, its estimated incremental borrowing rate for similar secured assets, as the discount rate for the leases to determine the present value of the lease payments because the implicit rate in each lease is not readily determinable. The discount rate was calculated on the basis of information available as of January 1, 2019, the application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 weighted average remaining operating lease term was 5.1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As of September 30, 2019, scheduled future maturities and present value of the operating lease liabilities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6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23"/>
        </w:trPr>
        <w:tc>
          <w:tcPr>
            <w:tcW w:w="9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maturities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Arial" w:cs="Arial" w:eastAsia="Arial" w:hAnsi="Arial"/>
                <w:sz w:val="18"/>
                <w:szCs w:val="18"/>
                <w:color w:val="auto"/>
              </w:rPr>
              <w:t>Present value included in condensed consolidated balance sheet:</w:t>
            </w: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Arial" w:cs="Arial" w:eastAsia="Arial" w:hAnsi="Arial"/>
                <w:sz w:val="18"/>
                <w:szCs w:val="18"/>
                <w:color w:val="auto"/>
              </w:rPr>
              <w:t>Difference between the maturities and the present value of operating lease liabilities</w:t>
            </w: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8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commitment</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incurred data costs of $1,946 and $1,447 for the three months ended September 30, 2019 and 2018, respectively, and $5,501 and $4,080 for the nine months ended September 30, 2019 and 2018, respectively, under certain data licensing agreements. As of September 30, 2019, material capital commitments under certain data licensing agreements were $16,689, shown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6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r>
      <w:tr>
        <w:trPr>
          <w:trHeight w:val="223"/>
        </w:trPr>
        <w:tc>
          <w:tcPr>
            <w:tcW w:w="9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7,506</w:t>
            </w:r>
          </w:p>
        </w:tc>
        <w:tc>
          <w:tcPr>
            <w:tcW w:w="100" w:type="dxa"/>
            <w:vAlign w:val="bottom"/>
          </w:tcPr>
          <w:p>
            <w:pPr>
              <w:spacing w:after="0"/>
              <w:rPr>
                <w:sz w:val="19"/>
                <w:szCs w:val="19"/>
                <w:color w:val="auto"/>
              </w:rPr>
            </w:pPr>
          </w:p>
        </w:tc>
      </w:tr>
      <w:tr>
        <w:trPr>
          <w:trHeight w:val="230"/>
        </w:trPr>
        <w:tc>
          <w:tcPr>
            <w:tcW w:w="96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5,615</w:t>
            </w:r>
          </w:p>
        </w:tc>
        <w:tc>
          <w:tcPr>
            <w:tcW w:w="100" w:type="dxa"/>
            <w:vAlign w:val="bottom"/>
            <w:shd w:val="clear" w:color="auto" w:fill="CFF0FC"/>
          </w:tcPr>
          <w:p>
            <w:pPr>
              <w:spacing w:after="0"/>
              <w:rPr>
                <w:sz w:val="19"/>
                <w:szCs w:val="19"/>
                <w:color w:val="auto"/>
              </w:rPr>
            </w:pPr>
          </w:p>
        </w:tc>
      </w:tr>
      <w:tr>
        <w:trPr>
          <w:trHeight w:val="230"/>
        </w:trPr>
        <w:tc>
          <w:tcPr>
            <w:tcW w:w="9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FF0FC"/>
            </w:tcBorders>
          </w:tcPr>
          <w:p>
            <w:pPr>
              <w:spacing w:after="0"/>
              <w:rPr>
                <w:sz w:val="19"/>
                <w:szCs w:val="19"/>
                <w:color w:val="auto"/>
              </w:rPr>
            </w:pPr>
          </w:p>
        </w:tc>
      </w:tr>
      <w:tr>
        <w:trPr>
          <w:trHeight w:val="223"/>
        </w:trPr>
        <w:tc>
          <w:tcPr>
            <w:tcW w:w="9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Contingencies</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June 21, 2018, the U.S. Supreme Court in South Dakota v. Wayfair, Inc. et al, overturned prior law which required physical presence for nexus and endorsed economic nexus as a basis for South Dakota to require online merchants to collect and remit sales taxes, even if the business does not have an in-state physical presence (the "Wayfair Decision"). As of September 30, 2019, the vast majority of states have enacted or announced their own interpretation of the Wayfair Decision. The Company collects and remits sales tax in certain states as a result of the Wayfair Decision and as a result of its continued overall compliance and review practice related to its sales and use tax obligations. In addition, the Company is currently undergoing a state sales and use tax examination.</w:t>
      </w:r>
    </w:p>
    <w:p>
      <w:pPr>
        <w:spacing w:after="0" w:line="16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our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 Based upon its analysis of potential sales and use tax labilities, the Company determined that there were no matters that required an accrual as of the balance sheet date, September 30, 2019. The Company estimates that adverse decisions, if any, related to state sales and use tax examinations could result in a possible loss up to $413.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line="279" w:lineRule="auto"/>
        <w:rPr>
          <w:sz w:val="20"/>
          <w:szCs w:val="20"/>
          <w:color w:val="auto"/>
        </w:rPr>
      </w:pPr>
      <w:r>
        <w:rPr>
          <w:rFonts w:ascii="Arial" w:cs="Arial" w:eastAsia="Arial" w:hAnsi="Arial"/>
          <w:sz w:val="17"/>
          <w:szCs w:val="17"/>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October 28, 2019, the Company’s compensation committee approved an aggregate of 340,500 RSUs to certain of its employees and directors, with a vesting period of 3 years, among which 307,500 RSUs are also subject to the 2019 Performance Criteria.</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Quarterly Report on Form 10-Q, as well as the disclosures made in the Company’s Annual Report on Form 10-K for the year ended December 31, 2018 filed on March 7, 2019 (“2018 Form 10-K”), and other filings we make with the Securities and Exchange Commission.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 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are building out our sales organization to drive current products and to introduce new products into the market place. We will incur increased compensation expenses relating to our sales and marketing, support, administrative, infrastructure, and engineering-related personnel as we increase headcount in the next 12 months.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References in this discussion and analysis to “we,” “us,” “our,” “red violet,” or the “Company,” refer to Red Violet, Inc. and its consolidated subsidiaries.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We are dedicated to making the world a safer place and reducing the cost of doing business. We specialize in big data analysis, providing cloud-based, mission-critical solutions to enterprises in a variety of industries. Through our intelligent platform, CORE</w:t>
      </w:r>
      <w:r>
        <w:rPr>
          <w:rFonts w:ascii="Arial" w:cs="Arial" w:eastAsia="Arial" w:hAnsi="Arial"/>
          <w:sz w:val="13"/>
          <w:szCs w:val="13"/>
          <w:color w:val="auto"/>
        </w:rPr>
        <w:t>TM</w:t>
      </w:r>
      <w:r>
        <w:rPr>
          <w:rFonts w:ascii="Arial" w:cs="Arial" w:eastAsia="Arial" w:hAnsi="Arial"/>
          <w:sz w:val="16"/>
          <w:szCs w:val="16"/>
          <w:color w:val="auto"/>
        </w:rPr>
        <w:t>, we uncover the relevance of disparate data points utilizing our analytical capabilities to provide real-time and insightful views of people, businesses, assets and their interrelationships.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Leveraging proprietary technology and applying machine learning and advanced analytic and decision-making capabilities, CORE provides compelling solutions to public and private sector organizations through intuitive, easy-to-use analytical applications. We empower clients across markets and industries to better execute all aspects of their business, from managing risk, recovering debt, identifying fraud and abuse, and ensuring legislative compliance, to identifying and acquiring customers. With a massive data repository of approximately nine petabytes of public-record, proprietary and publicly-available data, as well as self-reported consumer information and behavioral signals, we transform data into intelligence for our customers to enable better data-driven decisioning.</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presently market our solutions primarily through two brands, idiCORE™, our flagship product, and FOREWARN</w:t>
      </w:r>
      <w:r>
        <w:rPr>
          <w:rFonts w:ascii="Arial" w:cs="Arial" w:eastAsia="Arial" w:hAnsi="Arial"/>
          <w:sz w:val="14"/>
          <w:szCs w:val="14"/>
          <w:color w:val="auto"/>
        </w:rPr>
        <w:t>®</w:t>
      </w:r>
      <w:r>
        <w:rPr>
          <w:rFonts w:ascii="Arial" w:cs="Arial" w:eastAsia="Arial" w:hAnsi="Arial"/>
          <w:sz w:val="17"/>
          <w:szCs w:val="17"/>
          <w:color w:val="auto"/>
        </w:rPr>
        <w:t>. idiCORE is a next-generation, investigative solution used to address a variety of organizational challenges including due diligence, risk mitigation, identity authentication and legislative compliance, by financial services companies, insurance companies, healthcare companies, law enforcement and government, collection,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September 30, 2019, idiCORE had over 4,780 customers and FOREWARN had over 23,850 users.</w:t>
      </w:r>
    </w:p>
    <w:p>
      <w:pPr>
        <w:spacing w:after="0" w:line="17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Revenue from pricing contracts represented 66% and 65% of total revenue for the three and nine months ended September 30, 2019, respectively.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6" w:name="page17"/>
    <w:bookmarkEnd w:id="16"/>
    <w:p>
      <w:pPr>
        <w:spacing w:after="0" w:line="293" w:lineRule="auto"/>
        <w:rPr>
          <w:sz w:val="20"/>
          <w:szCs w:val="20"/>
          <w:color w:val="auto"/>
        </w:rPr>
      </w:pPr>
      <w:r>
        <w:rPr>
          <w:rFonts w:ascii="Arial" w:cs="Arial" w:eastAsia="Arial" w:hAnsi="Arial"/>
          <w:sz w:val="16"/>
          <w:szCs w:val="16"/>
          <w:color w:val="auto"/>
        </w:rPr>
        <w:t>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Our sales model generally begins with a free trial followed by an initial purchase on a transactional basis or minimum-committed monthly spend. As organizations derive benefits from our solutions, we are able to “land and expand” within larger organizations as additional use cases expand across departments, divisions and geographic locations and customers become increasingly reliant on our solutions in their daily workflow.</w:t>
      </w:r>
    </w:p>
    <w:p>
      <w:pPr>
        <w:spacing w:after="0" w:line="16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March 26, 2018, Fluent, Inc. (“Fluent”) spun off its risk management business by way of a distribution of all of the shares of common stock of its then wholly-owned subsidiary, red violet, to its stockholders as of the record date and certain warrant holders (the “Spin-off”). Upon the Spin-off, red violet owned Fluent subsidiaries that previously operated Fluent’s risk management business, and red violet became an independent public company. For periods prior to the Spin-off, these financial statements were prepared on a consolidated and combined basis because certain of the entities were under common control.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property and equipment and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additional information, please refer to our 2018 Form 10-K. There have been no material changes to Critical Accounting Policies and Estimates disclosed in our 2018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1(b), “</w:t>
      </w:r>
      <w:r>
        <w:rPr>
          <w:rFonts w:ascii="Arial" w:cs="Arial" w:eastAsia="Arial" w:hAnsi="Arial"/>
          <w:sz w:val="18"/>
          <w:szCs w:val="18"/>
          <w:i w:val="1"/>
          <w:iCs w:val="1"/>
          <w:color w:val="auto"/>
        </w:rPr>
        <w:t>Recently issued accounting standards,”</w:t>
      </w:r>
      <w:r>
        <w:rPr>
          <w:rFonts w:ascii="Arial" w:cs="Arial" w:eastAsia="Arial" w:hAnsi="Arial"/>
          <w:sz w:val="18"/>
          <w:szCs w:val="18"/>
          <w:color w:val="auto"/>
        </w:rPr>
        <w:t xml:space="preserve"> in “Notes to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2019 as compared to the three months ended September 30, 2018:</w:t>
      </w:r>
    </w:p>
    <w:p>
      <w:pPr>
        <w:spacing w:after="0" w:line="225"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increased 89% to $8.3 million.</w:t>
      </w:r>
    </w:p>
    <w:p>
      <w:pPr>
        <w:spacing w:after="0" w:line="117" w:lineRule="exact"/>
        <w:rPr>
          <w:rFonts w:ascii="Arial" w:cs="Arial" w:eastAsia="Arial" w:hAnsi="Arial"/>
          <w:sz w:val="18"/>
          <w:szCs w:val="18"/>
          <w:color w:val="auto"/>
        </w:rPr>
      </w:pPr>
    </w:p>
    <w:p>
      <w:pPr>
        <w:ind w:left="380" w:right="920" w:hanging="372"/>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was $1.0 million (including share-based compensation expense of $1.4 million) as compared to $1.3 million (including share-based compensation expense of $0.2 million).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per share was $0.09 as compared to $0.12.</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gross profit increased 141% to $5.1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gross margin increased to 62% from 49%.</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was $1.1 million as compared to a negative $0.8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US GAAP, excluding interest income, net, depreciation and amortization, share-based compensation expense, litigation costs, net, transition service income,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5"/>
              </w:rPr>
              <w:t>Three Months Ended September 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880" w:type="dxa"/>
            <w:vAlign w:val="bottom"/>
            <w:tcBorders>
              <w:bottom w:val="single" w:sz="8" w:color="CFF0FC"/>
            </w:tcBorders>
            <w:vMerge w:val="continue"/>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Interest income, net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Litigation costs, net</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Insurance proceeds in relation to settled litigation</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 income</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Write-off of long-lived assets and others</w:t>
            </w:r>
          </w:p>
        </w:tc>
        <w:tc>
          <w:tcPr>
            <w:tcW w:w="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(3,330)</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5"/>
              </w:rPr>
              <w:t>Three Months Ended September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56"/>
        </w:trPr>
        <w:tc>
          <w:tcPr>
            <w:tcW w:w="4880" w:type="dxa"/>
            <w:vAlign w:val="bottom"/>
            <w:tcBorders>
              <w:bottom w:val="single" w:sz="8" w:color="CFF0FC"/>
            </w:tcBorders>
            <w:vMerge w:val="continue"/>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gross profit</w:t>
            </w:r>
          </w:p>
        </w:tc>
        <w:tc>
          <w:tcPr>
            <w:tcW w:w="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12,393</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5,260</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Adjusted gross margin</w:t>
            </w: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present adjusted EBITDA, adjusted gross profit and adjusted gross margin as supplemental measures of our operating performance because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of our business, evaluate the performance of our senior management and measure the operating strength of our business.</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Adjusted EBITDA, adjusted gross profit and adjusted gross margin are measures frequently used by securities analysts, investors and other interested parties in their evaluation of the operating performance of companies similar to ours and are indicators of the operational strength of our business. Adjusted EBITDA eliminates the uneven effect of considerable amounts of non-cash depreciation and amortization, share-based compensation expense and the impact of other items. Adjusted gross profit and adjusted gross margin are calculated by using cost of revenue (exclusive of depreciation and amortization).</w:t>
      </w:r>
    </w:p>
    <w:p>
      <w:pPr>
        <w:spacing w:after="0" w:line="15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Adjusted EBITDA, adjusted gross profit and adjusted gross margin are not intended to be performance measures that should be regarded as an alternative to, or more meaningful than, either loss before income taxes or net loss as indicators of operating performance or to cash flows from operating activities as a measure of liquidity.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2019 compared to three months ended September 30, 2018</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$3.9 million or 89% to $8.3 million for the three months ended September 30, 2019 from $4.4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2018. This increase was driven by strong growth in volume from onboarding of new customers and usage from existing customers. Our idiCORE billable customer base grew from approximately 3,430 customers as of September 30, 2018 to 4,780 customers as of September 30,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ind w:right="40"/>
        <w:spacing w:after="0" w:line="255" w:lineRule="auto"/>
        <w:rPr>
          <w:sz w:val="20"/>
          <w:szCs w:val="20"/>
          <w:color w:val="auto"/>
        </w:rPr>
      </w:pPr>
      <w:r>
        <w:rPr>
          <w:rFonts w:ascii="Arial" w:cs="Arial" w:eastAsia="Arial" w:hAnsi="Arial"/>
          <w:sz w:val="18"/>
          <w:szCs w:val="18"/>
          <w:b w:val="1"/>
          <w:bCs w:val="1"/>
          <w:i w:val="1"/>
          <w:iCs w:val="1"/>
          <w:color w:val="auto"/>
        </w:rPr>
        <w:t>Cost of revenue (exclusive of depreciation and amortization)</w:t>
      </w:r>
      <w:r>
        <w:rPr>
          <w:rFonts w:ascii="Arial" w:cs="Arial" w:eastAsia="Arial" w:hAnsi="Arial"/>
          <w:sz w:val="18"/>
          <w:szCs w:val="18"/>
          <w:color w:val="auto"/>
        </w:rPr>
        <w:t>. Cost of revenue increased $0.9 million or 40% to $3.1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2019 from $2.2 million for the three months ended September 30, 2018.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approximately 40% of our total data acquisition costs for the three months ended September 30, 2019 compared to approximately 44% for the three months ended September 30, 2018. Other cost of revenue items include expenses related to third-party infrastructure fees.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38% for the three months ended September 30, 2019 from 51% for the three months ended September 30, 2018.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Sales and marketing expenses</w:t>
      </w:r>
      <w:r>
        <w:rPr>
          <w:rFonts w:ascii="Arial" w:cs="Arial" w:eastAsia="Arial" w:hAnsi="Arial"/>
          <w:sz w:val="18"/>
          <w:szCs w:val="18"/>
          <w:color w:val="auto"/>
        </w:rPr>
        <w:t>. Sales and marketing expenses increased $0.8 million or 71% to $1.9 million for the three months ended September 30,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$1.1 million for the three months ended September 30, 2018. Sales and marketing expenses consist of salaries and benefits, advertising and marketing, traveling expenses, and share-based compensation expense, incurred by our sales team, and provision for bad debts. The increase in the three months ended September 30, 2019 was primarily attributable to the increase in salaries and benefits resulting from increased headcount as we continue to invest in the expansion of our sales organization.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r>
        <w:rPr>
          <w:rFonts w:ascii="Arial" w:cs="Arial" w:eastAsia="Arial" w:hAnsi="Arial"/>
          <w:sz w:val="17"/>
          <w:szCs w:val="17"/>
          <w:color w:val="auto"/>
        </w:rPr>
        <w:t>. General and administrative expenses increased $1.3 million or 60% to $3.5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from $2.2 million for the three months ended September 30, 2018. For the three months ended September 30, 2019 and 2018, our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administrative expenses consisted primarily of employee salaries and benefits of $1.1 million and $0.9 million, share-based compensation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 million and $0.2 million, and professional fees of $0.6 million and $0.7 million, respectively. The increase in share-based compensation expense was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result of achieving certain performance-based milestones and certain new grants. See Note 8, “Share-based compensation,” included in “Notes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for details.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increased $0.3 million or 48% to $0.8 million for the three months ended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2019 from $0.5 million for the three months ended September 30, 2018. The increase in depreciation and amortization for the three months ended September 30, 2019 resulted from the amortization of software developed for internal use that became ready for its intended use after the third quarter of 2018.</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Loss before income taxes</w:t>
      </w:r>
      <w:r>
        <w:rPr>
          <w:rFonts w:ascii="Arial" w:cs="Arial" w:eastAsia="Arial" w:hAnsi="Arial"/>
          <w:sz w:val="18"/>
          <w:szCs w:val="18"/>
          <w:color w:val="auto"/>
        </w:rPr>
        <w:t>. We had a loss before income taxes of $1.0 million for the three months ended September 30, 2019 as compared to $1.3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2018. The decrease in loss before income taxes was primarily attributable to the increase in revenue and the decrease in our cost of revenue as a percentage of revenue, which was partially offset by the increase in share-based compensation expense and employee salaries and benefits.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three months ended September 30, 2019 and 2018. A full valuation allowance on the deferred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was recognized as of September 30, 2019 and 2018. See Note 6, “Income Taxes,” included in “Notes to Condensed Consolidated Financial Statements,” for details.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A net loss of $1.0 million was recognized for the three months ended September 30, 2019 as compared to $1.3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2018, as a result of the foregoing.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2019 compared to nine months ended September 30, 2018</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$9.6 million or 83% to $21.2 million for the nine months ended September 30, 2019 from $11.6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2018. This increase was driven by strong growth in volume from onboarding of new customers and usage from existing customers. Our idiCORE billable customer base grew from approximately 3,430 customers as of September 30, 2018 to 4,780 customers as of September 30,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line="255" w:lineRule="auto"/>
        <w:rPr>
          <w:sz w:val="20"/>
          <w:szCs w:val="20"/>
          <w:color w:val="auto"/>
        </w:rPr>
      </w:pPr>
      <w:r>
        <w:rPr>
          <w:rFonts w:ascii="Arial" w:cs="Arial" w:eastAsia="Arial" w:hAnsi="Arial"/>
          <w:sz w:val="18"/>
          <w:szCs w:val="18"/>
          <w:b w:val="1"/>
          <w:bCs w:val="1"/>
          <w:i w:val="1"/>
          <w:iCs w:val="1"/>
          <w:color w:val="auto"/>
        </w:rPr>
        <w:t>Cost of revenue (exclusive of depreciation and amortization)</w:t>
      </w:r>
      <w:r>
        <w:rPr>
          <w:rFonts w:ascii="Arial" w:cs="Arial" w:eastAsia="Arial" w:hAnsi="Arial"/>
          <w:sz w:val="18"/>
          <w:szCs w:val="18"/>
          <w:color w:val="auto"/>
        </w:rPr>
        <w:t>. Cost of revenue increased $2.5 million or 40% to $8.8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2019 from $6.3 million for the nine months ended September 30, 2018.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approximately 41% of our total data acquisition costs for the nine months ended September 30, 2019 compared to approximately 47% for the nine months ended September 30, 2018. Other cost of revenue items include expenses related to third-party infrastructure fees.</w:t>
      </w:r>
    </w:p>
    <w:p>
      <w:pPr>
        <w:spacing w:after="0" w:line="18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42% for the nine months ended September 30, 2019 from 55% for the nine months ended September 30, 2018.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8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b w:val="1"/>
          <w:bCs w:val="1"/>
          <w:i w:val="1"/>
          <w:iCs w:val="1"/>
          <w:color w:val="auto"/>
        </w:rPr>
        <w:t>Sales and marketing expenses</w:t>
      </w:r>
      <w:r>
        <w:rPr>
          <w:rFonts w:ascii="Arial" w:cs="Arial" w:eastAsia="Arial" w:hAnsi="Arial"/>
          <w:sz w:val="16"/>
          <w:szCs w:val="16"/>
          <w:color w:val="auto"/>
        </w:rPr>
        <w:t>. Sales and marketing expenses increased $2.0 million or 58% to $5.4 million for the nine months ended September 30,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$3.4 million for the nine months ended September 30, 2018. Sales and marketing expenses consist of salaries and benefits, advertising and marketing, traveling expenses, and share-based compensation expense, incurred by our sales team, and provision for bad debts. The increase in the nine months ended September 30, 2019 was primarily attributable to the increase in salaries and benefits resulting from increased headcount as we continue to invest in the expansion of our sales organization, and the increase in share-based compensation expense and provision for bad debts.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r>
        <w:rPr>
          <w:rFonts w:ascii="Arial" w:cs="Arial" w:eastAsia="Arial" w:hAnsi="Arial"/>
          <w:sz w:val="16"/>
          <w:szCs w:val="16"/>
          <w:color w:val="auto"/>
        </w:rPr>
        <w:t>. General and administrative expenses increased $5.5 million or 95% to $11.3 million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from $5.8 million for the nine months ended September 30, 2018. For the nine months ended September 30, 2019 and 2018, our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administrative expenses consisted primarily of employee salaries and benefits of $3.1 million and $2.4 million, share-based compensation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(including a one-time $1.3 million as a result of achieving certain performance-based milestones) and $0.3 million, and professional fees of $1.8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$1.8 million, respectively. The increase in share-based compensation expense was as a result of achieving certain performance-based milestones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certain new grants. See Note 8, “Share-based compensation,” included in “Notes to Condensed Consolidated Financial Statements,” for details.</w:t>
      </w:r>
    </w:p>
    <w:p>
      <w:pPr>
        <w:spacing w:after="0" w:line="2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increased $0.6 million or 43% to $2.0 million for the nine months ended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2019 from $1.4 million for the nine months ended September 30, 2018. The increase in depreciation and amortization for the nine months ended September 30, 2019 resulted from the amortization of software developed for internal use that became ready for its intended use after the third quarter of 2018.</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Loss before income taxes</w:t>
      </w:r>
      <w:r>
        <w:rPr>
          <w:rFonts w:ascii="Arial" w:cs="Arial" w:eastAsia="Arial" w:hAnsi="Arial"/>
          <w:sz w:val="18"/>
          <w:szCs w:val="18"/>
          <w:color w:val="auto"/>
        </w:rPr>
        <w:t>. We had a loss before income taxes of $6.2 million for the nine months ended September 30, 2019 as compared to $4.8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2018. The increase in loss before income taxes was primarily attributable to the recognition of share-based compensation expense of $5.3 million ($1.3 million of which is one-time), which was partially offset by the increase in revenue and the decrease in our cost of revenue as a percentage of revenue.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nine months ended September 30, 2019 and 2018. A full valuation allowance on the deferred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was recognized as of September 30, 2019 and 2018. See Note 6, “Income Taxes,” included in “Notes to Condensed Consolidated Financial Statements,” for details.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A net loss of $6.2 million was recognized for the nine months ended September 30, 2019 as compared to $4.8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2018, as a result of the foregoing.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Cash flows provided by (used in) operating activities</w:t>
      </w:r>
      <w:r>
        <w:rPr>
          <w:rFonts w:ascii="Arial" w:cs="Arial" w:eastAsia="Arial" w:hAnsi="Arial"/>
          <w:sz w:val="17"/>
          <w:szCs w:val="17"/>
          <w:color w:val="auto"/>
        </w:rPr>
        <w:t>. For the nine months ended September 30, 2019, net cash provided by operating activities was $0.4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primarily the result of the net loss of $6.2 million, adjusted for certain non-cash items (consisting of share-based compensation expense, depreciation and amortization, write-off of long-lived assets, provision for bad debts and noncash lease expenses) totaling $8.1 million, and the cash used as a result of changes in assets and liabilities of $1.4 million, primarily the result of the increase in accounts receivable, following the increase in revenue. For the nine months ended September 30, 2018, net cash used in operating activities was $6.8 million, primarily the result of the net loss of $4.8 million, adjusted for certain non-cash items of an aggregate of $2.5 million, and the cash used as a result of changes in assets and liabilities of $4.8 million, primarily the result of the increase in accounts receivable and the decrease in accrued expenses and other current liabilities.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Cash flows used in investing activities</w:t>
      </w:r>
      <w:r>
        <w:rPr>
          <w:rFonts w:ascii="Arial" w:cs="Arial" w:eastAsia="Arial" w:hAnsi="Arial"/>
          <w:sz w:val="18"/>
          <w:szCs w:val="18"/>
          <w:color w:val="auto"/>
        </w:rPr>
        <w:t>. Net cash used in investing activities for the nine months ended September 30, 2019 and 2018 was $4.5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capitalized costs included in intangible assets for the corresponding periods.</w:t>
      </w:r>
    </w:p>
    <w:p>
      <w:pPr>
        <w:spacing w:after="0" w:line="170"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i w:val="1"/>
          <w:iCs w:val="1"/>
          <w:color w:val="auto"/>
        </w:rPr>
        <w:t>Cash flows provided by financing activities</w:t>
      </w:r>
      <w:r>
        <w:rPr>
          <w:rFonts w:ascii="Arial" w:cs="Arial" w:eastAsia="Arial" w:hAnsi="Arial"/>
          <w:sz w:val="16"/>
          <w:szCs w:val="16"/>
          <w:color w:val="auto"/>
        </w:rPr>
        <w:t>. Net cash provided by financing activities for the nine months ended September 30, 2019 was $7.4 million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the registered direct offering in August 2019. Net cash provided by financing activities for the nine months ended September 30, 2018 was $23.9 million (inclusive of the $20.0 million cash contribution by Fluent to red violet upon the Spin-off) as a result of capital contributed by Fluent.</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September 30, 2019, we had material commitments under certain data licensing agreements of $16.7 million. We anticipate funding our operations using available cash and cash flow generated from operations within the next twelve months.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reported net loss of $1.0 million and $1.3 million for the three months ended September 30, 2019 and 2018, respectively, and $6.2 million and $4.8 million for the nine months ended September 30, 2019 and 2018, respectively. As of September 30, 2019, we had a total shareholders’ equity balance of $42.1 million.</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September 30, 2019, we had cash and cash equivalents of approximately $13.3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 Subject to revenue growth, we may have to raise capital through the issuance of additional equity and/or debt, which, if we are able to obtain, could have the effect of diluting stockholders. Any equity or debt financings, if available at all, may be on terms which are not favorable to us. If our operations do not generate positive cash flow in the upcoming year, or if we are not able to obtain additional equity or debt financing on terms and conditions acceptable to us, if at all, we may be unable to implement our business plan, or even continue our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we did not have any off-balance sheet arrangements, as defined in Item 303(a)(4)(ii) of Regulation S-K.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as defined in Rule 12b-2 of the Exchange Act, we are not required to include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September 30, 2019.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9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September 30,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management's evaluation pursuant to Rules 13a-15(d) or 15d-15(d) of the Exchange Act during the last fiscal quarter of 2019 that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 and Internal Control over Financial Reporting</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the Company’s Annual Report on Form 10-K for the year ended December 31, 2018 filed with the Securities and Exchange Commission on March 7,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November 4, 2019, Jacky Wang notified the board of directors of his intention to resign as Principal Accounting Officer on November 4, 2019. His departure is not due to any disagreement related to the Company’s operations, financial statements, internal controls, auditors, policies or practices. Mr. Wang will remain with the Company as a principal accounting advisor.</w:t>
      </w:r>
    </w:p>
    <w:p>
      <w:pPr>
        <w:spacing w:after="0" w:line="181" w:lineRule="exact"/>
        <w:rPr>
          <w:sz w:val="20"/>
          <w:szCs w:val="20"/>
          <w:color w:val="auto"/>
        </w:rPr>
      </w:pPr>
    </w:p>
    <w:p>
      <w:pPr>
        <w:jc w:val="both"/>
        <w:ind w:right="160"/>
        <w:spacing w:after="0" w:line="264" w:lineRule="auto"/>
        <w:rPr>
          <w:rFonts w:ascii="Arial" w:cs="Arial" w:eastAsia="Arial" w:hAnsi="Arial"/>
          <w:sz w:val="18"/>
          <w:szCs w:val="18"/>
          <w:color w:val="0000EE"/>
        </w:rPr>
      </w:pPr>
      <w:r>
        <w:rPr>
          <w:rFonts w:ascii="Arial" w:cs="Arial" w:eastAsia="Arial" w:hAnsi="Arial"/>
          <w:sz w:val="18"/>
          <w:szCs w:val="18"/>
          <w:color w:val="auto"/>
        </w:rPr>
        <w:t xml:space="preserve">On November 4, 2019, the board of directors appointed Daniel MacLachlan, the Company’s current Chief Financial Officer and Principal Financial Officer, </w:t>
      </w:r>
      <w:hyperlink r:id="rId37">
        <w:r>
          <w:rPr>
            <w:rFonts w:ascii="Arial" w:cs="Arial" w:eastAsia="Arial" w:hAnsi="Arial"/>
            <w:sz w:val="18"/>
            <w:szCs w:val="18"/>
            <w:color w:val="auto"/>
          </w:rPr>
          <w:t xml:space="preserve">as Principal Accounting Officer. The information called for by Item 5.02(c) of Form 8-K is included in the Company’s proxy statement for its </w:t>
        </w:r>
        <w:r>
          <w:rPr>
            <w:rFonts w:ascii="Arial" w:cs="Arial" w:eastAsia="Arial" w:hAnsi="Arial"/>
            <w:sz w:val="18"/>
            <w:szCs w:val="18"/>
            <w:u w:val="single" w:color="auto"/>
            <w:color w:val="0000EE"/>
          </w:rPr>
          <w:t>2019 Annual</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Meeting of Stockholders</w:t>
        </w:r>
        <w:r>
          <w:rPr>
            <w:rFonts w:ascii="Arial" w:cs="Arial" w:eastAsia="Arial" w:hAnsi="Arial"/>
            <w:sz w:val="18"/>
            <w:szCs w:val="18"/>
            <w:color w:val="0000EE"/>
          </w:rPr>
          <w:t xml:space="preserve"> </w:t>
        </w:r>
        <w:r>
          <w:rPr>
            <w:rFonts w:ascii="Arial" w:cs="Arial" w:eastAsia="Arial" w:hAnsi="Arial"/>
            <w:sz w:val="18"/>
            <w:szCs w:val="18"/>
            <w:color w:val="000000"/>
          </w:rPr>
          <w:t>and is incorporated herein by reference.</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Incorporated by Reference</w:t>
            </w:r>
          </w:p>
        </w:tc>
        <w:tc>
          <w:tcPr>
            <w:tcW w:w="1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Filed</w:t>
            </w:r>
          </w:p>
        </w:tc>
        <w:tc>
          <w:tcPr>
            <w:tcW w:w="0" w:type="dxa"/>
            <w:vAlign w:val="bottom"/>
          </w:tcPr>
          <w:p>
            <w:pPr>
              <w:spacing w:after="0"/>
              <w:rPr>
                <w:sz w:val="1"/>
                <w:szCs w:val="1"/>
                <w:color w:val="auto"/>
              </w:rPr>
            </w:pPr>
          </w:p>
        </w:tc>
      </w:tr>
      <w:tr>
        <w:trPr>
          <w:trHeight w:val="142"/>
        </w:trPr>
        <w:tc>
          <w:tcPr>
            <w:tcW w:w="12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Exhibit No.</w:t>
            </w:r>
          </w:p>
        </w:tc>
        <w:tc>
          <w:tcPr>
            <w:tcW w:w="4380" w:type="dxa"/>
            <w:vAlign w:val="bottom"/>
            <w:gridSpan w:val="10"/>
          </w:tcPr>
          <w:p>
            <w:pPr>
              <w:spacing w:after="0" w:line="143" w:lineRule="exact"/>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2"/>
                <w:szCs w:val="12"/>
                <w:color w:val="auto"/>
              </w:rPr>
            </w:pPr>
          </w:p>
        </w:tc>
        <w:tc>
          <w:tcPr>
            <w:tcW w:w="1060" w:type="dxa"/>
            <w:vAlign w:val="bottom"/>
          </w:tcPr>
          <w:p>
            <w:pPr>
              <w:spacing w:after="0" w:line="143" w:lineRule="exact"/>
              <w:rPr>
                <w:sz w:val="20"/>
                <w:szCs w:val="20"/>
                <w:color w:val="auto"/>
              </w:rPr>
            </w:pPr>
            <w:r>
              <w:rPr>
                <w:rFonts w:ascii="Arial" w:cs="Arial" w:eastAsia="Arial" w:hAnsi="Arial"/>
                <w:sz w:val="13"/>
                <w:szCs w:val="13"/>
                <w:b w:val="1"/>
                <w:bCs w:val="1"/>
                <w:color w:val="auto"/>
              </w:rPr>
              <w:t>Form</w:t>
            </w:r>
          </w:p>
        </w:tc>
        <w:tc>
          <w:tcPr>
            <w:tcW w:w="1300" w:type="dxa"/>
            <w:vAlign w:val="bottom"/>
            <w:gridSpan w:val="3"/>
          </w:tcPr>
          <w:p>
            <w:pPr>
              <w:ind w:left="120"/>
              <w:spacing w:after="0" w:line="143" w:lineRule="exact"/>
              <w:rPr>
                <w:sz w:val="20"/>
                <w:szCs w:val="20"/>
                <w:color w:val="auto"/>
              </w:rPr>
            </w:pPr>
            <w:r>
              <w:rPr>
                <w:rFonts w:ascii="Arial" w:cs="Arial" w:eastAsia="Arial" w:hAnsi="Arial"/>
                <w:sz w:val="13"/>
                <w:szCs w:val="13"/>
                <w:b w:val="1"/>
                <w:bCs w:val="1"/>
                <w:color w:val="auto"/>
              </w:rPr>
              <w:t>File No.</w:t>
            </w:r>
          </w:p>
        </w:tc>
        <w:tc>
          <w:tcPr>
            <w:tcW w:w="11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Exhibit</w:t>
            </w:r>
          </w:p>
        </w:tc>
        <w:tc>
          <w:tcPr>
            <w:tcW w:w="1360" w:type="dxa"/>
            <w:vAlign w:val="bottom"/>
          </w:tcPr>
          <w:p>
            <w:pPr>
              <w:spacing w:after="0" w:line="143" w:lineRule="exact"/>
              <w:rPr>
                <w:sz w:val="20"/>
                <w:szCs w:val="20"/>
                <w:color w:val="auto"/>
              </w:rPr>
            </w:pPr>
            <w:r>
              <w:rPr>
                <w:rFonts w:ascii="Arial" w:cs="Arial" w:eastAsia="Arial" w:hAnsi="Arial"/>
                <w:sz w:val="13"/>
                <w:szCs w:val="13"/>
                <w:b w:val="1"/>
                <w:bCs w:val="1"/>
                <w:color w:val="auto"/>
              </w:rPr>
              <w:t>Filing Date</w:t>
            </w:r>
          </w:p>
        </w:tc>
        <w:tc>
          <w:tcPr>
            <w:tcW w:w="1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0"/>
              </w:rPr>
              <w:t>Herewith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10.1</w:t>
            </w:r>
          </w:p>
        </w:tc>
        <w:tc>
          <w:tcPr>
            <w:tcW w:w="140" w:type="dxa"/>
            <w:vAlign w:val="bottom"/>
          </w:tcPr>
          <w:p>
            <w:pPr>
              <w:spacing w:after="0"/>
              <w:rPr>
                <w:sz w:val="12"/>
                <w:szCs w:val="12"/>
                <w:color w:val="auto"/>
              </w:rPr>
            </w:pPr>
          </w:p>
        </w:tc>
        <w:tc>
          <w:tcPr>
            <w:tcW w:w="4380" w:type="dxa"/>
            <w:vAlign w:val="bottom"/>
            <w:tcBorders>
              <w:top w:val="single" w:sz="8" w:color="auto"/>
            </w:tcBorders>
            <w:gridSpan w:val="10"/>
          </w:tcPr>
          <w:p>
            <w:pPr>
              <w:spacing w:after="0" w:line="142" w:lineRule="exact"/>
              <w:rPr>
                <w:rFonts w:ascii="Arial" w:cs="Arial" w:eastAsia="Arial" w:hAnsi="Arial"/>
                <w:sz w:val="14"/>
                <w:szCs w:val="14"/>
                <w:color w:val="0000EE"/>
              </w:rPr>
            </w:pPr>
            <w:hyperlink r:id="rId39">
              <w:r>
                <w:rPr>
                  <w:rFonts w:ascii="Arial" w:cs="Arial" w:eastAsia="Arial" w:hAnsi="Arial"/>
                  <w:sz w:val="14"/>
                  <w:szCs w:val="14"/>
                  <w:color w:val="0000EE"/>
                </w:rPr>
                <w:t>Securities Purchase Agreement, dated as of August 28, 2019</w:t>
              </w:r>
            </w:hyperlink>
            <w:r>
              <w:rPr>
                <w:rFonts w:ascii="Arial" w:cs="Arial" w:eastAsia="Arial" w:hAnsi="Arial"/>
                <w:sz w:val="14"/>
                <w:szCs w:val="14"/>
                <w:color w:val="000000"/>
              </w:rPr>
              <w:t>.</w:t>
            </w: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8-K</w:t>
            </w: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0001-38407</w:t>
            </w:r>
          </w:p>
        </w:tc>
        <w:tc>
          <w:tcPr>
            <w:tcW w:w="140" w:type="dxa"/>
            <w:vAlign w:val="bottom"/>
          </w:tcPr>
          <w:p>
            <w:pPr>
              <w:spacing w:after="0"/>
              <w:rPr>
                <w:sz w:val="12"/>
                <w:szCs w:val="12"/>
                <w:color w:val="auto"/>
              </w:rPr>
            </w:pPr>
          </w:p>
        </w:tc>
        <w:tc>
          <w:tcPr>
            <w:tcW w:w="10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10.1</w:t>
            </w:r>
          </w:p>
        </w:tc>
        <w:tc>
          <w:tcPr>
            <w:tcW w:w="120" w:type="dxa"/>
            <w:vAlign w:val="bottom"/>
          </w:tcPr>
          <w:p>
            <w:pPr>
              <w:spacing w:after="0"/>
              <w:rPr>
                <w:sz w:val="12"/>
                <w:szCs w:val="12"/>
                <w:color w:val="auto"/>
              </w:rPr>
            </w:pPr>
          </w:p>
        </w:tc>
        <w:tc>
          <w:tcPr>
            <w:tcW w:w="13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08/28/2019</w:t>
            </w: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31.1</w:t>
            </w: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120" w:type="dxa"/>
            <w:vAlign w:val="bottom"/>
            <w:tcBorders>
              <w:bottom w:val="single" w:sz="8" w:color="0000EE"/>
            </w:tcBorders>
            <w:gridSpan w:val="8"/>
          </w:tcPr>
          <w:p>
            <w:pPr>
              <w:spacing w:after="0" w:line="142" w:lineRule="exact"/>
              <w:rPr>
                <w:rFonts w:ascii="Arial" w:cs="Arial" w:eastAsia="Arial" w:hAnsi="Arial"/>
                <w:sz w:val="14"/>
                <w:szCs w:val="14"/>
                <w:color w:val="0000EE"/>
                <w:w w:val="95"/>
              </w:rPr>
            </w:pPr>
            <w:hyperlink w:anchor="page26">
              <w:r>
                <w:rPr>
                  <w:rFonts w:ascii="Arial" w:cs="Arial" w:eastAsia="Arial" w:hAnsi="Arial"/>
                  <w:sz w:val="14"/>
                  <w:szCs w:val="14"/>
                  <w:color w:val="0000EE"/>
                  <w:w w:val="95"/>
                </w:rPr>
                <w:t>Certification of Chief Executive Officer filed pursuant to Exchange Act</w:t>
              </w:r>
            </w:hyperlink>
          </w:p>
        </w:tc>
        <w:tc>
          <w:tcPr>
            <w:tcW w:w="2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80" w:type="dxa"/>
            <w:vAlign w:val="bottom"/>
            <w:gridSpan w:val="10"/>
          </w:tcPr>
          <w:p>
            <w:pPr>
              <w:spacing w:after="0" w:line="129" w:lineRule="exact"/>
              <w:rPr>
                <w:rFonts w:ascii="Arial" w:cs="Arial" w:eastAsia="Arial" w:hAnsi="Arial"/>
                <w:sz w:val="14"/>
                <w:szCs w:val="14"/>
                <w:color w:val="0000EE"/>
                <w:w w:val="93"/>
              </w:rPr>
            </w:pPr>
            <w:hyperlink w:anchor="page26">
              <w:r>
                <w:rPr>
                  <w:rFonts w:ascii="Arial" w:cs="Arial" w:eastAsia="Arial" w:hAnsi="Arial"/>
                  <w:sz w:val="14"/>
                  <w:szCs w:val="14"/>
                  <w:color w:val="0000EE"/>
                  <w:w w:val="93"/>
                </w:rPr>
                <w:t>Rules 13a-14(a) and 15d-14(a) of the Securities and Exchange Act of 1934</w:t>
              </w:r>
            </w:hyperlink>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31.2</w:t>
            </w:r>
          </w:p>
        </w:tc>
        <w:tc>
          <w:tcPr>
            <w:tcW w:w="140" w:type="dxa"/>
            <w:vAlign w:val="bottom"/>
          </w:tcPr>
          <w:p>
            <w:pPr>
              <w:spacing w:after="0"/>
              <w:rPr>
                <w:sz w:val="11"/>
                <w:szCs w:val="11"/>
                <w:color w:val="auto"/>
              </w:rPr>
            </w:pPr>
          </w:p>
        </w:tc>
        <w:tc>
          <w:tcPr>
            <w:tcW w:w="4300" w:type="dxa"/>
            <w:vAlign w:val="bottom"/>
            <w:tcBorders>
              <w:top w:val="single" w:sz="8" w:color="0000EE"/>
            </w:tcBorders>
            <w:gridSpan w:val="9"/>
          </w:tcPr>
          <w:p>
            <w:pPr>
              <w:spacing w:after="0" w:line="129" w:lineRule="exact"/>
              <w:rPr>
                <w:rFonts w:ascii="Arial" w:cs="Arial" w:eastAsia="Arial" w:hAnsi="Arial"/>
                <w:sz w:val="14"/>
                <w:szCs w:val="14"/>
                <w:color w:val="0000EE"/>
                <w:w w:val="96"/>
              </w:rPr>
            </w:pPr>
            <w:hyperlink w:anchor="page26">
              <w:r>
                <w:rPr>
                  <w:rFonts w:ascii="Arial" w:cs="Arial" w:eastAsia="Arial" w:hAnsi="Arial"/>
                  <w:sz w:val="14"/>
                  <w:szCs w:val="14"/>
                  <w:color w:val="0000EE"/>
                  <w:w w:val="96"/>
                </w:rPr>
                <w:t>as adopted pursuant to Section 302 of the Sarbanes-Oxley Act of 2002</w:t>
              </w:r>
              <w:r>
                <w:rPr>
                  <w:rFonts w:ascii="Arial" w:cs="Arial" w:eastAsia="Arial" w:hAnsi="Arial"/>
                  <w:sz w:val="14"/>
                  <w:szCs w:val="14"/>
                  <w:color w:val="000000"/>
                  <w:w w:val="96"/>
                </w:rPr>
                <w:t>.</w:t>
              </w:r>
            </w:hyperlink>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40" w:type="dxa"/>
            <w:vAlign w:val="bottom"/>
            <w:tcBorders>
              <w:top w:val="single" w:sz="8" w:color="0000EE"/>
              <w:bottom w:val="single" w:sz="8" w:color="0000EE"/>
            </w:tcBorders>
            <w:gridSpan w:val="4"/>
          </w:tcPr>
          <w:p>
            <w:pPr>
              <w:spacing w:after="0" w:line="142" w:lineRule="exact"/>
              <w:rPr>
                <w:rFonts w:ascii="Arial" w:cs="Arial" w:eastAsia="Arial" w:hAnsi="Arial"/>
                <w:sz w:val="14"/>
                <w:szCs w:val="14"/>
                <w:color w:val="0000EE"/>
                <w:w w:val="94"/>
              </w:rPr>
            </w:pPr>
            <w:hyperlink w:anchor="page27">
              <w:r>
                <w:rPr>
                  <w:rFonts w:ascii="Arial" w:cs="Arial" w:eastAsia="Arial" w:hAnsi="Arial"/>
                  <w:sz w:val="14"/>
                  <w:szCs w:val="14"/>
                  <w:color w:val="0000EE"/>
                  <w:w w:val="94"/>
                </w:rPr>
                <w:t>Certification of Chief Financial Officer filed pursuant to Exchange Act</w:t>
              </w:r>
            </w:hyperlink>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300" w:type="dxa"/>
            <w:vAlign w:val="bottom"/>
            <w:gridSpan w:val="4"/>
            <w:vMerge w:val="restart"/>
          </w:tcPr>
          <w:p>
            <w:pPr>
              <w:jc w:val="right"/>
              <w:ind w:right="80"/>
              <w:spacing w:after="0"/>
              <w:rPr>
                <w:rFonts w:ascii="Arial" w:cs="Arial" w:eastAsia="Arial" w:hAnsi="Arial"/>
                <w:sz w:val="12"/>
                <w:szCs w:val="12"/>
                <w:color w:val="0000EE"/>
                <w:w w:val="74"/>
              </w:rPr>
            </w:pPr>
            <w:hyperlink w:anchor="page27">
              <w:r>
                <w:rPr>
                  <w:rFonts w:ascii="Arial" w:cs="Arial" w:eastAsia="Arial" w:hAnsi="Arial"/>
                  <w:sz w:val="12"/>
                  <w:szCs w:val="12"/>
                  <w:color w:val="0000EE"/>
                  <w:w w:val="74"/>
                </w:rPr>
                <w:t>1934</w:t>
              </w:r>
            </w:hyperlink>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80" w:type="dxa"/>
            <w:vAlign w:val="bottom"/>
            <w:gridSpan w:val="6"/>
          </w:tcPr>
          <w:p>
            <w:pPr>
              <w:spacing w:after="0" w:line="129" w:lineRule="exact"/>
              <w:rPr>
                <w:rFonts w:ascii="Arial" w:cs="Arial" w:eastAsia="Arial" w:hAnsi="Arial"/>
                <w:sz w:val="14"/>
                <w:szCs w:val="14"/>
                <w:color w:val="0000EE"/>
                <w:w w:val="94"/>
              </w:rPr>
            </w:pPr>
            <w:hyperlink w:anchor="page27">
              <w:r>
                <w:rPr>
                  <w:rFonts w:ascii="Arial" w:cs="Arial" w:eastAsia="Arial" w:hAnsi="Arial"/>
                  <w:sz w:val="14"/>
                  <w:szCs w:val="14"/>
                  <w:color w:val="0000EE"/>
                  <w:w w:val="94"/>
                </w:rPr>
                <w:t>Rules 13a-14(a) and 15d-14(a) of the Securities and Exchange Act of</w:t>
              </w:r>
            </w:hyperlink>
          </w:p>
        </w:tc>
        <w:tc>
          <w:tcPr>
            <w:tcW w:w="3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32.1*</w:t>
            </w:r>
          </w:p>
        </w:tc>
        <w:tc>
          <w:tcPr>
            <w:tcW w:w="140" w:type="dxa"/>
            <w:vAlign w:val="bottom"/>
          </w:tcPr>
          <w:p>
            <w:pPr>
              <w:spacing w:after="0"/>
              <w:rPr>
                <w:sz w:val="11"/>
                <w:szCs w:val="11"/>
                <w:color w:val="auto"/>
              </w:rPr>
            </w:pPr>
          </w:p>
        </w:tc>
        <w:tc>
          <w:tcPr>
            <w:tcW w:w="4300" w:type="dxa"/>
            <w:vAlign w:val="bottom"/>
            <w:tcBorders>
              <w:top w:val="single" w:sz="8" w:color="0000EE"/>
            </w:tcBorders>
            <w:gridSpan w:val="9"/>
          </w:tcPr>
          <w:p>
            <w:pPr>
              <w:spacing w:after="0" w:line="129" w:lineRule="exact"/>
              <w:rPr>
                <w:rFonts w:ascii="Arial" w:cs="Arial" w:eastAsia="Arial" w:hAnsi="Arial"/>
                <w:sz w:val="14"/>
                <w:szCs w:val="14"/>
                <w:color w:val="0000EE"/>
                <w:w w:val="96"/>
              </w:rPr>
            </w:pPr>
            <w:hyperlink w:anchor="page27">
              <w:r>
                <w:rPr>
                  <w:rFonts w:ascii="Arial" w:cs="Arial" w:eastAsia="Arial" w:hAnsi="Arial"/>
                  <w:sz w:val="14"/>
                  <w:szCs w:val="14"/>
                  <w:color w:val="0000EE"/>
                  <w:w w:val="96"/>
                </w:rPr>
                <w:t>as adopted pursuant to Section 302 of the Sarbanes-Oxley Act of 2002</w:t>
              </w:r>
              <w:r>
                <w:rPr>
                  <w:rFonts w:ascii="Arial" w:cs="Arial" w:eastAsia="Arial" w:hAnsi="Arial"/>
                  <w:sz w:val="14"/>
                  <w:szCs w:val="14"/>
                  <w:color w:val="000000"/>
                  <w:w w:val="96"/>
                </w:rPr>
                <w:t>.</w:t>
              </w:r>
            </w:hyperlink>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40" w:type="dxa"/>
            <w:vAlign w:val="bottom"/>
            <w:tcBorders>
              <w:top w:val="single" w:sz="8" w:color="0000EE"/>
              <w:bottom w:val="single" w:sz="8" w:color="0000EE"/>
            </w:tcBorders>
            <w:gridSpan w:val="4"/>
          </w:tcPr>
          <w:p>
            <w:pPr>
              <w:spacing w:after="0" w:line="142" w:lineRule="exact"/>
              <w:rPr>
                <w:rFonts w:ascii="Arial" w:cs="Arial" w:eastAsia="Arial" w:hAnsi="Arial"/>
                <w:sz w:val="14"/>
                <w:szCs w:val="14"/>
                <w:color w:val="0000EE"/>
                <w:w w:val="93"/>
              </w:rPr>
            </w:pPr>
            <w:hyperlink w:anchor="page28">
              <w:r>
                <w:rPr>
                  <w:rFonts w:ascii="Arial" w:cs="Arial" w:eastAsia="Arial" w:hAnsi="Arial"/>
                  <w:sz w:val="14"/>
                  <w:szCs w:val="14"/>
                  <w:color w:val="0000EE"/>
                  <w:w w:val="93"/>
                </w:rPr>
                <w:t>Certification by Chief Executive Officer pursuant to 18 U.S.C. Section</w:t>
              </w:r>
            </w:hyperlink>
          </w:p>
        </w:tc>
        <w:tc>
          <w:tcPr>
            <w:tcW w:w="20" w:type="dxa"/>
            <w:vAlign w:val="bottom"/>
            <w:tcBorders>
              <w:bottom w:val="single" w:sz="8" w:color="0000EE"/>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8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60" w:type="dxa"/>
            <w:vAlign w:val="bottom"/>
            <w:tcBorders>
              <w:bottom w:val="single" w:sz="8" w:color="0000EE"/>
            </w:tcBorders>
            <w:gridSpan w:val="5"/>
          </w:tcPr>
          <w:p>
            <w:pPr>
              <w:spacing w:after="0" w:line="129" w:lineRule="exact"/>
              <w:rPr>
                <w:rFonts w:ascii="Arial" w:cs="Arial" w:eastAsia="Arial" w:hAnsi="Arial"/>
                <w:sz w:val="14"/>
                <w:szCs w:val="14"/>
                <w:color w:val="0000EE"/>
                <w:w w:val="91"/>
              </w:rPr>
            </w:pPr>
            <w:hyperlink w:anchor="page28">
              <w:r>
                <w:rPr>
                  <w:rFonts w:ascii="Arial" w:cs="Arial" w:eastAsia="Arial" w:hAnsi="Arial"/>
                  <w:sz w:val="14"/>
                  <w:szCs w:val="14"/>
                  <w:color w:val="0000EE"/>
                  <w:w w:val="91"/>
                </w:rPr>
                <w:t>1350, as adopted pursuant to Section 906 of the Sarbanes-Oxley Act of</w:t>
              </w:r>
            </w:hyperlink>
          </w:p>
        </w:tc>
        <w:tc>
          <w:tcPr>
            <w:tcW w:w="40" w:type="dxa"/>
            <w:vAlign w:val="bottom"/>
            <w:tcBorders>
              <w:bottom w:val="single" w:sz="8" w:color="0000EE"/>
            </w:tcBorders>
            <w:gridSpan w:val="2"/>
          </w:tcPr>
          <w:p>
            <w:pPr>
              <w:spacing w:after="0"/>
              <w:rPr>
                <w:sz w:val="11"/>
                <w:szCs w:val="11"/>
                <w:color w:val="auto"/>
              </w:rPr>
            </w:pPr>
          </w:p>
        </w:tc>
        <w:tc>
          <w:tcPr>
            <w:tcW w:w="28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32.2*</w:t>
            </w:r>
          </w:p>
        </w:tc>
        <w:tc>
          <w:tcPr>
            <w:tcW w:w="140" w:type="dxa"/>
            <w:vAlign w:val="bottom"/>
          </w:tcPr>
          <w:p>
            <w:pPr>
              <w:spacing w:after="0"/>
              <w:rPr>
                <w:sz w:val="11"/>
                <w:szCs w:val="11"/>
                <w:color w:val="auto"/>
              </w:rPr>
            </w:pPr>
          </w:p>
        </w:tc>
        <w:tc>
          <w:tcPr>
            <w:tcW w:w="3480" w:type="dxa"/>
            <w:vAlign w:val="bottom"/>
            <w:gridSpan w:val="2"/>
          </w:tcPr>
          <w:p>
            <w:pPr>
              <w:spacing w:after="0" w:line="129" w:lineRule="exact"/>
              <w:rPr>
                <w:rFonts w:ascii="Arial" w:cs="Arial" w:eastAsia="Arial" w:hAnsi="Arial"/>
                <w:sz w:val="14"/>
                <w:szCs w:val="14"/>
                <w:color w:val="0000EE"/>
              </w:rPr>
            </w:pPr>
            <w:hyperlink w:anchor="page28">
              <w:r>
                <w:rPr>
                  <w:rFonts w:ascii="Arial" w:cs="Arial" w:eastAsia="Arial" w:hAnsi="Arial"/>
                  <w:sz w:val="14"/>
                  <w:szCs w:val="14"/>
                  <w:color w:val="0000EE"/>
                </w:rPr>
                <w:t>2002</w:t>
              </w:r>
              <w:r>
                <w:rPr>
                  <w:rFonts w:ascii="Arial" w:cs="Arial" w:eastAsia="Arial" w:hAnsi="Arial"/>
                  <w:sz w:val="14"/>
                  <w:szCs w:val="14"/>
                  <w:color w:val="000000"/>
                </w:rPr>
                <w:t>.</w:t>
              </w:r>
            </w:hyperlink>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380" w:type="dxa"/>
            <w:vAlign w:val="bottom"/>
            <w:gridSpan w:val="10"/>
          </w:tcPr>
          <w:p>
            <w:pPr>
              <w:spacing w:after="0" w:line="142" w:lineRule="exact"/>
              <w:rPr>
                <w:rFonts w:ascii="Arial" w:cs="Arial" w:eastAsia="Arial" w:hAnsi="Arial"/>
                <w:sz w:val="14"/>
                <w:szCs w:val="14"/>
                <w:color w:val="0000EE"/>
              </w:rPr>
            </w:pPr>
            <w:hyperlink w:anchor="page29">
              <w:r>
                <w:rPr>
                  <w:rFonts w:ascii="Arial" w:cs="Arial" w:eastAsia="Arial" w:hAnsi="Arial"/>
                  <w:sz w:val="14"/>
                  <w:szCs w:val="14"/>
                  <w:color w:val="0000EE"/>
                </w:rPr>
                <w:t>Certification by Chief Financial Officer pursuant to 18 U.S.C. Section</w:t>
              </w:r>
            </w:hyperlink>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80" w:type="dxa"/>
            <w:vAlign w:val="bottom"/>
            <w:gridSpan w:val="10"/>
          </w:tcPr>
          <w:p>
            <w:pPr>
              <w:spacing w:after="0" w:line="129" w:lineRule="exact"/>
              <w:rPr>
                <w:rFonts w:ascii="Arial" w:cs="Arial" w:eastAsia="Arial" w:hAnsi="Arial"/>
                <w:sz w:val="14"/>
                <w:szCs w:val="14"/>
                <w:color w:val="0000EE"/>
                <w:w w:val="98"/>
              </w:rPr>
            </w:pPr>
            <w:hyperlink w:anchor="page29">
              <w:r>
                <w:rPr>
                  <w:rFonts w:ascii="Arial" w:cs="Arial" w:eastAsia="Arial" w:hAnsi="Arial"/>
                  <w:sz w:val="14"/>
                  <w:szCs w:val="14"/>
                  <w:color w:val="0000EE"/>
                  <w:w w:val="98"/>
                </w:rPr>
                <w:t>1350, as adopted pursuant to Section 906 of the Sarbanes-Oxley Act of</w:t>
              </w:r>
            </w:hyperlink>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101.INS</w:t>
            </w:r>
          </w:p>
        </w:tc>
        <w:tc>
          <w:tcPr>
            <w:tcW w:w="3480" w:type="dxa"/>
            <w:vAlign w:val="bottom"/>
            <w:tcBorders>
              <w:top w:val="single" w:sz="8" w:color="0000EE"/>
            </w:tcBorders>
            <w:gridSpan w:val="2"/>
          </w:tcPr>
          <w:p>
            <w:pPr>
              <w:spacing w:after="0" w:line="129" w:lineRule="exact"/>
              <w:rPr>
                <w:rFonts w:ascii="Arial" w:cs="Arial" w:eastAsia="Arial" w:hAnsi="Arial"/>
                <w:sz w:val="14"/>
                <w:szCs w:val="14"/>
                <w:color w:val="0000EE"/>
              </w:rPr>
            </w:pPr>
            <w:hyperlink w:anchor="page29">
              <w:r>
                <w:rPr>
                  <w:rFonts w:ascii="Arial" w:cs="Arial" w:eastAsia="Arial" w:hAnsi="Arial"/>
                  <w:sz w:val="14"/>
                  <w:szCs w:val="14"/>
                  <w:color w:val="0000EE"/>
                </w:rPr>
                <w:t>2002</w:t>
              </w:r>
              <w:r>
                <w:rPr>
                  <w:rFonts w:ascii="Arial" w:cs="Arial" w:eastAsia="Arial" w:hAnsi="Arial"/>
                  <w:sz w:val="14"/>
                  <w:szCs w:val="14"/>
                  <w:color w:val="000000"/>
                </w:rPr>
                <w:t>.</w:t>
              </w:r>
            </w:hyperlink>
          </w:p>
        </w:tc>
        <w:tc>
          <w:tcPr>
            <w:tcW w:w="5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60" w:type="dxa"/>
            <w:vAlign w:val="bottom"/>
            <w:gridSpan w:val="3"/>
            <w:vMerge w:val="continue"/>
          </w:tcPr>
          <w:p>
            <w:pPr>
              <w:spacing w:after="0"/>
              <w:rPr>
                <w:sz w:val="11"/>
                <w:szCs w:val="11"/>
                <w:color w:val="auto"/>
              </w:rPr>
            </w:pPr>
          </w:p>
        </w:tc>
        <w:tc>
          <w:tcPr>
            <w:tcW w:w="280" w:type="dxa"/>
            <w:vAlign w:val="bottom"/>
            <w:tcBorders>
              <w:top w:val="single" w:sz="8" w:color="0000EE"/>
            </w:tcBorders>
          </w:tcPr>
          <w:p>
            <w:pPr>
              <w:spacing w:after="0" w:line="137" w:lineRule="exact"/>
              <w:rPr>
                <w:sz w:val="20"/>
                <w:szCs w:val="20"/>
                <w:color w:val="auto"/>
              </w:rPr>
            </w:pPr>
            <w:r>
              <w:rPr>
                <w:rFonts w:ascii="Arial" w:cs="Arial" w:eastAsia="Arial" w:hAnsi="Arial"/>
                <w:sz w:val="14"/>
                <w:szCs w:val="14"/>
                <w:color w:val="auto"/>
                <w:w w:val="77"/>
              </w:rPr>
              <w:t>Inline</w:t>
            </w:r>
          </w:p>
        </w:tc>
        <w:tc>
          <w:tcPr>
            <w:tcW w:w="4100" w:type="dxa"/>
            <w:vAlign w:val="bottom"/>
            <w:gridSpan w:val="9"/>
          </w:tcPr>
          <w:p>
            <w:pPr>
              <w:jc w:val="right"/>
              <w:ind w:right="120"/>
              <w:spacing w:after="0" w:line="137" w:lineRule="exact"/>
              <w:rPr>
                <w:sz w:val="20"/>
                <w:szCs w:val="20"/>
                <w:color w:val="auto"/>
              </w:rPr>
            </w:pPr>
            <w:r>
              <w:rPr>
                <w:rFonts w:ascii="Arial" w:cs="Arial" w:eastAsia="Arial" w:hAnsi="Arial"/>
                <w:sz w:val="14"/>
                <w:szCs w:val="14"/>
                <w:color w:val="auto"/>
                <w:w w:val="93"/>
              </w:rPr>
              <w:t>XBRL Instance Document – the instance document does not appear</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380" w:type="dxa"/>
            <w:vAlign w:val="bottom"/>
            <w:gridSpan w:val="10"/>
          </w:tcPr>
          <w:p>
            <w:pPr>
              <w:spacing w:after="0" w:line="149" w:lineRule="exact"/>
              <w:rPr>
                <w:sz w:val="20"/>
                <w:szCs w:val="20"/>
                <w:color w:val="auto"/>
              </w:rPr>
            </w:pPr>
            <w:r>
              <w:rPr>
                <w:rFonts w:ascii="Arial" w:cs="Arial" w:eastAsia="Arial" w:hAnsi="Arial"/>
                <w:sz w:val="14"/>
                <w:szCs w:val="14"/>
                <w:color w:val="auto"/>
                <w:w w:val="93"/>
              </w:rPr>
              <w:t>in the Interactive Data File because its XBRL tags are embedded within the</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10"/>
          </w:tcPr>
          <w:p>
            <w:pPr>
              <w:spacing w:after="0"/>
              <w:rPr>
                <w:sz w:val="20"/>
                <w:szCs w:val="20"/>
                <w:color w:val="auto"/>
              </w:rPr>
            </w:pPr>
            <w:r>
              <w:rPr>
                <w:rFonts w:ascii="Arial" w:cs="Arial" w:eastAsia="Arial" w:hAnsi="Arial"/>
                <w:sz w:val="14"/>
                <w:szCs w:val="14"/>
                <w:color w:val="auto"/>
              </w:rPr>
              <w:t>Inline XBRL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Arial" w:cs="Arial" w:eastAsia="Arial" w:hAnsi="Arial"/>
                <w:sz w:val="14"/>
                <w:szCs w:val="14"/>
                <w:color w:val="auto"/>
              </w:rPr>
              <w:t>101.SCH</w:t>
            </w:r>
          </w:p>
        </w:tc>
        <w:tc>
          <w:tcPr>
            <w:tcW w:w="4380" w:type="dxa"/>
            <w:vAlign w:val="bottom"/>
            <w:gridSpan w:val="10"/>
          </w:tcPr>
          <w:p>
            <w:pPr>
              <w:spacing w:after="0"/>
              <w:rPr>
                <w:sz w:val="20"/>
                <w:szCs w:val="20"/>
                <w:color w:val="auto"/>
              </w:rPr>
            </w:pPr>
            <w:r>
              <w:rPr>
                <w:rFonts w:ascii="Arial" w:cs="Arial" w:eastAsia="Arial" w:hAnsi="Arial"/>
                <w:sz w:val="14"/>
                <w:szCs w:val="14"/>
                <w:color w:val="auto"/>
              </w:rPr>
              <w:t>Inline XBRL Taxonomy Extension Schema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Arial" w:cs="Arial" w:eastAsia="Arial" w:hAnsi="Arial"/>
                <w:sz w:val="14"/>
                <w:szCs w:val="14"/>
                <w:color w:val="auto"/>
              </w:rPr>
              <w:t>101.CAL</w:t>
            </w:r>
          </w:p>
        </w:tc>
        <w:tc>
          <w:tcPr>
            <w:tcW w:w="4380" w:type="dxa"/>
            <w:vAlign w:val="bottom"/>
            <w:gridSpan w:val="10"/>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Arial" w:cs="Arial" w:eastAsia="Arial" w:hAnsi="Arial"/>
                <w:sz w:val="14"/>
                <w:szCs w:val="14"/>
                <w:color w:val="auto"/>
              </w:rPr>
              <w:t>101.DEF</w:t>
            </w:r>
          </w:p>
        </w:tc>
        <w:tc>
          <w:tcPr>
            <w:tcW w:w="4380" w:type="dxa"/>
            <w:vAlign w:val="bottom"/>
            <w:gridSpan w:val="10"/>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Arial" w:cs="Arial" w:eastAsia="Arial" w:hAnsi="Arial"/>
                <w:sz w:val="14"/>
                <w:szCs w:val="14"/>
                <w:color w:val="auto"/>
              </w:rPr>
              <w:t>101.LAB</w:t>
            </w:r>
          </w:p>
        </w:tc>
        <w:tc>
          <w:tcPr>
            <w:tcW w:w="4380" w:type="dxa"/>
            <w:vAlign w:val="bottom"/>
            <w:gridSpan w:val="10"/>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4"/>
        </w:trPr>
        <w:tc>
          <w:tcPr>
            <w:tcW w:w="1260" w:type="dxa"/>
            <w:vAlign w:val="bottom"/>
            <w:gridSpan w:val="3"/>
          </w:tcPr>
          <w:p>
            <w:pPr>
              <w:spacing w:after="0"/>
              <w:rPr>
                <w:sz w:val="20"/>
                <w:szCs w:val="20"/>
                <w:color w:val="auto"/>
              </w:rPr>
            </w:pPr>
            <w:r>
              <w:rPr>
                <w:rFonts w:ascii="Arial" w:cs="Arial" w:eastAsia="Arial" w:hAnsi="Arial"/>
                <w:sz w:val="14"/>
                <w:szCs w:val="14"/>
                <w:color w:val="auto"/>
              </w:rPr>
              <w:t>101.PRE</w:t>
            </w:r>
          </w:p>
        </w:tc>
        <w:tc>
          <w:tcPr>
            <w:tcW w:w="4380" w:type="dxa"/>
            <w:vAlign w:val="bottom"/>
            <w:gridSpan w:val="10"/>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ind w:left="1260" w:right="6200" w:hanging="1252"/>
        <w:spacing w:after="0" w:line="237" w:lineRule="auto"/>
        <w:tabs>
          <w:tab w:leader="none" w:pos="1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Cover Page Interactive Data File (embedded within the Inline XBRL document).</w:t>
      </w:r>
    </w:p>
    <w:p>
      <w:pPr>
        <w:spacing w:after="0" w:line="143" w:lineRule="exact"/>
        <w:rPr>
          <w:sz w:val="20"/>
          <w:szCs w:val="20"/>
          <w:color w:val="auto"/>
        </w:rPr>
      </w:pPr>
    </w:p>
    <w:p>
      <w:pPr>
        <w:ind w:left="1260" w:right="40" w:hanging="1252"/>
        <w:spacing w:after="0" w:line="253" w:lineRule="auto"/>
        <w:tabs>
          <w:tab w:leader="none" w:pos="1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Red Violet, Inc.</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7, 2019</w:t>
      </w:r>
    </w:p>
    <w:p>
      <w:pPr>
        <w:spacing w:after="0" w:line="23" w:lineRule="exact"/>
        <w:rPr>
          <w:sz w:val="20"/>
          <w:szCs w:val="20"/>
          <w:color w:val="auto"/>
        </w:rPr>
      </w:pPr>
    </w:p>
    <w:p>
      <w:pPr>
        <w:ind w:left="68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-130810</wp:posOffset>
            </wp:positionV>
            <wp:extent cx="26073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121"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Dubner, certify that:</w:t>
      </w:r>
    </w:p>
    <w:p>
      <w:pPr>
        <w:spacing w:after="0" w:line="225"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040" w:right="100" w:hanging="519"/>
        <w:spacing w:after="0" w:line="291"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6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November 7, 2019</w:t>
            </w:r>
          </w:p>
        </w:tc>
        <w:tc>
          <w:tcPr>
            <w:tcW w:w="7620" w:type="dxa"/>
            <w:vAlign w:val="bottom"/>
            <w:gridSpan w:val="2"/>
          </w:tcPr>
          <w:p>
            <w:pPr>
              <w:ind w:left="2460"/>
              <w:spacing w:after="0"/>
              <w:rPr>
                <w:sz w:val="20"/>
                <w:szCs w:val="20"/>
                <w:color w:val="auto"/>
              </w:rPr>
            </w:pPr>
            <w:r>
              <w:rPr>
                <w:rFonts w:ascii="Arial" w:cs="Arial" w:eastAsia="Arial" w:hAnsi="Arial"/>
                <w:sz w:val="18"/>
                <w:szCs w:val="18"/>
                <w:color w:val="auto"/>
              </w:rPr>
              <w:t>By:  /s/ Derek Dubner</w:t>
            </w:r>
          </w:p>
        </w:tc>
      </w:tr>
      <w:tr>
        <w:trPr>
          <w:trHeight w:val="195"/>
        </w:trPr>
        <w:tc>
          <w:tcPr>
            <w:tcW w:w="38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r>
      <w:tr>
        <w:trPr>
          <w:trHeight w:val="216"/>
        </w:trPr>
        <w:tc>
          <w:tcPr>
            <w:tcW w:w="38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8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3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MacLachlan, certify that:</w:t>
      </w:r>
    </w:p>
    <w:p>
      <w:pPr>
        <w:spacing w:after="0" w:line="225"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040" w:right="100" w:hanging="519"/>
        <w:spacing w:after="0" w:line="29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60" w:hanging="506"/>
        <w:spacing w:after="0" w:line="264"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November 7, 2019</w:t>
            </w:r>
          </w:p>
        </w:tc>
        <w:tc>
          <w:tcPr>
            <w:tcW w:w="7620" w:type="dxa"/>
            <w:vAlign w:val="bottom"/>
            <w:gridSpan w:val="2"/>
          </w:tcPr>
          <w:p>
            <w:pPr>
              <w:ind w:left="2460"/>
              <w:spacing w:after="0"/>
              <w:rPr>
                <w:sz w:val="20"/>
                <w:szCs w:val="20"/>
                <w:color w:val="auto"/>
              </w:rPr>
            </w:pPr>
            <w:r>
              <w:rPr>
                <w:rFonts w:ascii="Arial" w:cs="Arial" w:eastAsia="Arial" w:hAnsi="Arial"/>
                <w:sz w:val="18"/>
                <w:szCs w:val="18"/>
                <w:color w:val="auto"/>
              </w:rPr>
              <w:t>By:  /s/ Daniel MacLachlan</w:t>
            </w:r>
          </w:p>
        </w:tc>
      </w:tr>
      <w:tr>
        <w:trPr>
          <w:trHeight w:val="195"/>
        </w:trPr>
        <w:tc>
          <w:tcPr>
            <w:tcW w:w="38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MacLachlan</w:t>
            </w:r>
          </w:p>
        </w:tc>
      </w:tr>
      <w:tr>
        <w:trPr>
          <w:trHeight w:val="216"/>
        </w:trPr>
        <w:tc>
          <w:tcPr>
            <w:tcW w:w="38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8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September 30, 2019 (the “Report”), the undersigned hereby certifies pursuant to 18 U.S.C. Section 1350, as adopted pursuant to Section 906 of the Sarbanes-Oxley Act of 2002, to my knowledge and belief, that:</w:t>
      </w:r>
    </w:p>
    <w:p>
      <w:pPr>
        <w:spacing w:after="0" w:line="18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Red Violet, Inc.</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November 7, 2019</w:t>
            </w:r>
          </w:p>
        </w:tc>
        <w:tc>
          <w:tcPr>
            <w:tcW w:w="7320" w:type="dxa"/>
            <w:vAlign w:val="bottom"/>
            <w:gridSpan w:val="2"/>
          </w:tcPr>
          <w:p>
            <w:pPr>
              <w:ind w:left="2720"/>
              <w:spacing w:after="0"/>
              <w:rPr>
                <w:sz w:val="20"/>
                <w:szCs w:val="20"/>
                <w:color w:val="auto"/>
              </w:rPr>
            </w:pPr>
            <w:r>
              <w:rPr>
                <w:rFonts w:ascii="Arial" w:cs="Arial" w:eastAsia="Arial" w:hAnsi="Arial"/>
                <w:sz w:val="18"/>
                <w:szCs w:val="18"/>
                <w:color w:val="auto"/>
              </w:rPr>
              <w:t>By:  /s/ Derek Dubner</w:t>
            </w:r>
          </w:p>
        </w:tc>
      </w:tr>
      <w:tr>
        <w:trPr>
          <w:trHeight w:val="195"/>
        </w:trPr>
        <w:tc>
          <w:tcPr>
            <w:tcW w:w="4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r>
      <w:tr>
        <w:trPr>
          <w:trHeight w:val="216"/>
        </w:trPr>
        <w:tc>
          <w:tcPr>
            <w:tcW w:w="4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ectPr>
          <w:pgSz w:w="11900" w:h="16838" w:orient="portrait"/>
          <w:cols w:equalWidth="0" w:num="1">
            <w:col w:w="11420"/>
          </w:cols>
          <w:pgMar w:left="240" w:top="33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September 30, 2019 (the “Report”), the undersigned hereby certifies pursuant to 18 U.S.C. Section 1350, as adopted pursuant to Section 906 of the Sarbanes-Oxley Act of 2002, to my knowledge and belief, that:</w:t>
      </w:r>
    </w:p>
    <w:p>
      <w:pPr>
        <w:spacing w:after="0" w:line="18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Red Violet, Inc.</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November 7, 2019</w:t>
            </w:r>
          </w:p>
        </w:tc>
        <w:tc>
          <w:tcPr>
            <w:tcW w:w="7320" w:type="dxa"/>
            <w:vAlign w:val="bottom"/>
            <w:gridSpan w:val="2"/>
          </w:tcPr>
          <w:p>
            <w:pPr>
              <w:ind w:left="2720"/>
              <w:spacing w:after="0"/>
              <w:rPr>
                <w:sz w:val="20"/>
                <w:szCs w:val="20"/>
                <w:color w:val="auto"/>
              </w:rPr>
            </w:pPr>
            <w:r>
              <w:rPr>
                <w:rFonts w:ascii="Arial" w:cs="Arial" w:eastAsia="Arial" w:hAnsi="Arial"/>
                <w:sz w:val="18"/>
                <w:szCs w:val="18"/>
                <w:color w:val="auto"/>
              </w:rPr>
              <w:t>By:  /s/ Daniel MacLachlan</w:t>
            </w:r>
          </w:p>
        </w:tc>
      </w:tr>
      <w:tr>
        <w:trPr>
          <w:trHeight w:val="195"/>
        </w:trPr>
        <w:tc>
          <w:tcPr>
            <w:tcW w:w="4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MacLachlan</w:t>
            </w:r>
          </w:p>
        </w:tc>
      </w:tr>
      <w:tr>
        <w:trPr>
          <w:trHeight w:val="216"/>
        </w:trPr>
        <w:tc>
          <w:tcPr>
            <w:tcW w:w="4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0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37" Type="http://schemas.openxmlformats.org/officeDocument/2006/relationships/hyperlink" Target="http://www.sec.gov/Archives/edgar/data/1720116/000119312519107844/d735294ddef14a.htm" TargetMode="External"/><Relationship Id="rId39" Type="http://schemas.openxmlformats.org/officeDocument/2006/relationships/hyperlink" Target="http://www.sec.gov/Archives/edgar/data/1720116/000156459019033243/rdvt-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2019-12-28T02:04:27Z</dcterms:created>
  <dcterms:modified xsi:type="dcterms:W3CDTF">2019-12-28T02:04:27Z</dcterms:modified>
</cp:coreProperties>
</file>