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line="231"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August 11, 2020</w:t>
      </w:r>
    </w:p>
    <w:p>
      <w:pPr>
        <w:spacing w:after="0" w:line="19"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RED VIOLET,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191"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ind w:left="960"/>
              <w:spacing w:after="0"/>
              <w:rPr>
                <w:sz w:val="20"/>
                <w:szCs w:val="20"/>
                <w:color w:val="auto"/>
              </w:rPr>
            </w:pPr>
            <w:r>
              <w:rPr>
                <w:rFonts w:ascii="Arial" w:cs="Arial" w:eastAsia="Arial" w:hAnsi="Arial"/>
                <w:sz w:val="18"/>
                <w:szCs w:val="18"/>
                <w:b w:val="1"/>
                <w:bCs w:val="1"/>
                <w:color w:val="auto"/>
              </w:rPr>
              <w:t>001-38407</w:t>
            </w:r>
          </w:p>
        </w:tc>
        <w:tc>
          <w:tcPr>
            <w:tcW w:w="2480" w:type="dxa"/>
            <w:vAlign w:val="bottom"/>
          </w:tcPr>
          <w:p>
            <w:pPr>
              <w:jc w:val="center"/>
              <w:ind w:left="962"/>
              <w:spacing w:after="0"/>
              <w:rPr>
                <w:sz w:val="20"/>
                <w:szCs w:val="20"/>
                <w:color w:val="auto"/>
              </w:rPr>
            </w:pPr>
            <w:r>
              <w:rPr>
                <w:rFonts w:ascii="Arial" w:cs="Arial" w:eastAsia="Arial" w:hAnsi="Arial"/>
                <w:sz w:val="18"/>
                <w:szCs w:val="18"/>
                <w:b w:val="1"/>
                <w:bCs w:val="1"/>
                <w:color w:val="auto"/>
                <w:w w:val="91"/>
              </w:rPr>
              <w:t>82-2408531</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ind w:left="9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ind w:left="94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 33431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561-757-4000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ind w:left="470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69"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480" w:hanging="472"/>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3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2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42"/>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2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r>
        <w:trPr>
          <w:trHeight w:val="50"/>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bl>
    <w:p>
      <w:pPr>
        <w:spacing w:after="0" w:line="44" w:lineRule="exact"/>
        <w:rPr>
          <w:sz w:val="24"/>
          <w:szCs w:val="24"/>
          <w:color w:val="auto"/>
        </w:rPr>
      </w:pPr>
    </w:p>
    <w:p>
      <w:pPr>
        <w:ind w:right="60"/>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0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807085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August 11, 2020, Red Violet, Inc., a Delaware corporation (the “Company”), issued a press release announcing its financial results for the second quarter ended June 30, 2020 (the “Earnings Release”). A copy of the Earnings Release is furnished herewith as Exhibit 99.1.</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Also on August 11, 2020, following the issuance of the Earnings Release, the Company conducted a conference call to discuss the reported financial results for the second quarter ended June 30, 2020. The Company had issued a press release on August 3, 2020 to announce the scheduling of the conference call. A copy of the transcript of the conference call is furnished herewith as Exhibit 99.2.</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740" w:val="left"/>
        </w:tabs>
        <w:rPr>
          <w:rFonts w:ascii="Arial" w:cs="Arial" w:eastAsia="Arial" w:hAnsi="Arial"/>
          <w:sz w:val="15"/>
          <w:szCs w:val="15"/>
          <w:u w:val="single" w:color="auto"/>
          <w:color w:val="auto"/>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auto"/>
          </w:rPr>
          <w:t>Press Release dated August 11, 2020</w:t>
        </w:r>
      </w:hyperlink>
      <w:r>
        <w:rPr>
          <w:rFonts w:ascii="Arial" w:cs="Arial" w:eastAsia="Arial" w:hAnsi="Arial"/>
          <w:sz w:val="15"/>
          <w:szCs w:val="15"/>
          <w:color w:val="auto"/>
        </w:rPr>
        <w:t>.</w:t>
      </w:r>
    </w:p>
    <w:p>
      <w:pPr>
        <w:spacing w:after="0" w:line="225" w:lineRule="exact"/>
        <w:rPr>
          <w:sz w:val="20"/>
          <w:szCs w:val="20"/>
          <w:color w:val="auto"/>
        </w:rPr>
      </w:pPr>
    </w:p>
    <w:p>
      <w:pPr>
        <w:spacing w:after="0"/>
        <w:tabs>
          <w:tab w:leader="none" w:pos="740" w:val="left"/>
        </w:tabs>
        <w:rPr>
          <w:rFonts w:ascii="Arial" w:cs="Arial" w:eastAsia="Arial" w:hAnsi="Arial"/>
          <w:sz w:val="16"/>
          <w:szCs w:val="16"/>
          <w:u w:val="single" w:color="auto"/>
          <w:color w:val="auto"/>
        </w:rPr>
      </w:pPr>
      <w:r>
        <w:rPr>
          <w:rFonts w:ascii="Arial" w:cs="Arial" w:eastAsia="Arial" w:hAnsi="Arial"/>
          <w:sz w:val="18"/>
          <w:szCs w:val="18"/>
          <w:color w:val="auto"/>
        </w:rPr>
        <w:t>99.2</w:t>
      </w:r>
      <w:r>
        <w:rPr>
          <w:sz w:val="20"/>
          <w:szCs w:val="20"/>
          <w:color w:val="auto"/>
        </w:rPr>
        <w:tab/>
      </w:r>
      <w:hyperlink w:anchor="page13">
        <w:r>
          <w:rPr>
            <w:rFonts w:ascii="Arial" w:cs="Arial" w:eastAsia="Arial" w:hAnsi="Arial"/>
            <w:sz w:val="16"/>
            <w:szCs w:val="16"/>
            <w:u w:val="single" w:color="auto"/>
            <w:color w:val="auto"/>
          </w:rPr>
          <w:t>August 11, 2020 conference call script</w:t>
        </w:r>
      </w:hyperlink>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Red Violet, Inc.</w:t>
      </w:r>
    </w:p>
    <w:p>
      <w:pPr>
        <w:spacing w:after="0" w:line="229" w:lineRule="exact"/>
        <w:rPr>
          <w:sz w:val="20"/>
          <w:szCs w:val="20"/>
          <w:color w:val="auto"/>
        </w:rPr>
      </w:pPr>
    </w:p>
    <w:p>
      <w:pPr>
        <w:spacing w:after="0"/>
        <w:tabs>
          <w:tab w:leader="none" w:pos="5220" w:val="left"/>
          <w:tab w:leader="none" w:pos="5720" w:val="left"/>
        </w:tabs>
        <w:rPr>
          <w:sz w:val="20"/>
          <w:szCs w:val="20"/>
          <w:color w:val="auto"/>
        </w:rPr>
      </w:pPr>
      <w:r>
        <w:rPr>
          <w:rFonts w:ascii="Arial" w:cs="Arial" w:eastAsia="Arial" w:hAnsi="Arial"/>
          <w:sz w:val="18"/>
          <w:szCs w:val="18"/>
          <w:color w:val="auto"/>
        </w:rPr>
        <w:t>Date: August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200"/>
          </w:cols>
          <w:pgMar w:left="320" w:top="337"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red violet Announces Second Quarter 2020 Financial Results</w:t>
      </w:r>
    </w:p>
    <w:p>
      <w:pPr>
        <w:spacing w:after="0" w:line="122" w:lineRule="exact"/>
        <w:rPr>
          <w:sz w:val="20"/>
          <w:szCs w:val="20"/>
          <w:color w:val="auto"/>
        </w:rPr>
      </w:pPr>
    </w:p>
    <w:p>
      <w:pPr>
        <w:jc w:val="center"/>
        <w:spacing w:after="0" w:line="407" w:lineRule="auto"/>
        <w:rPr>
          <w:sz w:val="20"/>
          <w:szCs w:val="20"/>
          <w:color w:val="auto"/>
        </w:rPr>
      </w:pPr>
      <w:r>
        <w:rPr>
          <w:rFonts w:ascii="Arial" w:cs="Arial" w:eastAsia="Arial" w:hAnsi="Arial"/>
          <w:sz w:val="18"/>
          <w:szCs w:val="18"/>
          <w:b w:val="1"/>
          <w:bCs w:val="1"/>
          <w:color w:val="auto"/>
        </w:rPr>
        <w:t>Strong Business Model Demonstrates Resilience By Generating Record $1.8 Million in Positive Cash Flow from Operations Business Experiencing Positive Trends Since April and Continuing Into Third Quarter</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BOCA RATON, Fla. – August 11, 2020 </w:t>
      </w:r>
      <w:r>
        <w:rPr>
          <w:rFonts w:ascii="Arial" w:cs="Arial" w:eastAsia="Arial" w:hAnsi="Arial"/>
          <w:sz w:val="18"/>
          <w:szCs w:val="18"/>
          <w:color w:val="auto"/>
        </w:rPr>
        <w:t>– Red Violet, Inc. (NASDAQ: RDVT), a leading analytics and information solutions provider,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quarter ended June 30, 2020.</w:t>
      </w:r>
    </w:p>
    <w:p>
      <w:pPr>
        <w:spacing w:after="0" w:line="9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“red violet demonstrated the strength of its business model, generating a record $1.8 million in positive cash flow from operations despite the economic challenges of the pandemic during the quarter,” stated Derek Dubner, red violet’s CEO. “Our next-generation technology platform, mission-critical product suite, differentiated data assets, and incredible team delivered sequentially improving financial and business results from the economic trough that occurred early in the second quarter. We continue to experience improving conditions in our business and given the present economic and secular tailwinds that we expect to continue, we believe we are well-positioned for the second half of the year and throughout 2021.”</w:t>
      </w:r>
    </w:p>
    <w:p>
      <w:pPr>
        <w:spacing w:after="0" w:line="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this unprecedented period, we implemented a multi-prong strategy to ensure the long-term success of our business --- helping our customers, ensuring the health and financial well-being of our team members, gaining market share, continuing advancement in technology and products and fortifying our balance sheet. We provided temporary assistance to customers, solidifying relationships and demonstrating our commitment to their success. We did not reduce any personnel as a result of the pandemic; to the contrary, we are selectively adding to the team. Presented with the opportunity to capture market share where organizations are increasingly demanding greater efficiencies and ROI within their workflow to offset the negative impacts of the pandemic, new customer applications in June exceeded pre-pandemic levels, followed by July exceeding June by 8%.”</w:t>
      </w:r>
    </w:p>
    <w:p>
      <w:pPr>
        <w:spacing w:after="0" w:line="9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“Focusing on the operational leverage of our business model, we more than doubled our adjusted EBITDA on less revenue. Our high-margin platform revenue was up 11% over prior year, offsetting the decline in our services revenue by contributing more profitable dollars to the bottom line.”</w:t>
      </w:r>
    </w:p>
    <w:p>
      <w:pPr>
        <w:spacing w:after="0" w:line="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 am extremely proud of the performance of our team and the business during this unique period in time. Given our differentiated technology and data assets, our strong balance sheet, and secular tailwinds including the accelerated transformation to e-commerce and cloud adoption for increased efficiency and scale, we are extremely optimistic about our business long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2020 as compared to the three months ended June 30, 2019:</w:t>
      </w:r>
    </w:p>
    <w:p>
      <w:pPr>
        <w:spacing w:after="0" w:line="360"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revenue decreased 3% to $7.1 million. Platform revenue increased 11% to $6.9 million. Services revenue decreased 82% to $0.2 million.</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narrowed 34% to $2.5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increased 155% to $0.9 million.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decreased 1% to $3.5 million. Gross margin increased to 50% from 49%.</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gross profit increased 7% to $4.5 million. Adjusted gross margin increased to 63% from 58%.</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$1.8 million in cash from operating activities in the second quarter.</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were $13.8 million as of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Recovery and Opportunity</w:t>
      </w:r>
    </w:p>
    <w:p>
      <w:pPr>
        <w:spacing w:after="0" w:line="270" w:lineRule="exact"/>
        <w:rPr>
          <w:sz w:val="20"/>
          <w:szCs w:val="20"/>
          <w:color w:val="auto"/>
        </w:rPr>
      </w:pPr>
    </w:p>
    <w:p>
      <w:pPr>
        <w:jc w:val="both"/>
        <w:ind w:left="380" w:right="280" w:hanging="372"/>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high-margin, platform revenue business demonstrated strong resilience throughout the Covid-impacted period. As a result, on less revenue our adjusted EBITDA more than doubled to $0.9 million and our positive cash flow from operating activities increased $1.7 million compared to prior year.</w:t>
      </w:r>
    </w:p>
    <w:p>
      <w:pPr>
        <w:spacing w:after="0" w:line="75" w:lineRule="exact"/>
        <w:rPr>
          <w:rFonts w:ascii="Arial" w:cs="Arial" w:eastAsia="Arial" w:hAnsi="Arial"/>
          <w:sz w:val="18"/>
          <w:szCs w:val="18"/>
          <w:color w:val="auto"/>
        </w:rPr>
      </w:pPr>
    </w:p>
    <w:p>
      <w:pPr>
        <w:jc w:val="both"/>
        <w:ind w:left="380" w:right="300" w:hanging="372"/>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trends in the quarter have been positive since April, experiencing a 12% increase in monthly revenue for June compared to the April low. June provided our highest monthly new customer applications for the year, surpassing our pre-Covid monthly high, and up 33% compared to April 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380" w:right="6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positive momentum building throughout the second quarter has continued in July with monthly revenue up 9% and new customer applications up 8% over June.</w:t>
      </w:r>
    </w:p>
    <w:p>
      <w:pPr>
        <w:spacing w:after="0" w:line="386" w:lineRule="exact"/>
        <w:rPr>
          <w:rFonts w:ascii="Arial" w:cs="Arial" w:eastAsia="Arial" w:hAnsi="Arial"/>
          <w:sz w:val="18"/>
          <w:szCs w:val="18"/>
          <w:color w:val="auto"/>
        </w:rPr>
      </w:pPr>
    </w:p>
    <w:p>
      <w:pPr>
        <w:ind w:left="380" w:right="180" w:hanging="372"/>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actions, including stay-at-home orders, social distancing policies, and temporary collections moratoria resulted in reduced transactional volumes during the quarter. However, transactional volumes in July returned to pre-Covid levels.</w:t>
      </w:r>
    </w:p>
    <w:p>
      <w:pPr>
        <w:spacing w:after="0" w:line="62" w:lineRule="exact"/>
        <w:rPr>
          <w:rFonts w:ascii="Arial" w:cs="Arial" w:eastAsia="Arial" w:hAnsi="Arial"/>
          <w:sz w:val="18"/>
          <w:szCs w:val="18"/>
          <w:color w:val="auto"/>
        </w:rPr>
      </w:pPr>
    </w:p>
    <w:p>
      <w:pPr>
        <w:ind w:left="380" w:right="40" w:hanging="372"/>
        <w:spacing w:after="0" w:line="25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services revenue, comprised of our ancillary collections market offering, idiVERIFIED™, which is purely transactional and of a lower margin profile, experienced sharp volume declines in April attributed to transitory collections moratoria, forbearance programs and government stimulus. However, this offering showed signs of recovery in the quarter and into July. Given current visibility, customer feedback and the overall economic impact on consumer financial profiles, we believe we will realize pent-up demand in the back half of 2020 with strong tailwinds extending throughout 2021.</w:t>
      </w:r>
    </w:p>
    <w:p>
      <w:pPr>
        <w:spacing w:after="0" w:line="79" w:lineRule="exact"/>
        <w:rPr>
          <w:rFonts w:ascii="Arial" w:cs="Arial" w:eastAsia="Arial" w:hAnsi="Arial"/>
          <w:sz w:val="18"/>
          <w:szCs w:val="18"/>
          <w:color w:val="auto"/>
        </w:rPr>
      </w:pPr>
    </w:p>
    <w:p>
      <w:pPr>
        <w:jc w:val="both"/>
        <w:ind w:left="380" w:right="260" w:hanging="372"/>
        <w:spacing w:after="0" w:line="286"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quarter, we took a proactive customer-centric approach working with those impacted by the pandemic, temporarily granting requests for reductions, or eliminations where applicable, of minimum monthly contractual commitments on a month-to-month basis during the second quarter. The end date of the customers’ agreement was extended by one month for each month of the temporary concession.</w:t>
      </w:r>
    </w:p>
    <w:p>
      <w:pPr>
        <w:spacing w:after="0" w:line="57" w:lineRule="exact"/>
        <w:rPr>
          <w:rFonts w:ascii="Arial" w:cs="Arial" w:eastAsia="Arial" w:hAnsi="Arial"/>
          <w:sz w:val="17"/>
          <w:szCs w:val="17"/>
          <w:color w:val="auto"/>
        </w:rPr>
      </w:pPr>
    </w:p>
    <w:p>
      <w:pPr>
        <w:ind w:left="380" w:right="100" w:hanging="372"/>
        <w:spacing w:after="0" w:line="259"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we provided concessions to a total of 124 customers, representing $130 thousand reduction of minimum committed spend. In May we provided concessions to a total of 123 customers, representing $129 thousand reduction of minimum committed spend. In June we provided concessions to a total of 72 customers, representing $83 thousand reduction of minimum committed spend. In July we provided concessions to a total of 20 customers, representing $42 thousand reduction of minimum committed spend.</w:t>
      </w:r>
    </w:p>
    <w:p>
      <w:pPr>
        <w:spacing w:after="0" w:line="78" w:lineRule="exact"/>
        <w:rPr>
          <w:rFonts w:ascii="Arial" w:cs="Arial" w:eastAsia="Arial" w:hAnsi="Arial"/>
          <w:sz w:val="18"/>
          <w:szCs w:val="18"/>
          <w:color w:val="auto"/>
        </w:rPr>
      </w:pPr>
    </w:p>
    <w:p>
      <w:pPr>
        <w:ind w:left="380" w:right="100" w:hanging="372"/>
        <w:spacing w:after="0" w:line="296"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our business model has proved resilient during this unprecedented time, we are well positioned within the markets we serve and with the solutions we provide to quickly return to our pre-Covid growth levels in the near-term. The pandemic has accelerated the pace of digital transformation for virtually every business, creating a confluence of micro and macro trends that will provide strong momentum for our business for years to come through growth in e-commerce, demand for cloud efficiency and scale, increased reliance on fraud mitigation solutions as greater transactions move online, the necessity of solving for data fragmentation, and the need for enhanced understanding of consumer risk and financial profiles.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income, net, depreciation and amortization, share-based compensation expense, and write-off of long-lived assets and others. We define adjusted gross profit as revenue less cost of revenue (exclusive of depreciation and amortization), and adjusted gross margin as adjusted gross profit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conjunction with this release, red violet will host a conference call and webcast today at 4:30pm ET to discuss its quarterly results and provide a business update. To listen to the call, please dial (877) 665-6635 for domestic callers or (602) 563-8608 for international callers, using the passcode 1264788. To access the live audio webcast, visit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 xml:space="preserve">. Please login at least 15 minutes prior to the start of the call to ensure adequate time for any downloads that may be required. Following the completion of the conference call, a replay will be available for approximately one week by dialing (855) 859-2056 or (404) 537-3406 with the replay passcode 1264788. An archived webcast of the conference call will be available on the Investors section of the red violet website at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red violet</w:t>
      </w:r>
      <w:r>
        <w:rPr>
          <w:rFonts w:ascii="Arial" w:cs="Arial" w:eastAsia="Arial" w:hAnsi="Arial"/>
          <w:sz w:val="15"/>
          <w:szCs w:val="15"/>
          <w:b w:val="1"/>
          <w:bCs w:val="1"/>
          <w:color w:val="auto"/>
        </w:rPr>
        <w:t>®</w:t>
      </w:r>
    </w:p>
    <w:p>
      <w:pPr>
        <w:spacing w:after="0" w:line="1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At red violet, we believe that time is your most valuable asset. Through powerful analytics, we transform data into intelligence, in a fast and efficient manner, so that our clients can spend their time on what matters most - running their organizations with confidence. Through leading-edge, proprietary technology and a massive data repository, our analytics and information solutions harness the power of data fusion, uncovering the relevance of disparate data points and converting them into comprehensive and insightful views of people, businesses, assets and their interrelationships. We empower clients across markets and industries to better execute all aspects of their business, from managing risk, recovering debt, identifying fraud and abuse, and ensuring legislative compliance, to identifying and acquiring customers. At red violet, we are dedicated to making the world a safer place and reducing the cost of doing business. For more information, please visit </w:t>
      </w:r>
      <w:r>
        <w:rPr>
          <w:rFonts w:ascii="Arial" w:cs="Arial" w:eastAsia="Arial" w:hAnsi="Arial"/>
          <w:sz w:val="17"/>
          <w:szCs w:val="17"/>
          <w:u w:val="single" w:color="auto"/>
          <w:color w:val="auto"/>
        </w:rPr>
        <w:t>www.redviolet.com</w:t>
      </w:r>
      <w:r>
        <w:rPr>
          <w:rFonts w:ascii="Arial" w:cs="Arial" w:eastAsia="Arial" w:hAnsi="Arial"/>
          <w:sz w:val="17"/>
          <w:szCs w:val="17"/>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the impact of the Covid-19 pandemic on our current and future results of operations, whether, given the improving conditions in our business and the present economic and secular tailwinds that we expect to continue, we are well-positioned for the second half of the year and throughout 2021, whether, given our differentiated technology and data assets, our strong balance sheet, and secular tailwinds including the accelerated transformation to e-commerce and cloud adoption for increased efficiency and scale, we are extremely optimistic about our business long term, whether, given current visibility, customer feedback and the overall economic impact on consumer financial profiles, we believe we will realize pent-up demand in the back half of 2020 with strong tailwinds extending throughout 2021 for our services revenue, and whether the pandemic has accelerated the pace of digital transformation for virtually every business, creating a confluence of micro and macro trends that will provide strong momentum for our business for years to come through growth in e-commerce, demand for cloud efficiency and scale, increased reliance on fraud mitigation solutions as greater transactions move online, the necessity of solving for data fragmentation, and the need for enhanced understanding of consumer risk and financial profiles.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2019 filed on March 12, 2020, as may be supplemented or amended by the Company's other SEC filings. We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ASSETS:</w:t>
            </w:r>
          </w:p>
        </w:tc>
        <w:tc>
          <w:tcPr>
            <w:tcW w:w="702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Accounts receivable, net of allowance for doubtful accounts of $53 and $40</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as of June 30, 2020 and December 31, 2019,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26,394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52,073</w:t>
            </w:r>
          </w:p>
        </w:tc>
        <w:tc>
          <w:tcPr>
            <w:tcW w:w="2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auto"/>
            </w:tcBorders>
            <w:gridSpan w:val="2"/>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3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Current portion of long-term loan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Long-term loan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Preferred stock—$0.001 par value, 10,000,000 shares authorized, and 0 shares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issued and outstanding, as of June 30, 2020 and December 31, 2019</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60" w:type="dxa"/>
            <w:vAlign w:val="bottom"/>
            <w:gridSpan w:val="3"/>
          </w:tcPr>
          <w:p>
            <w:pPr>
              <w:spacing w:after="0"/>
              <w:rPr>
                <w:sz w:val="20"/>
                <w:szCs w:val="20"/>
                <w:color w:val="auto"/>
              </w:rPr>
            </w:pPr>
            <w:r>
              <w:rPr>
                <w:rFonts w:ascii="Arial" w:cs="Arial" w:eastAsia="Arial" w:hAnsi="Arial"/>
                <w:sz w:val="18"/>
                <w:szCs w:val="18"/>
                <w:color w:val="auto"/>
              </w:rPr>
              <w:t>Common stock—$0.001 par value, 200,000,000 shares authorized, 11,707,829 and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11,657,912 shares issued, 11,604,682 and 11,554,765 shares outstanding, as of</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gridSpan w:val="3"/>
          </w:tcPr>
          <w:p>
            <w:pPr>
              <w:ind w:left="100"/>
              <w:spacing w:after="0"/>
              <w:rPr>
                <w:sz w:val="20"/>
                <w:szCs w:val="20"/>
                <w:color w:val="auto"/>
              </w:rPr>
            </w:pPr>
            <w:r>
              <w:rPr>
                <w:rFonts w:ascii="Arial" w:cs="Arial" w:eastAsia="Arial" w:hAnsi="Arial"/>
                <w:sz w:val="18"/>
                <w:szCs w:val="18"/>
                <w:color w:val="auto"/>
              </w:rPr>
              <w:t>June 30, 2020 and December 31, 2019</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Treasury stock, at cost, 103,147 shares as of June 30, 2020 and December 31, 2019</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(1,255)</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(19,873)</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43,690</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52,073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gridSpan w:val="3"/>
            <w:vMerge w:val="restart"/>
          </w:tcPr>
          <w:p>
            <w:pPr>
              <w:ind w:left="558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5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w:t>
            </w:r>
          </w:p>
        </w:tc>
        <w:tc>
          <w:tcPr>
            <w:tcW w:w="10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FF0FC"/>
            </w:tcBorders>
          </w:tcPr>
          <w:p>
            <w:pPr>
              <w:spacing w:after="0"/>
              <w:rPr>
                <w:sz w:val="19"/>
                <w:szCs w:val="19"/>
                <w:color w:val="auto"/>
              </w:rPr>
            </w:pPr>
          </w:p>
        </w:tc>
      </w:tr>
      <w:tr>
        <w:trPr>
          <w:trHeight w:val="223"/>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18,284</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63"/>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7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100" w:type="dxa"/>
            <w:vAlign w:val="bottom"/>
            <w:tcBorders>
              <w:bottom w:val="single" w:sz="8" w:color="CFF0FC"/>
            </w:tcBorders>
          </w:tcPr>
          <w:p>
            <w:pPr>
              <w:spacing w:after="0"/>
              <w:rPr>
                <w:sz w:val="22"/>
                <w:szCs w:val="22"/>
                <w:color w:val="auto"/>
              </w:rPr>
            </w:pPr>
          </w:p>
        </w:tc>
      </w:tr>
      <w:tr>
        <w:trPr>
          <w:trHeight w:val="21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Loss per share: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56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(0.37)</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32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r>
      <w:tr>
        <w:trPr>
          <w:trHeight w:val="210"/>
        </w:trPr>
        <w:tc>
          <w:tcPr>
            <w:tcW w:w="5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11,617,342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10,298,613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11,600,278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10,283,232</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5660" w:type="dxa"/>
            <w:vAlign w:val="bottom"/>
            <w:gridSpan w:val="2"/>
          </w:tcPr>
          <w:p>
            <w:pPr>
              <w:spacing w:after="0"/>
              <w:rPr>
                <w:sz w:val="20"/>
                <w:szCs w:val="20"/>
                <w:color w:val="auto"/>
              </w:rPr>
            </w:pPr>
            <w:r>
              <w:rPr>
                <w:rFonts w:ascii="Arial" w:cs="Arial" w:eastAsia="Arial" w:hAnsi="Arial"/>
                <w:sz w:val="14"/>
                <w:szCs w:val="14"/>
                <w:color w:val="auto"/>
              </w:rPr>
              <w:t>(1) Share-based compensation expense in each category:</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6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Sales and marketing expenses</w:t>
            </w:r>
          </w:p>
        </w:tc>
        <w:tc>
          <w:tcPr>
            <w:tcW w:w="2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40" w:type="dxa"/>
            <w:vAlign w:val="bottom"/>
            <w:shd w:val="clear" w:color="auto" w:fill="CFF0FC"/>
          </w:tcPr>
          <w:p>
            <w:pPr>
              <w:spacing w:after="0"/>
              <w:rPr>
                <w:sz w:val="14"/>
                <w:szCs w:val="14"/>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94"/>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FF0FC"/>
          </w:tcPr>
          <w:p>
            <w:pPr>
              <w:spacing w:after="0"/>
              <w:rPr>
                <w:sz w:val="14"/>
                <w:szCs w:val="14"/>
                <w:color w:val="auto"/>
              </w:rPr>
            </w:pPr>
          </w:p>
        </w:tc>
      </w:tr>
      <w:tr>
        <w:trPr>
          <w:trHeight w:val="162"/>
        </w:trPr>
        <w:tc>
          <w:tcPr>
            <w:tcW w:w="566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4,254</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3,707</w:t>
            </w:r>
          </w:p>
        </w:tc>
        <w:tc>
          <w:tcPr>
            <w:tcW w:w="100" w:type="dxa"/>
            <w:vAlign w:val="bottom"/>
            <w:tcBorders>
              <w:bottom w:val="single" w:sz="8" w:color="CFF0FC"/>
            </w:tcBorders>
          </w:tcPr>
          <w:p>
            <w:pPr>
              <w:spacing w:after="0"/>
              <w:rPr>
                <w:sz w:val="14"/>
                <w:szCs w:val="14"/>
                <w:color w:val="auto"/>
              </w:rPr>
            </w:pPr>
          </w:p>
        </w:tc>
      </w:tr>
      <w:tr>
        <w:trPr>
          <w:trHeight w:val="156"/>
        </w:trPr>
        <w:tc>
          <w:tcPr>
            <w:tcW w:w="56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2,342</w:t>
            </w:r>
          </w:p>
        </w:tc>
        <w:tc>
          <w:tcPr>
            <w:tcW w:w="1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3,609</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4,563</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3,883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(4,013)</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Write-off of long-lived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bad debts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Noncash lease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(927)</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Capitalized costs included in intangible assets</w:t>
            </w:r>
          </w:p>
        </w:tc>
        <w:tc>
          <w:tcPr>
            <w:tcW w:w="9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(3,088)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(3,149)</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(2,945)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loan</w:t>
            </w: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11,776</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13,782</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INFORMATION</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capitalized in intangible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Right-of-use assets obtained in exchange of operating lease liabilities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Management evaluates the financial performance of our business on a variety of key indicators, including non-GAAP metrics of adjusted EBITDA, adjusted gross profit and adjusted gross margin. Adjusted EBITDA is a financial measure equal to net loss, the most directly comparable financial measure based on GAAP, excluding interest income, net, depreciation and amortization, share-based compensation expense, and write-off of long-lived assets and others, as noted in the tables below. We define adjusted gross profit as revenue less cost of revenue (exclusive of depreciation and amortization), and adjusted gross margin as adjusted gross profit as a percentage of revenue.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Interest income, net</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Write-off of long-lived assets and others</w:t>
            </w: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gross profit, the most directly comparable GAAP financial measure, to adjusted gross profit: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28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7,245</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Cost of revenue (exclusive of 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3,052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3,576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 of intangible assets</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gross profit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4,193</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2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Adjusted gross margin</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adjusted EBITDA,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Adjusted EBITDA, adjusted gross profit and adjusted gross margin are not intended to be performance measures that should be regarded as an alternative to, or more meaningful than, financial measures presented in accordance with GAAP. The way we measure adjusted EBITDA, adjusted gross profit and adjusted gross margin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SUPPLEMENTAL METRICS</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69"/>
        </w:trPr>
        <w:tc>
          <w:tcPr>
            <w:tcW w:w="44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Q3'18</w:t>
            </w:r>
          </w:p>
        </w:tc>
        <w:tc>
          <w:tcPr>
            <w:tcW w:w="1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Q4'18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Q1'19</w:t>
            </w:r>
          </w:p>
        </w:tc>
        <w:tc>
          <w:tcPr>
            <w:tcW w:w="16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Q2'19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Q3'19</w:t>
            </w:r>
          </w:p>
        </w:tc>
        <w:tc>
          <w:tcPr>
            <w:tcW w:w="1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Q4'19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Q1'20</w:t>
            </w:r>
          </w:p>
        </w:tc>
        <w:tc>
          <w:tcPr>
            <w:tcW w:w="140" w:type="dxa"/>
            <w:vAlign w:val="bottom"/>
          </w:tcPr>
          <w:p>
            <w:pPr>
              <w:spacing w:after="0"/>
              <w:rPr>
                <w:sz w:val="14"/>
                <w:szCs w:val="14"/>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Q2'20</w:t>
            </w:r>
          </w:p>
        </w:tc>
      </w:tr>
      <w:tr>
        <w:trPr>
          <w:trHeight w:val="207"/>
        </w:trPr>
        <w:tc>
          <w:tcPr>
            <w:tcW w:w="4460" w:type="dxa"/>
            <w:vAlign w:val="bottom"/>
          </w:tcPr>
          <w:p>
            <w:pPr>
              <w:spacing w:after="0"/>
              <w:rPr>
                <w:sz w:val="20"/>
                <w:szCs w:val="20"/>
                <w:color w:val="auto"/>
              </w:rPr>
            </w:pPr>
            <w:r>
              <w:rPr>
                <w:rFonts w:ascii="Arial" w:cs="Arial" w:eastAsia="Arial" w:hAnsi="Arial"/>
                <w:sz w:val="16"/>
                <w:szCs w:val="16"/>
                <w:b w:val="1"/>
                <w:bCs w:val="1"/>
                <w:color w:val="auto"/>
              </w:rPr>
              <w:t>Customer metrics</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05"/>
        </w:trPr>
        <w:tc>
          <w:tcPr>
            <w:tcW w:w="4460" w:type="dxa"/>
            <w:vAlign w:val="bottom"/>
            <w:shd w:val="clear" w:color="auto" w:fill="CEF0FC"/>
          </w:tcPr>
          <w:p>
            <w:pPr>
              <w:ind w:left="340"/>
              <w:spacing w:after="0" w:line="205" w:lineRule="exact"/>
              <w:rPr>
                <w:sz w:val="20"/>
                <w:szCs w:val="20"/>
                <w:color w:val="auto"/>
              </w:rPr>
            </w:pPr>
            <w:r>
              <w:rPr>
                <w:rFonts w:ascii="Arial" w:cs="Arial" w:eastAsia="Arial" w:hAnsi="Arial"/>
                <w:sz w:val="14"/>
                <w:szCs w:val="14"/>
                <w:color w:val="auto"/>
              </w:rPr>
              <w:t>idiCORE - billable customers</w:t>
            </w:r>
            <w:r>
              <w:rPr>
                <w:rFonts w:ascii="Arial" w:cs="Arial" w:eastAsia="Arial" w:hAnsi="Arial"/>
                <w:sz w:val="23"/>
                <w:szCs w:val="23"/>
                <w:color w:val="auto"/>
                <w:vertAlign w:val="superscript"/>
              </w:rPr>
              <w:t>(1)</w:t>
            </w:r>
          </w:p>
        </w:tc>
        <w:tc>
          <w:tcPr>
            <w:tcW w:w="18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3,438</w:t>
            </w: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3,627</w:t>
            </w:r>
          </w:p>
        </w:tc>
        <w:tc>
          <w:tcPr>
            <w:tcW w:w="2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4,020</w:t>
            </w:r>
          </w:p>
        </w:tc>
        <w:tc>
          <w:tcPr>
            <w:tcW w:w="40" w:type="dxa"/>
            <w:vAlign w:val="bottom"/>
            <w:shd w:val="clear" w:color="auto" w:fill="CEF0FC"/>
          </w:tcPr>
          <w:p>
            <w:pPr>
              <w:spacing w:after="0"/>
              <w:rPr>
                <w:sz w:val="17"/>
                <w:szCs w:val="17"/>
                <w:color w:val="auto"/>
              </w:rPr>
            </w:pPr>
          </w:p>
        </w:tc>
        <w:tc>
          <w:tcPr>
            <w:tcW w:w="160" w:type="dxa"/>
            <w:vAlign w:val="bottom"/>
            <w:shd w:val="clear" w:color="auto" w:fill="CEF0FC"/>
          </w:tcPr>
          <w:p>
            <w:pPr>
              <w:spacing w:after="0"/>
              <w:rPr>
                <w:sz w:val="17"/>
                <w:szCs w:val="17"/>
                <w:color w:val="auto"/>
              </w:rPr>
            </w:pP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4,370</w:t>
            </w:r>
          </w:p>
        </w:tc>
        <w:tc>
          <w:tcPr>
            <w:tcW w:w="20" w:type="dxa"/>
            <w:vAlign w:val="bottom"/>
            <w:shd w:val="clear" w:color="auto" w:fill="CEF0FC"/>
          </w:tcPr>
          <w:p>
            <w:pPr>
              <w:spacing w:after="0"/>
              <w:rPr>
                <w:sz w:val="17"/>
                <w:szCs w:val="17"/>
                <w:color w:val="auto"/>
              </w:rPr>
            </w:pPr>
          </w:p>
        </w:tc>
        <w:tc>
          <w:tcPr>
            <w:tcW w:w="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4,781</w:t>
            </w:r>
          </w:p>
        </w:tc>
        <w:tc>
          <w:tcPr>
            <w:tcW w:w="140" w:type="dxa"/>
            <w:vAlign w:val="bottom"/>
            <w:shd w:val="clear" w:color="auto" w:fill="CEF0FC"/>
          </w:tcPr>
          <w:p>
            <w:pPr>
              <w:spacing w:after="0"/>
              <w:rPr>
                <w:sz w:val="17"/>
                <w:szCs w:val="17"/>
                <w:color w:val="auto"/>
              </w:rPr>
            </w:pP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5,064</w:t>
            </w:r>
          </w:p>
        </w:tc>
        <w:tc>
          <w:tcPr>
            <w:tcW w:w="4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5,326</w:t>
            </w: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5,375</w:t>
            </w: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4"/>
                <w:szCs w:val="14"/>
                <w:color w:val="auto"/>
              </w:rPr>
              <w:t>FOREWARN - users</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7,872</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11,397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15,444</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19,721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23,853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30,577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36,506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40,857</w:t>
            </w:r>
          </w:p>
        </w:tc>
      </w:tr>
      <w:tr>
        <w:trPr>
          <w:trHeight w:val="216"/>
        </w:trPr>
        <w:tc>
          <w:tcPr>
            <w:tcW w:w="446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Revenue metrics</w:t>
            </w:r>
          </w:p>
        </w:tc>
        <w:tc>
          <w:tcPr>
            <w:tcW w:w="18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4"/>
                <w:szCs w:val="14"/>
                <w:color w:val="auto"/>
              </w:rPr>
              <w:t>Contractual revenue %</w:t>
            </w:r>
            <w:r>
              <w:rPr>
                <w:rFonts w:ascii="Arial" w:cs="Arial" w:eastAsia="Arial" w:hAnsi="Arial"/>
                <w:sz w:val="23"/>
                <w:szCs w:val="23"/>
                <w:color w:val="auto"/>
                <w:vertAlign w:val="superscript"/>
              </w:rPr>
              <w:t>(3)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03"/>
        </w:trPr>
        <w:tc>
          <w:tcPr>
            <w:tcW w:w="4460" w:type="dxa"/>
            <w:vAlign w:val="bottom"/>
            <w:shd w:val="clear" w:color="auto" w:fill="CEF0FC"/>
          </w:tcPr>
          <w:p>
            <w:pPr>
              <w:ind w:left="340"/>
              <w:spacing w:after="0" w:line="202" w:lineRule="exact"/>
              <w:rPr>
                <w:sz w:val="20"/>
                <w:szCs w:val="20"/>
                <w:color w:val="auto"/>
              </w:rPr>
            </w:pPr>
            <w:r>
              <w:rPr>
                <w:rFonts w:ascii="Arial" w:cs="Arial" w:eastAsia="Arial" w:hAnsi="Arial"/>
                <w:sz w:val="14"/>
                <w:szCs w:val="14"/>
                <w:color w:val="auto"/>
              </w:rPr>
              <w:t>Net revenue attrition %</w:t>
            </w:r>
            <w:r>
              <w:rPr>
                <w:rFonts w:ascii="Arial" w:cs="Arial" w:eastAsia="Arial" w:hAnsi="Arial"/>
                <w:sz w:val="23"/>
                <w:szCs w:val="23"/>
                <w:color w:val="auto"/>
                <w:vertAlign w:val="superscript"/>
              </w:rPr>
              <w:t>(4)</w:t>
            </w:r>
          </w:p>
        </w:tc>
        <w:tc>
          <w:tcPr>
            <w:tcW w:w="18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EF0FC"/>
          </w:tcPr>
          <w:p>
            <w:pPr>
              <w:spacing w:after="0"/>
              <w:rPr>
                <w:sz w:val="17"/>
                <w:szCs w:val="17"/>
                <w:color w:val="auto"/>
              </w:rPr>
            </w:pPr>
          </w:p>
        </w:tc>
        <w:tc>
          <w:tcPr>
            <w:tcW w:w="66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5%</w:t>
            </w: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5%</w:t>
            </w:r>
          </w:p>
        </w:tc>
        <w:tc>
          <w:tcPr>
            <w:tcW w:w="160" w:type="dxa"/>
            <w:vAlign w:val="bottom"/>
            <w:shd w:val="clear" w:color="auto" w:fill="CEF0FC"/>
          </w:tcPr>
          <w:p>
            <w:pPr>
              <w:spacing w:after="0"/>
              <w:rPr>
                <w:sz w:val="17"/>
                <w:szCs w:val="17"/>
                <w:color w:val="auto"/>
              </w:rPr>
            </w:pPr>
          </w:p>
        </w:tc>
        <w:tc>
          <w:tcPr>
            <w:tcW w:w="640" w:type="dxa"/>
            <w:vAlign w:val="bottom"/>
            <w:gridSpan w:val="2"/>
            <w:shd w:val="clear" w:color="auto" w:fill="CEF0FC"/>
          </w:tcPr>
          <w:p>
            <w:pPr>
              <w:jc w:val="right"/>
              <w:ind w:right="20"/>
              <w:spacing w:after="0"/>
              <w:rPr>
                <w:sz w:val="20"/>
                <w:szCs w:val="20"/>
                <w:color w:val="auto"/>
              </w:rPr>
            </w:pPr>
            <w:r>
              <w:rPr>
                <w:rFonts w:ascii="Arial" w:cs="Arial" w:eastAsia="Arial" w:hAnsi="Arial"/>
                <w:sz w:val="16"/>
                <w:szCs w:val="16"/>
                <w:color w:val="auto"/>
              </w:rPr>
              <w:t>5%</w:t>
            </w:r>
          </w:p>
        </w:tc>
        <w:tc>
          <w:tcPr>
            <w:tcW w:w="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EF0FC"/>
          </w:tcPr>
          <w:p>
            <w:pPr>
              <w:spacing w:after="0"/>
              <w:rPr>
                <w:sz w:val="17"/>
                <w:szCs w:val="17"/>
                <w:color w:val="auto"/>
              </w:rPr>
            </w:pPr>
          </w:p>
        </w:tc>
        <w:tc>
          <w:tcPr>
            <w:tcW w:w="66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6%</w:t>
            </w: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11%</w:t>
            </w: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4"/>
                <w:szCs w:val="14"/>
                <w:color w:val="auto"/>
              </w:rPr>
              <w:t>Revenue from new customers</w:t>
            </w:r>
            <w:r>
              <w:rPr>
                <w:rFonts w:ascii="Arial" w:cs="Arial" w:eastAsia="Arial" w:hAnsi="Arial"/>
                <w:sz w:val="23"/>
                <w:szCs w:val="23"/>
                <w:color w:val="auto"/>
                <w:vertAlign w:val="superscript"/>
              </w:rPr>
              <w:t>(5)</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842</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1,096</w:t>
            </w:r>
          </w:p>
        </w:tc>
        <w:tc>
          <w:tcPr>
            <w:tcW w:w="2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1,285</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1,596</w:t>
            </w:r>
          </w:p>
        </w:tc>
        <w:tc>
          <w:tcPr>
            <w:tcW w:w="2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1,406</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1,018</w:t>
            </w:r>
          </w:p>
        </w:tc>
        <w:tc>
          <w:tcPr>
            <w:tcW w:w="4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1,417</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03"/>
        </w:trPr>
        <w:tc>
          <w:tcPr>
            <w:tcW w:w="4460" w:type="dxa"/>
            <w:vAlign w:val="bottom"/>
            <w:shd w:val="clear" w:color="auto" w:fill="CEF0FC"/>
          </w:tcPr>
          <w:p>
            <w:pPr>
              <w:ind w:left="340"/>
              <w:spacing w:after="0" w:line="202" w:lineRule="exact"/>
              <w:rPr>
                <w:sz w:val="20"/>
                <w:szCs w:val="20"/>
                <w:color w:val="auto"/>
              </w:rPr>
            </w:pPr>
            <w:r>
              <w:rPr>
                <w:rFonts w:ascii="Arial" w:cs="Arial" w:eastAsia="Arial" w:hAnsi="Arial"/>
                <w:sz w:val="14"/>
                <w:szCs w:val="14"/>
                <w:color w:val="auto"/>
              </w:rPr>
              <w:t>Base revenue from existing customers</w:t>
            </w:r>
            <w:r>
              <w:rPr>
                <w:rFonts w:ascii="Arial" w:cs="Arial" w:eastAsia="Arial" w:hAnsi="Arial"/>
                <w:sz w:val="23"/>
                <w:szCs w:val="23"/>
                <w:color w:val="auto"/>
                <w:vertAlign w:val="superscript"/>
              </w:rPr>
              <w:t>(6)</w:t>
            </w:r>
          </w:p>
        </w:tc>
        <w:tc>
          <w:tcPr>
            <w:tcW w:w="32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EF0FC"/>
          </w:tcPr>
          <w:p>
            <w:pPr>
              <w:jc w:val="right"/>
              <w:ind w:right="39"/>
              <w:spacing w:after="0"/>
              <w:rPr>
                <w:sz w:val="20"/>
                <w:szCs w:val="20"/>
                <w:color w:val="auto"/>
              </w:rPr>
            </w:pPr>
            <w:r>
              <w:rPr>
                <w:rFonts w:ascii="Arial" w:cs="Arial" w:eastAsia="Arial" w:hAnsi="Arial"/>
                <w:sz w:val="16"/>
                <w:szCs w:val="16"/>
                <w:color w:val="auto"/>
              </w:rPr>
              <w:t>2,934</w:t>
            </w: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3,127</w:t>
            </w:r>
          </w:p>
        </w:tc>
        <w:tc>
          <w:tcPr>
            <w:tcW w:w="20" w:type="dxa"/>
            <w:vAlign w:val="bottom"/>
            <w:shd w:val="clear" w:color="auto" w:fill="CEF0FC"/>
          </w:tcPr>
          <w:p>
            <w:pPr>
              <w:spacing w:after="0"/>
              <w:rPr>
                <w:sz w:val="17"/>
                <w:szCs w:val="17"/>
                <w:color w:val="auto"/>
              </w:rPr>
            </w:pPr>
          </w:p>
        </w:tc>
        <w:tc>
          <w:tcPr>
            <w:tcW w:w="1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3,593</w:t>
            </w:r>
          </w:p>
        </w:tc>
        <w:tc>
          <w:tcPr>
            <w:tcW w:w="40" w:type="dxa"/>
            <w:vAlign w:val="bottom"/>
            <w:shd w:val="clear" w:color="auto" w:fill="CEF0FC"/>
          </w:tcPr>
          <w:p>
            <w:pPr>
              <w:spacing w:after="0"/>
              <w:rPr>
                <w:sz w:val="17"/>
                <w:szCs w:val="17"/>
                <w:color w:val="auto"/>
              </w:rPr>
            </w:pPr>
          </w:p>
        </w:tc>
        <w:tc>
          <w:tcPr>
            <w:tcW w:w="16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4,480</w:t>
            </w:r>
          </w:p>
        </w:tc>
        <w:tc>
          <w:tcPr>
            <w:tcW w:w="20" w:type="dxa"/>
            <w:vAlign w:val="bottom"/>
            <w:shd w:val="clear" w:color="auto" w:fill="CEF0FC"/>
          </w:tcPr>
          <w:p>
            <w:pPr>
              <w:spacing w:after="0"/>
              <w:rPr>
                <w:sz w:val="17"/>
                <w:szCs w:val="17"/>
                <w:color w:val="auto"/>
              </w:rPr>
            </w:pPr>
          </w:p>
        </w:tc>
        <w:tc>
          <w:tcPr>
            <w:tcW w:w="1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5,578</w:t>
            </w: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6,690</w:t>
            </w:r>
          </w:p>
        </w:tc>
        <w:tc>
          <w:tcPr>
            <w:tcW w:w="40" w:type="dxa"/>
            <w:vAlign w:val="bottom"/>
            <w:shd w:val="clear" w:color="auto" w:fill="CEF0FC"/>
          </w:tcPr>
          <w:p>
            <w:pPr>
              <w:spacing w:after="0"/>
              <w:rPr>
                <w:sz w:val="17"/>
                <w:szCs w:val="17"/>
                <w:color w:val="auto"/>
              </w:rPr>
            </w:pPr>
          </w:p>
        </w:tc>
        <w:tc>
          <w:tcPr>
            <w:tcW w:w="1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6,629</w:t>
            </w:r>
          </w:p>
        </w:tc>
        <w:tc>
          <w:tcPr>
            <w:tcW w:w="60" w:type="dxa"/>
            <w:vAlign w:val="bottom"/>
            <w:shd w:val="clear" w:color="auto" w:fill="CEF0FC"/>
          </w:tcPr>
          <w:p>
            <w:pPr>
              <w:spacing w:after="0"/>
              <w:rPr>
                <w:sz w:val="17"/>
                <w:szCs w:val="17"/>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5,047</w:t>
            </w: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4"/>
                <w:szCs w:val="14"/>
                <w:color w:val="auto"/>
              </w:rPr>
              <w:t>Growth revenue from existing customers</w:t>
            </w:r>
            <w:r>
              <w:rPr>
                <w:rFonts w:ascii="Arial" w:cs="Arial" w:eastAsia="Arial" w:hAnsi="Arial"/>
                <w:sz w:val="23"/>
                <w:szCs w:val="23"/>
                <w:color w:val="auto"/>
                <w:vertAlign w:val="superscript"/>
              </w:rPr>
              <w:t>(7)</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584</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485</w:t>
            </w:r>
          </w:p>
        </w:tc>
        <w:tc>
          <w:tcPr>
            <w:tcW w:w="2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856</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1,169</w:t>
            </w:r>
          </w:p>
        </w:tc>
        <w:tc>
          <w:tcPr>
            <w:tcW w:w="2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1,273</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1,342</w:t>
            </w:r>
          </w:p>
        </w:tc>
        <w:tc>
          <w:tcPr>
            <w:tcW w:w="4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1,254</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216"/>
        </w:trPr>
        <w:tc>
          <w:tcPr>
            <w:tcW w:w="446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Platform financial metrics</w:t>
            </w:r>
          </w:p>
        </w:tc>
        <w:tc>
          <w:tcPr>
            <w:tcW w:w="18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4"/>
                <w:szCs w:val="14"/>
                <w:color w:val="auto"/>
              </w:rPr>
              <w:t>Platform revenue</w:t>
            </w:r>
            <w:r>
              <w:rPr>
                <w:rFonts w:ascii="Arial" w:cs="Arial" w:eastAsia="Arial" w:hAnsi="Arial"/>
                <w:sz w:val="23"/>
                <w:szCs w:val="23"/>
                <w:color w:val="auto"/>
                <w:vertAlign w:val="superscript"/>
              </w:rPr>
              <w:t>(8)</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3,812</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4,112</w:t>
            </w:r>
          </w:p>
        </w:tc>
        <w:tc>
          <w:tcPr>
            <w:tcW w:w="2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4,894</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6,153</w:t>
            </w:r>
          </w:p>
        </w:tc>
        <w:tc>
          <w:tcPr>
            <w:tcW w:w="2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7,085</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7,652</w:t>
            </w:r>
          </w:p>
        </w:tc>
        <w:tc>
          <w:tcPr>
            <w:tcW w:w="4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8,108</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6,857</w:t>
            </w:r>
          </w:p>
        </w:tc>
      </w:tr>
      <w:tr>
        <w:trPr>
          <w:trHeight w:val="391"/>
        </w:trPr>
        <w:tc>
          <w:tcPr>
            <w:tcW w:w="4460" w:type="dxa"/>
            <w:vAlign w:val="bottom"/>
            <w:shd w:val="clear" w:color="auto" w:fill="CEF0FC"/>
          </w:tcPr>
          <w:p>
            <w:pPr>
              <w:ind w:left="340"/>
              <w:spacing w:after="0"/>
              <w:rPr>
                <w:sz w:val="20"/>
                <w:szCs w:val="20"/>
                <w:color w:val="auto"/>
              </w:rPr>
            </w:pPr>
            <w:r>
              <w:rPr>
                <w:rFonts w:ascii="Arial" w:cs="Arial" w:eastAsia="Arial" w:hAnsi="Arial"/>
                <w:sz w:val="16"/>
                <w:szCs w:val="16"/>
                <w:color w:val="auto"/>
                <w:w w:val="96"/>
              </w:rPr>
              <w:t>Cost of revenue (exclusive of depreciation and amortization)</w:t>
            </w:r>
          </w:p>
        </w:tc>
        <w:tc>
          <w:tcPr>
            <w:tcW w:w="32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1,846</w:t>
            </w:r>
          </w:p>
        </w:tc>
        <w:tc>
          <w:tcPr>
            <w:tcW w:w="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1,883</w:t>
            </w:r>
          </w:p>
        </w:tc>
        <w:tc>
          <w:tcPr>
            <w:tcW w:w="20" w:type="dxa"/>
            <w:vAlign w:val="bottom"/>
            <w:shd w:val="clear" w:color="auto" w:fill="CEF0FC"/>
          </w:tcPr>
          <w:p>
            <w:pPr>
              <w:spacing w:after="0"/>
              <w:rPr>
                <w:sz w:val="24"/>
                <w:szCs w:val="24"/>
                <w:color w:val="auto"/>
              </w:rPr>
            </w:pPr>
          </w:p>
        </w:tc>
        <w:tc>
          <w:tcPr>
            <w:tcW w:w="1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2,069</w:t>
            </w:r>
          </w:p>
        </w:tc>
        <w:tc>
          <w:tcPr>
            <w:tcW w:w="40" w:type="dxa"/>
            <w:vAlign w:val="bottom"/>
            <w:shd w:val="clear" w:color="auto" w:fill="CEF0FC"/>
          </w:tcPr>
          <w:p>
            <w:pPr>
              <w:spacing w:after="0"/>
              <w:rPr>
                <w:sz w:val="24"/>
                <w:szCs w:val="24"/>
                <w:color w:val="auto"/>
              </w:rPr>
            </w:pPr>
          </w:p>
        </w:tc>
        <w:tc>
          <w:tcPr>
            <w:tcW w:w="16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2,287</w:t>
            </w:r>
          </w:p>
        </w:tc>
        <w:tc>
          <w:tcPr>
            <w:tcW w:w="20" w:type="dxa"/>
            <w:vAlign w:val="bottom"/>
            <w:shd w:val="clear" w:color="auto" w:fill="CEF0FC"/>
          </w:tcPr>
          <w:p>
            <w:pPr>
              <w:spacing w:after="0"/>
              <w:rPr>
                <w:sz w:val="24"/>
                <w:szCs w:val="24"/>
                <w:color w:val="auto"/>
              </w:rPr>
            </w:pPr>
          </w:p>
        </w:tc>
        <w:tc>
          <w:tcPr>
            <w:tcW w:w="1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2,286</w:t>
            </w: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2,431</w:t>
            </w:r>
          </w:p>
        </w:tc>
        <w:tc>
          <w:tcPr>
            <w:tcW w:w="40" w:type="dxa"/>
            <w:vAlign w:val="bottom"/>
            <w:shd w:val="clear" w:color="auto" w:fill="CEF0FC"/>
          </w:tcPr>
          <w:p>
            <w:pPr>
              <w:spacing w:after="0"/>
              <w:rPr>
                <w:sz w:val="24"/>
                <w:szCs w:val="24"/>
                <w:color w:val="auto"/>
              </w:rPr>
            </w:pPr>
          </w:p>
        </w:tc>
        <w:tc>
          <w:tcPr>
            <w:tcW w:w="1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2,498</w:t>
            </w: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2,427</w:t>
            </w: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Adjusted gross margin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446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Services financial metrics</w:t>
            </w:r>
          </w:p>
        </w:tc>
        <w:tc>
          <w:tcPr>
            <w:tcW w:w="18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4"/>
                <w:szCs w:val="14"/>
                <w:color w:val="auto"/>
              </w:rPr>
              <w:t>Services revenue</w:t>
            </w:r>
            <w:r>
              <w:rPr>
                <w:rFonts w:ascii="Arial" w:cs="Arial" w:eastAsia="Arial" w:hAnsi="Arial"/>
                <w:sz w:val="23"/>
                <w:szCs w:val="23"/>
                <w:color w:val="auto"/>
                <w:vertAlign w:val="superscript"/>
              </w:rPr>
              <w:t>(9)</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548</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595</w:t>
            </w:r>
          </w:p>
        </w:tc>
        <w:tc>
          <w:tcPr>
            <w:tcW w:w="2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839</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1,093</w:t>
            </w:r>
          </w:p>
        </w:tc>
        <w:tc>
          <w:tcPr>
            <w:tcW w:w="20" w:type="dxa"/>
            <w:vAlign w:val="bottom"/>
          </w:tcPr>
          <w:p>
            <w:pPr>
              <w:spacing w:after="0"/>
              <w:rPr>
                <w:sz w:val="17"/>
                <w:szCs w:val="17"/>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1,171</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1,399</w:t>
            </w:r>
          </w:p>
        </w:tc>
        <w:tc>
          <w:tcPr>
            <w:tcW w:w="4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1,191</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91"/>
        </w:trPr>
        <w:tc>
          <w:tcPr>
            <w:tcW w:w="4460" w:type="dxa"/>
            <w:vAlign w:val="bottom"/>
            <w:shd w:val="clear" w:color="auto" w:fill="CEF0FC"/>
          </w:tcPr>
          <w:p>
            <w:pPr>
              <w:ind w:left="340"/>
              <w:spacing w:after="0"/>
              <w:rPr>
                <w:sz w:val="20"/>
                <w:szCs w:val="20"/>
                <w:color w:val="auto"/>
              </w:rPr>
            </w:pPr>
            <w:r>
              <w:rPr>
                <w:rFonts w:ascii="Arial" w:cs="Arial" w:eastAsia="Arial" w:hAnsi="Arial"/>
                <w:sz w:val="16"/>
                <w:szCs w:val="16"/>
                <w:color w:val="auto"/>
                <w:w w:val="96"/>
              </w:rPr>
              <w:t>Cost of revenue (exclusive of depreciation and amortization)</w:t>
            </w:r>
          </w:p>
        </w:tc>
        <w:tc>
          <w:tcPr>
            <w:tcW w:w="32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386</w:t>
            </w:r>
          </w:p>
        </w:tc>
        <w:tc>
          <w:tcPr>
            <w:tcW w:w="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421</w:t>
            </w:r>
          </w:p>
        </w:tc>
        <w:tc>
          <w:tcPr>
            <w:tcW w:w="20" w:type="dxa"/>
            <w:vAlign w:val="bottom"/>
            <w:shd w:val="clear" w:color="auto" w:fill="CEF0FC"/>
          </w:tcPr>
          <w:p>
            <w:pPr>
              <w:spacing w:after="0"/>
              <w:rPr>
                <w:sz w:val="24"/>
                <w:szCs w:val="24"/>
                <w:color w:val="auto"/>
              </w:rPr>
            </w:pPr>
          </w:p>
        </w:tc>
        <w:tc>
          <w:tcPr>
            <w:tcW w:w="1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600</w:t>
            </w:r>
          </w:p>
        </w:tc>
        <w:tc>
          <w:tcPr>
            <w:tcW w:w="40" w:type="dxa"/>
            <w:vAlign w:val="bottom"/>
            <w:shd w:val="clear" w:color="auto" w:fill="CEF0FC"/>
          </w:tcPr>
          <w:p>
            <w:pPr>
              <w:spacing w:after="0"/>
              <w:rPr>
                <w:sz w:val="24"/>
                <w:szCs w:val="24"/>
                <w:color w:val="auto"/>
              </w:rPr>
            </w:pPr>
          </w:p>
        </w:tc>
        <w:tc>
          <w:tcPr>
            <w:tcW w:w="160" w:type="dxa"/>
            <w:vAlign w:val="bottom"/>
            <w:shd w:val="clear" w:color="auto" w:fill="CE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765</w:t>
            </w:r>
          </w:p>
        </w:tc>
        <w:tc>
          <w:tcPr>
            <w:tcW w:w="20" w:type="dxa"/>
            <w:vAlign w:val="bottom"/>
            <w:shd w:val="clear" w:color="auto" w:fill="CEF0FC"/>
          </w:tcPr>
          <w:p>
            <w:pPr>
              <w:spacing w:after="0"/>
              <w:rPr>
                <w:sz w:val="24"/>
                <w:szCs w:val="24"/>
                <w:color w:val="auto"/>
              </w:rPr>
            </w:pPr>
          </w:p>
        </w:tc>
        <w:tc>
          <w:tcPr>
            <w:tcW w:w="1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836</w:t>
            </w:r>
          </w:p>
        </w:tc>
        <w:tc>
          <w:tcPr>
            <w:tcW w:w="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983</w:t>
            </w:r>
          </w:p>
        </w:tc>
        <w:tc>
          <w:tcPr>
            <w:tcW w:w="40" w:type="dxa"/>
            <w:vAlign w:val="bottom"/>
            <w:shd w:val="clear" w:color="auto" w:fill="CEF0FC"/>
          </w:tcPr>
          <w:p>
            <w:pPr>
              <w:spacing w:after="0"/>
              <w:rPr>
                <w:sz w:val="24"/>
                <w:szCs w:val="24"/>
                <w:color w:val="auto"/>
              </w:rPr>
            </w:pPr>
          </w:p>
        </w:tc>
        <w:tc>
          <w:tcPr>
            <w:tcW w:w="16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794</w:t>
            </w:r>
          </w:p>
        </w:tc>
        <w:tc>
          <w:tcPr>
            <w:tcW w:w="60" w:type="dxa"/>
            <w:vAlign w:val="bottom"/>
            <w:shd w:val="clear" w:color="auto" w:fill="CEF0FC"/>
          </w:tcPr>
          <w:p>
            <w:pPr>
              <w:spacing w:after="0"/>
              <w:rPr>
                <w:sz w:val="24"/>
                <w:szCs w:val="24"/>
                <w:color w:val="auto"/>
              </w:rPr>
            </w:pPr>
          </w:p>
        </w:tc>
        <w:tc>
          <w:tcPr>
            <w:tcW w:w="140" w:type="dxa"/>
            <w:vAlign w:val="bottom"/>
            <w:shd w:val="clear" w:color="auto" w:fill="CE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159</w:t>
            </w: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Adjusted gross margin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4460" w:type="dxa"/>
            <w:vAlign w:val="bottom"/>
            <w:shd w:val="clear" w:color="auto" w:fill="CEF0FC"/>
          </w:tcPr>
          <w:p>
            <w:pPr>
              <w:spacing w:after="0"/>
              <w:rPr>
                <w:sz w:val="20"/>
                <w:szCs w:val="20"/>
                <w:color w:val="auto"/>
              </w:rPr>
            </w:pPr>
            <w:r>
              <w:rPr>
                <w:rFonts w:ascii="Arial" w:cs="Arial" w:eastAsia="Arial" w:hAnsi="Arial"/>
                <w:sz w:val="16"/>
                <w:szCs w:val="16"/>
                <w:b w:val="1"/>
                <w:bCs w:val="1"/>
                <w:color w:val="auto"/>
              </w:rPr>
              <w:t>Other metrics</w:t>
            </w:r>
          </w:p>
        </w:tc>
        <w:tc>
          <w:tcPr>
            <w:tcW w:w="18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6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40" w:type="dxa"/>
            <w:vAlign w:val="bottom"/>
            <w:shd w:val="clear" w:color="auto" w:fill="CEF0FC"/>
          </w:tcPr>
          <w:p>
            <w:pPr>
              <w:spacing w:after="0"/>
              <w:rPr>
                <w:sz w:val="18"/>
                <w:szCs w:val="18"/>
                <w:color w:val="auto"/>
              </w:rPr>
            </w:pPr>
          </w:p>
        </w:tc>
        <w:tc>
          <w:tcPr>
            <w:tcW w:w="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spacing w:after="0"/>
              <w:rPr>
                <w:sz w:val="18"/>
                <w:szCs w:val="18"/>
                <w:color w:val="auto"/>
              </w:rPr>
            </w:pPr>
          </w:p>
        </w:tc>
        <w:tc>
          <w:tcPr>
            <w:tcW w:w="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40" w:type="dxa"/>
            <w:vAlign w:val="bottom"/>
            <w:shd w:val="clear" w:color="auto" w:fill="CEF0FC"/>
          </w:tcPr>
          <w:p>
            <w:pPr>
              <w:spacing w:after="0"/>
              <w:rPr>
                <w:sz w:val="18"/>
                <w:szCs w:val="18"/>
                <w:color w:val="auto"/>
              </w:rPr>
            </w:pP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Employees - sales and marketing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3"/>
        </w:trPr>
        <w:tc>
          <w:tcPr>
            <w:tcW w:w="4460" w:type="dxa"/>
            <w:vAlign w:val="bottom"/>
            <w:shd w:val="clear" w:color="auto" w:fill="CEF0FC"/>
          </w:tcPr>
          <w:p>
            <w:pPr>
              <w:ind w:left="340"/>
              <w:spacing w:after="0"/>
              <w:rPr>
                <w:sz w:val="20"/>
                <w:szCs w:val="20"/>
                <w:color w:val="auto"/>
              </w:rPr>
            </w:pPr>
            <w:r>
              <w:rPr>
                <w:rFonts w:ascii="Arial" w:cs="Arial" w:eastAsia="Arial" w:hAnsi="Arial"/>
                <w:sz w:val="16"/>
                <w:szCs w:val="16"/>
                <w:color w:val="auto"/>
              </w:rPr>
              <w:t>Employees - support</w:t>
            </w:r>
          </w:p>
        </w:tc>
        <w:tc>
          <w:tcPr>
            <w:tcW w:w="18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6</w:t>
            </w:r>
          </w:p>
        </w:tc>
        <w:tc>
          <w:tcPr>
            <w:tcW w:w="160" w:type="dxa"/>
            <w:vAlign w:val="bottom"/>
            <w:shd w:val="clear" w:color="auto" w:fill="CEF0FC"/>
          </w:tcPr>
          <w:p>
            <w:pPr>
              <w:spacing w:after="0"/>
              <w:rPr>
                <w:sz w:val="17"/>
                <w:szCs w:val="17"/>
                <w:color w:val="auto"/>
              </w:rPr>
            </w:pP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w:t>
            </w:r>
          </w:p>
        </w:tc>
        <w:tc>
          <w:tcPr>
            <w:tcW w:w="20" w:type="dxa"/>
            <w:vAlign w:val="bottom"/>
            <w:shd w:val="clear" w:color="auto" w:fill="CEF0FC"/>
          </w:tcPr>
          <w:p>
            <w:pPr>
              <w:spacing w:after="0"/>
              <w:rPr>
                <w:sz w:val="17"/>
                <w:szCs w:val="17"/>
                <w:color w:val="auto"/>
              </w:rPr>
            </w:pPr>
          </w:p>
        </w:tc>
        <w:tc>
          <w:tcPr>
            <w:tcW w:w="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EF0FC"/>
          </w:tcPr>
          <w:p>
            <w:pPr>
              <w:spacing w:after="0"/>
              <w:rPr>
                <w:sz w:val="17"/>
                <w:szCs w:val="17"/>
                <w:color w:val="auto"/>
              </w:rPr>
            </w:pP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7</w:t>
            </w:r>
          </w:p>
        </w:tc>
        <w:tc>
          <w:tcPr>
            <w:tcW w:w="4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4460" w:type="dxa"/>
            <w:vAlign w:val="bottom"/>
          </w:tcPr>
          <w:p>
            <w:pPr>
              <w:ind w:left="340"/>
              <w:spacing w:after="0"/>
              <w:rPr>
                <w:sz w:val="20"/>
                <w:szCs w:val="20"/>
                <w:color w:val="auto"/>
              </w:rPr>
            </w:pPr>
            <w:r>
              <w:rPr>
                <w:rFonts w:ascii="Arial" w:cs="Arial" w:eastAsia="Arial" w:hAnsi="Arial"/>
                <w:sz w:val="16"/>
                <w:szCs w:val="16"/>
                <w:color w:val="auto"/>
              </w:rPr>
              <w:t>Employees - infrastructure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4460" w:type="dxa"/>
            <w:vAlign w:val="bottom"/>
            <w:shd w:val="clear" w:color="auto" w:fill="CEF0FC"/>
          </w:tcPr>
          <w:p>
            <w:pPr>
              <w:ind w:left="340"/>
              <w:spacing w:after="0"/>
              <w:rPr>
                <w:sz w:val="20"/>
                <w:szCs w:val="20"/>
                <w:color w:val="auto"/>
              </w:rPr>
            </w:pPr>
            <w:r>
              <w:rPr>
                <w:rFonts w:ascii="Arial" w:cs="Arial" w:eastAsia="Arial" w:hAnsi="Arial"/>
                <w:sz w:val="16"/>
                <w:szCs w:val="16"/>
                <w:color w:val="auto"/>
              </w:rPr>
              <w:t>Employees - engineering</w:t>
            </w:r>
          </w:p>
        </w:tc>
        <w:tc>
          <w:tcPr>
            <w:tcW w:w="18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4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EF0FC"/>
          </w:tcPr>
          <w:p>
            <w:pPr>
              <w:spacing w:after="0"/>
              <w:rPr>
                <w:sz w:val="17"/>
                <w:szCs w:val="17"/>
                <w:color w:val="auto"/>
              </w:rPr>
            </w:pP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EF0FC"/>
          </w:tcPr>
          <w:p>
            <w:pPr>
              <w:spacing w:after="0"/>
              <w:rPr>
                <w:sz w:val="17"/>
                <w:szCs w:val="17"/>
                <w:color w:val="auto"/>
              </w:rPr>
            </w:pPr>
          </w:p>
        </w:tc>
        <w:tc>
          <w:tcPr>
            <w:tcW w:w="4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EF0FC"/>
          </w:tcPr>
          <w:p>
            <w:pPr>
              <w:spacing w:after="0"/>
              <w:rPr>
                <w:sz w:val="17"/>
                <w:szCs w:val="17"/>
                <w:color w:val="auto"/>
              </w:rPr>
            </w:pPr>
          </w:p>
        </w:tc>
        <w:tc>
          <w:tcPr>
            <w:tcW w:w="62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23</w:t>
            </w:r>
          </w:p>
        </w:tc>
        <w:tc>
          <w:tcPr>
            <w:tcW w:w="40" w:type="dxa"/>
            <w:vAlign w:val="bottom"/>
            <w:shd w:val="clear" w:color="auto" w:fill="CEF0FC"/>
          </w:tcPr>
          <w:p>
            <w:pPr>
              <w:spacing w:after="0"/>
              <w:rPr>
                <w:sz w:val="17"/>
                <w:szCs w:val="17"/>
                <w:color w:val="auto"/>
              </w:rPr>
            </w:pPr>
          </w:p>
        </w:tc>
        <w:tc>
          <w:tcPr>
            <w:tcW w:w="20" w:type="dxa"/>
            <w:vAlign w:val="bottom"/>
            <w:shd w:val="clear" w:color="auto" w:fill="CEF0FC"/>
          </w:tcPr>
          <w:p>
            <w:pPr>
              <w:spacing w:after="0"/>
              <w:rPr>
                <w:sz w:val="17"/>
                <w:szCs w:val="17"/>
                <w:color w:val="auto"/>
              </w:rPr>
            </w:pPr>
          </w:p>
        </w:tc>
        <w:tc>
          <w:tcPr>
            <w:tcW w:w="140" w:type="dxa"/>
            <w:vAlign w:val="bottom"/>
            <w:shd w:val="clear" w:color="auto" w:fill="CEF0FC"/>
          </w:tcPr>
          <w:p>
            <w:pPr>
              <w:spacing w:after="0"/>
              <w:rPr>
                <w:sz w:val="17"/>
                <w:szCs w:val="17"/>
                <w:color w:val="auto"/>
              </w:rPr>
            </w:pPr>
          </w:p>
        </w:tc>
        <w:tc>
          <w:tcPr>
            <w:tcW w:w="680" w:type="dxa"/>
            <w:vAlign w:val="bottom"/>
            <w:gridSpan w:val="2"/>
            <w:shd w:val="clear" w:color="auto" w:fill="CEF0FC"/>
          </w:tcPr>
          <w:p>
            <w:pPr>
              <w:jc w:val="right"/>
              <w:ind w:right="60"/>
              <w:spacing w:after="0"/>
              <w:rPr>
                <w:sz w:val="20"/>
                <w:szCs w:val="20"/>
                <w:color w:val="auto"/>
              </w:rPr>
            </w:pPr>
            <w:r>
              <w:rPr>
                <w:rFonts w:ascii="Arial" w:cs="Arial" w:eastAsia="Arial" w:hAnsi="Arial"/>
                <w:sz w:val="16"/>
                <w:szCs w:val="16"/>
                <w:color w:val="auto"/>
              </w:rPr>
              <w:t>26</w:t>
            </w:r>
          </w:p>
        </w:tc>
        <w:tc>
          <w:tcPr>
            <w:tcW w:w="140" w:type="dxa"/>
            <w:vAlign w:val="bottom"/>
            <w:shd w:val="clear" w:color="auto" w:fill="CEF0FC"/>
          </w:tcPr>
          <w:p>
            <w:pPr>
              <w:spacing w:after="0"/>
              <w:rPr>
                <w:sz w:val="17"/>
                <w:szCs w:val="17"/>
                <w:color w:val="auto"/>
              </w:rPr>
            </w:pPr>
          </w:p>
        </w:tc>
        <w:tc>
          <w:tcPr>
            <w:tcW w:w="640" w:type="dxa"/>
            <w:vAlign w:val="bottom"/>
            <w:shd w:val="clear" w:color="auto" w:fill="CEF0FC"/>
          </w:tcPr>
          <w:p>
            <w:pPr>
              <w:jc w:val="right"/>
              <w:spacing w:after="0"/>
              <w:rPr>
                <w:sz w:val="20"/>
                <w:szCs w:val="20"/>
                <w:color w:val="auto"/>
              </w:rPr>
            </w:pPr>
            <w:r>
              <w:rPr>
                <w:rFonts w:ascii="Arial" w:cs="Arial" w:eastAsia="Arial" w:hAnsi="Arial"/>
                <w:sz w:val="16"/>
                <w:szCs w:val="16"/>
                <w:color w:val="auto"/>
              </w:rPr>
              <w:t>27</w:t>
            </w:r>
          </w:p>
        </w:tc>
      </w:tr>
      <w:tr>
        <w:trPr>
          <w:trHeight w:val="206"/>
        </w:trPr>
        <w:tc>
          <w:tcPr>
            <w:tcW w:w="4460" w:type="dxa"/>
            <w:vAlign w:val="bottom"/>
          </w:tcPr>
          <w:p>
            <w:pPr>
              <w:ind w:left="340"/>
              <w:spacing w:after="0"/>
              <w:rPr>
                <w:sz w:val="20"/>
                <w:szCs w:val="20"/>
                <w:color w:val="auto"/>
              </w:rPr>
            </w:pPr>
            <w:r>
              <w:rPr>
                <w:rFonts w:ascii="Arial" w:cs="Arial" w:eastAsia="Arial" w:hAnsi="Arial"/>
                <w:sz w:val="16"/>
                <w:szCs w:val="16"/>
                <w:color w:val="auto"/>
              </w:rPr>
              <w:t>Employees - administration</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198" w:lineRule="exact"/>
        <w:rPr>
          <w:sz w:val="20"/>
          <w:szCs w:val="20"/>
          <w:color w:val="auto"/>
        </w:rPr>
      </w:pPr>
    </w:p>
    <w:p>
      <w:pPr>
        <w:jc w:val="both"/>
        <w:ind w:left="380" w:right="3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billable customer of idiCORE as a single entity that generated revenue in the last month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75"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a user of FOREWARN as a unique person that has a subscription to use the FOREWARN service as of the last day of the period. A unique person can only have one user account.</w:t>
      </w:r>
    </w:p>
    <w:p>
      <w:pPr>
        <w:spacing w:after="0" w:line="62" w:lineRule="exact"/>
        <w:rPr>
          <w:rFonts w:ascii="Arial" w:cs="Arial" w:eastAsia="Arial" w:hAnsi="Arial"/>
          <w:sz w:val="18"/>
          <w:szCs w:val="18"/>
          <w:color w:val="auto"/>
        </w:rPr>
      </w:pPr>
    </w:p>
    <w:p>
      <w:pPr>
        <w:ind w:left="380" w:right="6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62" w:lineRule="exact"/>
        <w:rPr>
          <w:rFonts w:ascii="Arial" w:cs="Arial" w:eastAsia="Arial" w:hAnsi="Arial"/>
          <w:sz w:val="18"/>
          <w:szCs w:val="18"/>
          <w:color w:val="auto"/>
        </w:rPr>
      </w:pPr>
    </w:p>
    <w:p>
      <w:pPr>
        <w:ind w:left="380" w:hanging="372"/>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attrition is defined as the revenue lost as a result of customer attrition, net of reinstated customer revenue, excluding FOREWARN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Net revenue attrition percentage is calculated on a trailing twelve-month basis, the numerator of which is the revenue lost during the period due to attrition, net of reinstated revenue, and the denominator of which is total revenue based on an average of total revenue at the beginning of each month during the period.</w:t>
      </w:r>
    </w:p>
    <w:p>
      <w:pPr>
        <w:spacing w:after="0" w:line="84" w:lineRule="exact"/>
        <w:rPr>
          <w:rFonts w:ascii="Arial" w:cs="Arial" w:eastAsia="Arial" w:hAnsi="Arial"/>
          <w:sz w:val="18"/>
          <w:szCs w:val="18"/>
          <w:color w:val="auto"/>
        </w:rPr>
      </w:pPr>
    </w:p>
    <w:p>
      <w:pPr>
        <w:ind w:left="380" w:right="2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62" w:lineRule="exact"/>
        <w:rPr>
          <w:rFonts w:ascii="Arial" w:cs="Arial" w:eastAsia="Arial" w:hAnsi="Arial"/>
          <w:sz w:val="18"/>
          <w:szCs w:val="18"/>
          <w:color w:val="auto"/>
        </w:rPr>
      </w:pPr>
    </w:p>
    <w:p>
      <w:pPr>
        <w:ind w:left="380" w:right="160" w:hanging="372"/>
        <w:spacing w:after="0" w:line="342"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15" w:lineRule="exact"/>
        <w:rPr>
          <w:rFonts w:ascii="Arial" w:cs="Arial" w:eastAsia="Arial" w:hAnsi="Arial"/>
          <w:sz w:val="16"/>
          <w:szCs w:val="16"/>
          <w:color w:val="auto"/>
        </w:rPr>
      </w:pPr>
    </w:p>
    <w:p>
      <w:pPr>
        <w:ind w:left="380" w:right="300" w:hanging="372"/>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revenue from existing customers represents the total monthly revenue generated from existing customers in a given period in excess of the customers' trailing six-month average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380" w:hanging="372"/>
        <w:spacing w:after="0" w:line="263"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Platform revenue consists of both contractual and transactional revenue generated from our data fusion technology platform, CORE. It includes all revenue generated through our idiCORE and FOREWARN solutions. The cost of revenue, which consists primarily of data acquisition costs, remains relatively fixed irrespective of revenue generation.</w:t>
      </w:r>
    </w:p>
    <w:p>
      <w:pPr>
        <w:spacing w:after="0" w:line="75"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Services revenue consists of transactional revenue generated from our idiVERIFIED service. The cost of revenue, which consists primarily of third-party servicer costs, is variable.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Camilo Ramirez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 Violet,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561-757-4500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ir@redviolet.com</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125"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 Violet, Inc. (NASDAQ: RDVT)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Earnings Results Conference Call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Participants: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Camilo Ramirez, Director of Finance and Investor Relations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Derek Dubner, Chairman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Dan MacLachlan, Chief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Good day ladies and gentlemen, and welcome to red violet’s second quarter 2020 earnings conference call. At this time, all participants are in a listen only mode. Later we will conduct a question and answer session and instructions will follow at that time. If anyone should require operator assistance, please press star then zero on your touch tone telephone.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a reminder this call is being recorded.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would now like to introduce your host for today’s conference Camilo Ramirez, Director of Finance and Investor Relations. Please go ahead.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Camilo Ramirez:</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Good afternoon and welcome. Thank you for joining us today to discuss our second quarter 2020 financial results. With me today is Derek Dubner, our Chairman and Chief Executive Officer, and Dan MacLachlan, our Chief Financial Officer. Our call today will begin with comments from Derek and Dan, followed by a question and answer session.</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During the call, we may present certain non-GAAP financial information relating to adjusted gross profit, adjusted gross margin and adjusted</w:t>
      </w:r>
    </w:p>
    <w:p>
      <w:pPr>
        <w:spacing w:after="0" w:line="2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EBITDA. Reconciliations of these non-GAAP financial measures to their most directly comparable GAAP financial measure are provided in the second quarter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With that, I am pleased to introduce red violet’s Chairman and Chief Executive Officer, Derek Dubner.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 Chairman and CEO</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Thanks Camilo, and good afternoon to those joining us today to discuss our second quarter 2020 results. We hope that you and your loved ones are staying safe and healthy during these challenging times. We are pleased to report a very solid quarter which demonstrated the resilience and operational leverage of our business model through this unprecedented period. I’d like to first provide some detail around the circumstances that we faced as the effects of the pandemic set in and our approach throughout the quarter. Coming off of one of the most robust periods in economic history in the first quarter, pandemic-related events including government stay-at-home orders and social distancing measures caused significant business interruption in the United States starting in the back half of March and bottoming in the second quarter. As would be expected, small- to medium-sized businesses, many of which being customers, were disproportionately impacted early in the crisis. Not surprisingly, as a result of these impacts, in the beginning of the second quarter, which in hindsight turned out to be for us a bottoming out in April, we saw reduced transactional volumes. Many of our customers just did not have the infrastructure or contingency planning to be forced home. Adding to that, in our collections market, for example, government-imposed moratoria on certain collections activity, a collections industry pause to not aggravate the crisis, and certain forbearance programs reduced overall activity.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160"/>
        <w:spacing w:after="0" w:line="263" w:lineRule="auto"/>
        <w:rPr>
          <w:sz w:val="20"/>
          <w:szCs w:val="20"/>
          <w:color w:val="auto"/>
        </w:rPr>
      </w:pPr>
      <w:r>
        <w:rPr>
          <w:rFonts w:ascii="Arial" w:cs="Arial" w:eastAsia="Arial" w:hAnsi="Arial"/>
          <w:sz w:val="18"/>
          <w:szCs w:val="18"/>
          <w:color w:val="auto"/>
        </w:rPr>
        <w:t>When faced with these challenges, we maintained our long-term view and implemented a multi-prong strategy to ensure the success of our business. That strategy consisted of helping our customers, ensuring the health and financial well-being of our team members, gaining market share, continuing advancement in our technology and products and fortifying our balance sheet.</w:t>
      </w:r>
    </w:p>
    <w:p>
      <w:pPr>
        <w:spacing w:after="0" w:line="15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 am pleased to report that due to our next-generation technology platform, mission-critical product suite, differentiated data assets, and incredible team, we delivered sequentially improving financial and business results from the economic trough that occurred early in the second quarter. Moreover, we continue to experience improving conditions in our business, which are continuing here in the third quarter, and given the present economic and secular tailwinds that we expect to continue, we believe we are well-positioned for the second half of the year and throughout 2021.</w:t>
      </w:r>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 want to personally thank our team members for their dedication and hard work. Faced with adversity, they performed at the highest level. Knowing the durability of our business model and that with great challenges come great opportunities, it was vital that we not only protect our employees’ health but also their financial well-being and the strength of the team collectively, so that we are not only intact when conditions improve, but optimally positioned for better times ahead. We took significant pandemic-related precautions at our headquarters, including UV-C lighting in our HVAC systems and daily temperature checks, to ensure a safe return to office of our Florida employees. Our Seattle team is still working remotely. All team members across the organization have performed well without any loss to productivity. We did not reduce any compensation or eliminate any positions as a result of the pandemic and, in fact, are strategically adding to the team to capitalize on opportunities.</w:t>
      </w:r>
    </w:p>
    <w:p>
      <w:pPr>
        <w:spacing w:after="0" w:line="13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customers are also of the most important group of stakeholders in our business. We committed early on to support them through this time, to demonstrate our goodwill and commitment to the viability and success of their businesses and to solidify enduring relationships. This involved temporarily granting requests for reductions, or eliminations where applicable, of minimum monthly contractual commitments on a month-to-month basis during the second quarter. We are pleased to report that concessions we may have granted, both in number of customers and dollar value, have decreased month over month since April. We have heard much positive feedback from appreciative customers about our “partnership approach.”</w:t>
      </w:r>
    </w:p>
    <w:p>
      <w:pPr>
        <w:spacing w:after="0" w:line="13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I previously mentioned, with great challenges come great opportunities. Priding ourselves on our ability to deliver mission-critical solutions with greater efficiency and ROI than the competition due to, among other things, our cloud-native construct, we recognized that organizations would now more than ever need these efficiencies within their workflow to counter the negative impacts to their businesses caused by the pandemic. We identified a cohort of customers who, for one reason or another, expressed resistance in the past to the idea of switching away from competitor products, perhaps just out of the burden of doing so, who were now open to hearing about how we can meet their needs more efficiently. As a result of our efforts, new customer applications in June exceeded pre-pandemic levels and July exceeded June. This metric is a leading indicator of revenue in the next several quarters.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continue to invest in the advancement of our technology and the enhancement of existing products and commercialization of new products. As I have said before, our customer-centric approach always has us engaging with customers to better understand and solve for their complex challenges. By way of example, we recently announced our geospatial search and information retrieval technology within our leading idiCORE investigative platform. This intuitive way to engage with data enables users to explore people, businesses, assets and interrelationships using a map-based specification of a geographic area and filtering searches based on a period of time and/or geographic region. We believe this functionality will give greater intelligence to not only our existing customer base but especially law enforcement, insurance investigators and other investigative industries. We are very excited as these are markets that we have only just begun to scratch the surface.</w:t>
      </w:r>
    </w:p>
    <w:p>
      <w:pPr>
        <w:spacing w:after="0" w:line="13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Additionally, our strategy demands that we protect and fortify our balance sheet. Today, we have as strong of a balance sheet as we ever have. Exhibiting the operational leverage of our business model, we more than doubled our adjusted EBITDA on less revenue, generating a record $1.8 million in positive cash flow from operations. A metric that I am very excited about and that Dan will discuss in detail is that our high-margin platform revenue which makes up the core of our business, was up 11% over prior year notwithstanding the pandemic impacts.</w:t>
      </w:r>
    </w:p>
    <w:p>
      <w:pPr>
        <w:spacing w:after="0" w:line="1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sum, I am very pleased with our continued improved performance throughout the second quarter, including revenue growth, cash flow generation, increasing margins, and new customer applications and transaction volumes increasing over pre-Covid levels, with positive trends that continue here in the third quarter. In July we saw another strong month of revenue growth. At this point, August is tracking to not only be the strongest month-over-month revenue growth in our history, but also a record month for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color w:val="auto"/>
        </w:rPr>
        <w:t>I am even more excited about our positioning given not only the improving economic conditions, but the secular tailwinds that I mentioned that present themselves in the short and long term. The pandemic has accelerated the pace of digital transformation for virtually every business. Businesses of all kinds must transition their businesses online. To do so, these businesses will increasingly demand the efficiency and scale of solutions that are only delivered via the cloud, and not a traditional IT infrastructure. The move to e-commerce will see increasing online transactions requiring the collection of consumer information in disparate ways and in varying forms. This will inevitably lead to even greater data fragmentation – in other words, consumer data that is both structured and unstructured and spread across the enterprise. And with such data fragmentation comes increased need for transforming this data into intelligence, as we say, for purposes including fraud mitigation and consumer modeling. All of these factors, the rapid adoption of e-commerce, demand for cloud efficiency, increased need to identify fraud, the necessity of solving for data fragmentation, and the need for enhanced understanding of consumer risk and financial profiles are creating a confluence of micro and macro trends that we believe will provide strong momentum for our business for years to 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With that, I turn it over to Dan to discuss the financials.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MacLachlan, CFO</w:t>
      </w:r>
    </w:p>
    <w:p>
      <w:pPr>
        <w:spacing w:after="0" w:line="18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Thank you, Derek, and good afternoon. Looking back at our first quarter earnings call and being in the early innings of the pandemic, nearly every business in the U.S. faced headwinds never before experienced. As Derek discussed, we took a number of proactive steps to navigate the uncertainty and position this business for what we hoped would be a strong recovery and, ultimately, to avail ourselves of the multiyear tailwinds for the industries we serve and the solutions we provide. Knowing where we are today, that thesis is taking shape and we believe those operational steps have positioned us well to take advantage of the opportunities in the marketplace. Business trends for the quarter were positive since our April low. We experienced sequential monthly revenue growth April through June, increasing 12% over the period. This trend has continued through the start of the third quarter with another strong month of sequential revenue growth in July and July also experienced our strongest month year-to-date of new customer applications. August is off to a phenomenal start with early indications at this point that August will not only be the strongest month-over-month revenue growth in our history, but also a record month for revenue. With that said, we remain cautiously optimistic as we continue to navigate these unprecedented times. Our business has shown resilience, our team is focused, and we are incredibly confident in our ability to navigate challenges and leverage opportunities.</w:t>
      </w:r>
    </w:p>
    <w:p>
      <w:pPr>
        <w:spacing w:after="0" w:line="1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Before I start with our quarterly results, I want to identify some additional supplemental metrics we included in the earnings press release today. We have included a breakout of revenue by what we call platform revenue and services revenue.</w:t>
      </w:r>
    </w:p>
    <w:p>
      <w:pPr>
        <w:spacing w:after="0" w:line="13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Platform revenue consists of both contractual and transactional revenue generated from our data fusion platform. It includes all revenue generated through idiCORE and FOREWARN. The cost to generate this revenue consists primarily of data acquisition costs which remain relatively fixed irrespective of revenue generation. Which means, every incremental dollar of platform revenue provides nearly 100% incremental contribution margin.</w:t>
      </w:r>
    </w:p>
    <w:p>
      <w:pPr>
        <w:spacing w:after="0" w:line="10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Services revenue consists of transactional revenue generated from our idiVERIFIED service. idiVERIFIED is an ancillary solution we provide to the collections market to complement our collections solutions suite. It provides customers a manual verification of employment that requires third-party servicer costs and thus does not have the same margin profile as our platform revenue. As a result, the cost of revenue is variable, and the contribution margin remains consistent irrespective of revenue generation.</w:t>
      </w:r>
    </w:p>
    <w:p>
      <w:pPr>
        <w:spacing w:after="0" w:line="16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believe these additional metrics will provide greater clarity into the resilience, growth and profitability of our core business. In addition, it will allow for better understanding of the business’s margin profile historically and into the future. Now, let’s get into our second quarter results. For clarity, all the comparisons I will discuss today will be against the second quarter of 2019, unless noted otherwise.</w:t>
      </w:r>
    </w:p>
    <w:p>
      <w:pPr>
        <w:spacing w:after="0" w:line="14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Total revenue was $7.1 million, a 3% decrease over prior year. Platform revenue grew 11% to $6.9 million, which represented 97% of our total revenue. Despite strong pandemic headwinds that resulted in reduced economic activity during the period, we were able to add new customers and maintain a strong base of contractual revenue and transactional volume from our idiCORE and FOREWARN solutions. We were extremely pleased with our platform growth rate given the pandemic. Because our platform revenue provides nearly 100% contribution margin with each incremental dollar, we more than doubled our adjusted EBITDA, increasing 155% to $0.9 million for the quarter, on less total revenue. We felt the most Covid-related impact in our services revenue. Services revenue was $0.2 million for the quarter, an 82% decrease over prior year. Services revenue experienced sharp volume declines in the first half of the quarter, followed by a slower recovery in the second half, a result of temporary government-imposed collections moratoria, forbearance programs and government stimulus. We believe our services revenue will begin to return to normal in the fourth quarter, as temporary government collections moratoria are lifted. We expect to see strong tailwinds for our services revenue throughout 2021 as forbearance programs and government stimulus subside, creating pent-up demand and increased collections activity as a result of deteriorated consumer financial profiles.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5" w:name="page16"/>
    <w:bookmarkEnd w:id="15"/>
    <w:p>
      <w:pPr>
        <w:ind w:right="20"/>
        <w:spacing w:after="0" w:line="268" w:lineRule="auto"/>
        <w:rPr>
          <w:sz w:val="20"/>
          <w:szCs w:val="20"/>
          <w:color w:val="auto"/>
        </w:rPr>
      </w:pPr>
      <w:r>
        <w:rPr>
          <w:rFonts w:ascii="Arial" w:cs="Arial" w:eastAsia="Arial" w:hAnsi="Arial"/>
          <w:sz w:val="17"/>
          <w:szCs w:val="17"/>
          <w:color w:val="auto"/>
        </w:rPr>
        <w:t>Continuing through the details of our P&amp;L, as mentioned, revenue was $7.1 million for the second quarter. Revenue from new customers was $0.9 million, base revenue from existing customers was $5.1 million and growth revenue from existing customers was $1.1 million. Notwithstanding a portion of concession customers, as well as transactional customers who paused volume, both of which are not counted as a billable customer for the quarter, our idiCORE billable customer base grew by 50 during the period to 5,375 as a result of continuing to add new customers during the period. Under normal conditions, we expect to trend between 250-350 additions to our idiCORE billable customer base on a sequential quarter basis. We expect a reversion to these normal levels in the third quarter, with the potential for higher than normal additions from pent-up demand, as existing customers who temporarily paused volume return to our billable base. User adoption of FOREWARN remained strong throughout the period, adding over 4,300 users during the quarter. Our contractual revenue was 79% for the quarter, the highest quarter in our history, a result of strong growth in base revenue from existing customers. We saw our net revenue attrition percentage increase, ending the quarter at 11% compared to 5% in prior year. In revenue dollars, this represents a difference of $180 thousand. Under normal conditions, we would expect net revenue attrition to trend between 5% and 10%. However, as a result of the pandemic related customer concessions we provided during the period and transactional customers who temporarily paused volume, we saw this metric trend a little higher than our historical levels. Because net revenue attrition is calculated on a trailing twelve-month basis, we would expect to see a reversion to normal levels beginning in the first quarter of 2021.</w:t>
      </w:r>
    </w:p>
    <w:p>
      <w:pPr>
        <w:spacing w:after="0" w:line="159"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Moving on from our revenue metrics and down the P&amp;L, our cost of revenue decreased $0.5 million or 15% to $2.6 million. This $0.5 million decrease was a result of a decrease in third-party servicer costs associated with services revenue, partially offset by an increase in data acquisition costs. Adjusted gross profit increased 7% to $4.5 million, producing an adjusted gross margin of 63%, a 5 percentage point increase over second quarter 2019.</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Sales and marketing expenses decreased $0.3 million or 13% to $1.7 million for the quarter. The decrease was due primarily to a decrease in sales commissions resulting from less growth revenue in the quarter. The $1.7 million of sales and marketing expense for the quarter consisted primarily of $1.1 million in employee salaries and benefits and $0.3 million in sales commissions.</w:t>
      </w:r>
    </w:p>
    <w:p>
      <w:pPr>
        <w:spacing w:after="0" w:line="143"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General and administrative expenses decreased $1.1 million or 21% to $4.3 million for the quarter. This decrease was primarily the result of a $1.3 million decrease in share-based compensation expense. The $4.3 million in general and administrative expenses for the quarter consisted primarily of $2.2 million of non-cash share-based compensation, $1.0 million of employee salaries and benefits and $0.5 million in accounting, IT and other professional fees.</w:t>
      </w:r>
    </w:p>
    <w:p>
      <w:pPr>
        <w:spacing w:after="0" w:line="1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and amortization increased $0.3 million or 46% to $1.0 million for the quarter. This increase was primarily the result of the amortization of internally developed software.</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loss narrowed $1.4 million or 34% to $2.5 million for the quarter. This improvement in net loss was primarily the result of a decrease in non-cash share-based compensation expense of $1.3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reported a loss of 22 cents per share for the quarter based on a weighted average share count of 11.6 million shares.</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Moving on to the balance sheet. Cash and cash equivalents were $13.8 million at June 30, 2020, compared to $11.8 million at December 31, 2019. Current assets were $17.3 million compared to $16.0 million and current liabilities were $4.7 million compared to $4.3 million.</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generated $3.0 million in cash from operating activities for the six months ended June 30, 2020, compared to using $1.1 million in cash for operating activities for the same period in 2019.</w:t>
      </w:r>
    </w:p>
    <w:p>
      <w:pPr>
        <w:spacing w:after="0" w:line="13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Internally, we track our operational cash earn versus burn on a monthly basis by calculating adjusted EBITDA and subtracting the cash we use for the development of internal use software and other capital expenses, both found on our statement of cash flows. Based on this earn/burn analysis, we burned $0.7 million in cash for the second quarter 2020, compared to burning $1.1 million for the second quarter 2019.</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used in investing activities was $3.1 million for the six months ended June 30, 2020, mainly the result of $3.1 million used for software developed for internal use.</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closing, I would like to reiterate and emphasize that we are extremely pleased with how well the core business performed during this unprecedented period, both from a revenue perspective and profitability standpoint. While not immune from the Covid-19 crisis, our results validate the strength of our business model and the capabilities of the entire red violet team. We continue to experience positive trends as we recover from the pandemic related impact and I believe we are well positioned to take advantage of the economic and secular tailwinds we are seeing and believe those tailwinds will last for many years to 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With that, our operator will now open the line for Q&amp;A?</w:t>
      </w:r>
    </w:p>
    <w:p>
      <w:pPr>
        <w:spacing w:after="0" w:line="19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As a reminder, to ask a question, you will need to press *1 on your telephone. To withdraw your question, press the # key. Please stand by while</w:t>
      </w:r>
      <w:r>
        <w:rPr>
          <w:rFonts w:ascii="Arial" w:cs="Arial" w:eastAsia="Arial" w:hAnsi="Arial"/>
          <w:sz w:val="18"/>
          <w:szCs w:val="18"/>
          <w:b w:val="1"/>
          <w:bCs w:val="1"/>
          <w:color w:val="auto"/>
        </w:rPr>
        <w:t xml:space="preserve"> </w:t>
      </w:r>
      <w:r>
        <w:rPr>
          <w:rFonts w:ascii="Arial" w:cs="Arial" w:eastAsia="Arial" w:hAnsi="Arial"/>
          <w:sz w:val="18"/>
          <w:szCs w:val="18"/>
          <w:color w:val="auto"/>
        </w:rPr>
        <w:t>we compile the Q&amp;A roster.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Q&amp;A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Our first question comes from the line of Jennifer Wolfertz from Carter Management.</w:t>
      </w:r>
    </w:p>
    <w:p>
      <w:pPr>
        <w:spacing w:after="0" w:line="185"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Jennifer Wolfertz</w:t>
      </w:r>
      <w:r>
        <w:rPr>
          <w:rFonts w:ascii="Arial" w:cs="Arial" w:eastAsia="Arial" w:hAnsi="Arial"/>
          <w:sz w:val="16"/>
          <w:szCs w:val="16"/>
          <w:color w:val="auto"/>
        </w:rPr>
        <w:t>: Thank you, good evening. Although revenue was down a little over the prior year, you guys had a nice gross margin, up 5 percentage</w:t>
      </w:r>
      <w:r>
        <w:rPr>
          <w:rFonts w:ascii="Arial" w:cs="Arial" w:eastAsia="Arial" w:hAnsi="Arial"/>
          <w:sz w:val="16"/>
          <w:szCs w:val="16"/>
          <w:b w:val="1"/>
          <w:bCs w:val="1"/>
          <w:color w:val="auto"/>
        </w:rPr>
        <w:t xml:space="preserve"> </w:t>
      </w:r>
      <w:r>
        <w:rPr>
          <w:rFonts w:ascii="Arial" w:cs="Arial" w:eastAsia="Arial" w:hAnsi="Arial"/>
          <w:sz w:val="16"/>
          <w:szCs w:val="16"/>
          <w:color w:val="auto"/>
        </w:rPr>
        <w:t>points. How should we think about incremental margins going forward? And maybe what does the margin profile look like for the longer term?</w:t>
      </w:r>
    </w:p>
    <w:p>
      <w:pPr>
        <w:spacing w:after="0" w:line="7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Daniel MacLachlan</w:t>
      </w:r>
      <w:r>
        <w:rPr>
          <w:rFonts w:ascii="Arial" w:cs="Arial" w:eastAsia="Arial" w:hAnsi="Arial"/>
          <w:sz w:val="17"/>
          <w:szCs w:val="17"/>
          <w:color w:val="auto"/>
        </w:rPr>
        <w:t>: Yes. Thank you, Jennifer. This is Dan. Thank you for the questions. One of the reasons we added the additional supplemental metrics</w:t>
      </w:r>
      <w:r>
        <w:rPr>
          <w:rFonts w:ascii="Arial" w:cs="Arial" w:eastAsia="Arial" w:hAnsi="Arial"/>
          <w:sz w:val="17"/>
          <w:szCs w:val="17"/>
          <w:b w:val="1"/>
          <w:bCs w:val="1"/>
          <w:color w:val="auto"/>
        </w:rPr>
        <w:t xml:space="preserve"> </w:t>
      </w:r>
      <w:r>
        <w:rPr>
          <w:rFonts w:ascii="Arial" w:cs="Arial" w:eastAsia="Arial" w:hAnsi="Arial"/>
          <w:sz w:val="17"/>
          <w:szCs w:val="17"/>
          <w:color w:val="auto"/>
        </w:rPr>
        <w:t>of platform revenue and service revenue, was to provide a clear picture of the margin profile of the business. Our core business, which is where we have always focused our resources for growth, is our platform revenue, which, as I discussed earlier, is a pure margin business. And, because we were able to grow that business even during the pandemic, you saw healthy margin growth and increased profitability on less total revenue. We expect to continue -- we expect to see continued margin growth as revenue scales over the next several quarters, clipping the 70 percentage point mark for total company adjusted gross margin in the fourth quarter of this year or first quarter of 2021. Looking at the end of 2021, we would expect to see total company adjusted gross margin to trend somewhere around the 80% mark.</w:t>
      </w:r>
    </w:p>
    <w:p>
      <w:pPr>
        <w:spacing w:after="0" w:line="14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Jennifer Wolfertz</w:t>
      </w:r>
      <w:r>
        <w:rPr>
          <w:rFonts w:ascii="Arial" w:cs="Arial" w:eastAsia="Arial" w:hAnsi="Arial"/>
          <w:sz w:val="18"/>
          <w:szCs w:val="18"/>
          <w:color w:val="auto"/>
        </w:rPr>
        <w:t>: Okay. Great, thank you, thanks for the color, and if I could ask one more question. I saw that stock-based comp expense remained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as compared to the first quarter. How should we expect to see that expense trend over time?</w:t>
      </w:r>
    </w:p>
    <w:p>
      <w:pPr>
        <w:spacing w:after="0" w:line="121" w:lineRule="exact"/>
        <w:rPr>
          <w:sz w:val="20"/>
          <w:szCs w:val="20"/>
          <w:color w:val="auto"/>
        </w:rPr>
      </w:pPr>
    </w:p>
    <w:p>
      <w:pPr>
        <w:ind w:right="580"/>
        <w:spacing w:after="0" w:line="312" w:lineRule="auto"/>
        <w:rPr>
          <w:sz w:val="20"/>
          <w:szCs w:val="20"/>
          <w:color w:val="auto"/>
        </w:rPr>
      </w:pPr>
      <w:r>
        <w:rPr>
          <w:rFonts w:ascii="Arial" w:cs="Arial" w:eastAsia="Arial" w:hAnsi="Arial"/>
          <w:sz w:val="17"/>
          <w:szCs w:val="17"/>
          <w:b w:val="1"/>
          <w:bCs w:val="1"/>
          <w:color w:val="auto"/>
        </w:rPr>
        <w:t>Daniel MacLachlan</w:t>
      </w:r>
      <w:r>
        <w:rPr>
          <w:rFonts w:ascii="Arial" w:cs="Arial" w:eastAsia="Arial" w:hAnsi="Arial"/>
          <w:sz w:val="17"/>
          <w:szCs w:val="17"/>
          <w:color w:val="auto"/>
        </w:rPr>
        <w:t>: Sure. Again, this is Dan. I appreciate the question. So look, historically, prior to our ability to generate positive cash flow, we</w:t>
      </w:r>
      <w:r>
        <w:rPr>
          <w:rFonts w:ascii="Arial" w:cs="Arial" w:eastAsia="Arial" w:hAnsi="Arial"/>
          <w:sz w:val="17"/>
          <w:szCs w:val="17"/>
          <w:b w:val="1"/>
          <w:bCs w:val="1"/>
          <w:color w:val="auto"/>
        </w:rPr>
        <w:t xml:space="preserve"> </w:t>
      </w:r>
      <w:r>
        <w:rPr>
          <w:rFonts w:ascii="Arial" w:cs="Arial" w:eastAsia="Arial" w:hAnsi="Arial"/>
          <w:sz w:val="17"/>
          <w:szCs w:val="17"/>
          <w:color w:val="auto"/>
        </w:rPr>
        <w:t>leveraged our equity from a competitive standpoint and as we sought kind of technology talent to bring our platform to market.</w:t>
      </w:r>
    </w:p>
    <w:p>
      <w:pPr>
        <w:spacing w:after="0" w:line="1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Seattle, where our product development team is housed, we're competing against the likes of Microsoft and Amazon for technology personnel. Our infrastructure team, which maintains our platform in the AWS Cloud, are some of the best and brightest I've worked with. And so we've strategically leveraged our long-term equity incentive plan to motivate our teams and align with the goals of dramatically increasing the value of this company. So to date, as it’s worked out well for us, as I'm pleased with the value of the company, and ultimately the shareholders have received relative to that equity investment made into our people.</w:t>
      </w:r>
    </w:p>
    <w:p>
      <w:pPr>
        <w:spacing w:after="0" w:line="16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So, in addition, when we talk about the equity, when we spun off in early 2018, we put some significant milestones in place for the company, and we tied what would be a good portion of equity comp to those milestones as a way to align and retain our team, believing that if we hit those milestones, our market cap would be substantially higher, and the ROI on that equity comp would prove to be very efficient use of investment. So, looking back at that time frame, which was around the second quarter 2018, we probably had a market cap of maybe around $90 million. Today, our market cap is approximately $220 million. So we're very pleased with that ROI.</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 what does that mean going forward from an equity comp perspective? Look, I believe it was the fourth quarter earnings call in 2019 where I provided some guidance in which I said equity comp would trend between $2.3 and $2.5 million per quarter over the next several quarters, and this quarter, we came in on the lower end of that guidance, just above $2.3 million. So I would reiterate that we expect our share-based expense to continue to trend between $2.3 and $2.5 million per quarter over the next several quarters, and what that means from a percentage of revenue over time, you'll see our share-based comp expense significantly decreased as a percentage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Jennifer Wolfertz</w:t>
      </w:r>
      <w:r>
        <w:rPr>
          <w:rFonts w:ascii="Arial" w:cs="Arial" w:eastAsia="Arial" w:hAnsi="Arial"/>
          <w:sz w:val="18"/>
          <w:szCs w:val="18"/>
          <w:color w:val="auto"/>
        </w:rPr>
        <w:t>: Thank you, that makes sense. Thanks a lot.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MacLachlan</w:t>
      </w:r>
      <w:r>
        <w:rPr>
          <w:rFonts w:ascii="Arial" w:cs="Arial" w:eastAsia="Arial" w:hAnsi="Arial"/>
          <w:sz w:val="18"/>
          <w:szCs w:val="18"/>
          <w:color w:val="auto"/>
        </w:rPr>
        <w: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Thank you. Our next question comes from the line of Jeff Parks from Venator Capital Management. Your line is now open.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Parks</w:t>
      </w:r>
      <w:r>
        <w:rPr>
          <w:rFonts w:ascii="Arial" w:cs="Arial" w:eastAsia="Arial" w:hAnsi="Arial"/>
          <w:sz w:val="18"/>
          <w:szCs w:val="18"/>
          <w:color w:val="auto"/>
        </w:rPr>
        <w:t>: So did I hear correctly that you guys said August was the biggest revenue month you've seen in the history of the company?</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Hey Jeff, it’s Derek. Thanks for the question. Yes, you know obviously, we can only report to you what we're seeing through August 11,</w:t>
      </w:r>
      <w:r>
        <w:rPr>
          <w:rFonts w:ascii="Arial" w:cs="Arial" w:eastAsia="Arial" w:hAnsi="Arial"/>
          <w:sz w:val="18"/>
          <w:szCs w:val="18"/>
          <w:b w:val="1"/>
          <w:bCs w:val="1"/>
          <w:color w:val="auto"/>
        </w:rPr>
        <w:t xml:space="preserve"> </w:t>
      </w:r>
      <w:r>
        <w:rPr>
          <w:rFonts w:ascii="Arial" w:cs="Arial" w:eastAsia="Arial" w:hAnsi="Arial"/>
          <w:sz w:val="18"/>
          <w:szCs w:val="18"/>
          <w:color w:val="auto"/>
        </w:rPr>
        <w:t>but given how we're trending, yes, we're seeing the largest month-over-month revenue increase, and if we were to continue to track this progress right here, August will be a record revenue month for us.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Jeffrey Parks</w:t>
      </w:r>
      <w:r>
        <w:rPr>
          <w:rFonts w:ascii="Arial" w:cs="Arial" w:eastAsia="Arial" w:hAnsi="Arial"/>
          <w:sz w:val="17"/>
          <w:szCs w:val="17"/>
          <w:color w:val="auto"/>
        </w:rPr>
        <w:t>: If you continue to pace the way that you're pacing right now in this third quarter, do you think you can surpass Q1 revenues of 2020?</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7" w:name="page18"/>
    <w:bookmarkEnd w:id="17"/>
    <w:p>
      <w:pPr>
        <w:jc w:val="both"/>
        <w:ind w:right="60"/>
        <w:spacing w:after="0" w:line="314" w:lineRule="auto"/>
        <w:rPr>
          <w:sz w:val="20"/>
          <w:szCs w:val="20"/>
          <w:color w:val="auto"/>
        </w:rPr>
      </w:pPr>
      <w:r>
        <w:rPr>
          <w:rFonts w:ascii="Arial" w:cs="Arial" w:eastAsia="Arial" w:hAnsi="Arial"/>
          <w:sz w:val="16"/>
          <w:szCs w:val="16"/>
          <w:b w:val="1"/>
          <w:bCs w:val="1"/>
          <w:color w:val="auto"/>
        </w:rPr>
        <w:t>Daniel MacLachlan</w:t>
      </w:r>
      <w:r>
        <w:rPr>
          <w:rFonts w:ascii="Arial" w:cs="Arial" w:eastAsia="Arial" w:hAnsi="Arial"/>
          <w:sz w:val="16"/>
          <w:szCs w:val="16"/>
          <w:color w:val="auto"/>
        </w:rPr>
        <w:t>: Yes. Jeff -- and this is Dan. So look, Q1 was a record revenue period for us. We hit -- as Derek explained, we talked a little bit about,</w:t>
      </w:r>
      <w:r>
        <w:rPr>
          <w:rFonts w:ascii="Arial" w:cs="Arial" w:eastAsia="Arial" w:hAnsi="Arial"/>
          <w:sz w:val="16"/>
          <w:szCs w:val="16"/>
          <w:b w:val="1"/>
          <w:bCs w:val="1"/>
          <w:color w:val="auto"/>
        </w:rPr>
        <w:t xml:space="preserve"> </w:t>
      </w:r>
      <w:r>
        <w:rPr>
          <w:rFonts w:ascii="Arial" w:cs="Arial" w:eastAsia="Arial" w:hAnsi="Arial"/>
          <w:sz w:val="16"/>
          <w:szCs w:val="16"/>
          <w:color w:val="auto"/>
        </w:rPr>
        <w:t>we had a pretty deep trough in April, but we have sequentially recovered from that period. So I think if we're hitting a revenue mark of about $9.3 million in the third quarter, the business is performing brilliantly. If we come in a little above or a little below that, the business is still doing some great growth.</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So that's what we're shooting for. We're driving the business as quickly as we can from a growth perspective. We're very excited about what we've seen in August, and so we're looking to continue and clip that growth and then continually grow the business on a sequential-quarter basis. So, that's what we're shooting for.</w:t>
      </w:r>
    </w:p>
    <w:p>
      <w:pPr>
        <w:spacing w:after="0" w:line="1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Yes. Just to add -- again, Jeff, it's Derek. We're cautiously optimistic. I think that's the best we can say. These are obviously very strange</w:t>
      </w:r>
      <w:r>
        <w:rPr>
          <w:rFonts w:ascii="Arial" w:cs="Arial" w:eastAsia="Arial" w:hAnsi="Arial"/>
          <w:sz w:val="18"/>
          <w:szCs w:val="18"/>
          <w:b w:val="1"/>
          <w:bCs w:val="1"/>
          <w:color w:val="auto"/>
        </w:rPr>
        <w:t xml:space="preserve"> </w:t>
      </w:r>
      <w:r>
        <w:rPr>
          <w:rFonts w:ascii="Arial" w:cs="Arial" w:eastAsia="Arial" w:hAnsi="Arial"/>
          <w:sz w:val="18"/>
          <w:szCs w:val="18"/>
          <w:color w:val="auto"/>
        </w:rPr>
        <w:t>times we're in very -- as Dan said, we're very pleased with the progress. Obviously, the economics of everything have been sort of tailwinds, and certainly, we all hope for all businesses that, that continues and again, here we are August 11. So if trends continue, yes. I think we're very positive on the third quarter and the type of numbers you're speaking about.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Jeffrey Parks</w:t>
      </w:r>
      <w:r>
        <w:rPr>
          <w:rFonts w:ascii="Arial" w:cs="Arial" w:eastAsia="Arial" w:hAnsi="Arial"/>
          <w:sz w:val="17"/>
          <w:szCs w:val="17"/>
          <w:color w:val="auto"/>
        </w:rPr>
        <w:t>: And was the biggest setback in Q2, just sort of the moratoria on basically going out and individuals being able to perform collections?</w:t>
      </w:r>
    </w:p>
    <w:p>
      <w:pPr>
        <w:spacing w:after="0" w:line="23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Daniel MacLachlan</w:t>
      </w:r>
      <w:r>
        <w:rPr>
          <w:rFonts w:ascii="Arial" w:cs="Arial" w:eastAsia="Arial" w:hAnsi="Arial"/>
          <w:sz w:val="17"/>
          <w:szCs w:val="17"/>
          <w:color w:val="auto"/>
        </w:rPr>
        <w:t>: So yes, that was a good part of it. Understand, there was -- we service a lot of what I would call small and medium-sized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right? And not all those businesses have the technology capability to really transition from a work-from-office to a work-from-home environment in an efficient manner. So, what we see -- saw kind of in the second half of March and then flowing through April, starting the second quarter, was a lot of these small and medium-sized businesses trying to adjust to the new norm, and they came to us, they said, "Look, we're transitioning. We need some help on our minimum commitment." Or if they were transactional customers, they look to pause for a temporary period. So that's why we say when we saw that trough at April low, it was really a result of kind of those pandemic headwinds.</w:t>
      </w:r>
    </w:p>
    <w:p>
      <w:pPr>
        <w:spacing w:after="0" w:line="17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there's a number of kind of moratoria out there from a collections standpoint. That really affected our services revenue. As we've disclosed today, and we're going to continue to provide, we've broken out platform revenue versus services revenue. So from a dollar profitability perspective, we didn't see much impact in the services revenue. It doesn't provide as much incremental contribution margin, but from a top line perspective, that's where our biggest impact was, and that's really a result of the collections moratoria and such. So as those start to subside towards the middle to end of third quarter, leading into fourth quarter, we believe we're going to experience some pent-up demand. And then, really flowing in 2021 with the forbearance, the government stimulus all starting to subside as the consumer financial profile has kind of deteriorated as a result of all these things, we're going to see a much increased transactional volume. So we're excited about some of those tailwinds.</w:t>
      </w:r>
    </w:p>
    <w:p>
      <w:pPr>
        <w:spacing w:after="0" w:line="17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But Jeff, it was important for us on this call to break out platform revenue and services revenue because we wanted to give some real good</w:t>
      </w:r>
      <w:r>
        <w:rPr>
          <w:rFonts w:ascii="Arial" w:cs="Arial" w:eastAsia="Arial" w:hAnsi="Arial"/>
          <w:sz w:val="18"/>
          <w:szCs w:val="18"/>
          <w:b w:val="1"/>
          <w:bCs w:val="1"/>
          <w:color w:val="auto"/>
        </w:rPr>
        <w:t xml:space="preserve"> </w:t>
      </w:r>
      <w:r>
        <w:rPr>
          <w:rFonts w:ascii="Arial" w:cs="Arial" w:eastAsia="Arial" w:hAnsi="Arial"/>
          <w:sz w:val="18"/>
          <w:szCs w:val="18"/>
          <w:color w:val="auto"/>
        </w:rPr>
        <w:t>insight into what is the majority of our business being the platform revenue business, where we were actually up year-over-year. That's the high-margin part of our business. So it was very important that we finally distinguish between those two sectors, if you will, or segments, if you will, maybe not segments from an accounting perspective, but from looking at it, at the business, to give a true picture of how we've rebounded from what is -- yes, obviously, we keep saying unprecedented, that term has been thrown around at every company, but it truly was, and we wanted to give a good picture, some insight into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Parks</w:t>
      </w:r>
      <w:r>
        <w:rPr>
          <w:rFonts w:ascii="Arial" w:cs="Arial" w:eastAsia="Arial" w:hAnsi="Arial"/>
          <w:sz w:val="18"/>
          <w:szCs w:val="18"/>
          <w:color w:val="auto"/>
        </w:rPr>
        <w:t>: So the way that you're pacing, you could beat Q1 of 2020 and then actually accelerate growth into Q4 of 2020 as well?</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Derek Dubner: Yes. I think we absolutely could, and it's just -- the new customer applications, we've really made an effort here to go out and attack the market. As I mentioned, this phase that we're going through, let's hope it's a very quick phase, one that's shorter, not longer, but this phase has really affected how companies, the size of companies that we deal with as prospects and customers, how they look at the market, and as I mentioned several times in my transcript, they are now more than ever looking at how to get efficiencies in their own business because they've got to make up for the negative impacts that they just endured, and so we're very excited by that. June, as we said, new customer applications were above pre-COVID levels. July topped that. August is trending very nicely. I'll just say it that way, and as I mentioned, again, those are all nice indicators, giving us some visibility into revenue moving forward.</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 yes, we feel like we've got some great things going on, notwithstanding this quarter, and look, I'm very hopeful and that we will look back on this on a long chart, on the performance of this company and say this was hopefully a blip.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Parks</w:t>
      </w:r>
      <w:r>
        <w:rPr>
          <w:rFonts w:ascii="Arial" w:cs="Arial" w:eastAsia="Arial" w:hAnsi="Arial"/>
          <w:sz w:val="18"/>
          <w:szCs w:val="18"/>
          <w:color w:val="auto"/>
        </w:rPr>
        <w:t>: Do you feel like it's a blip and basically you're back on your feet and like you're getting back to the sprint right now?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right="80"/>
        <w:spacing w:after="0" w:line="298" w:lineRule="auto"/>
        <w:rPr>
          <w:sz w:val="20"/>
          <w:szCs w:val="20"/>
          <w:color w:val="auto"/>
        </w:rPr>
      </w:pPr>
      <w:r>
        <w:rPr>
          <w:rFonts w:ascii="Arial" w:cs="Arial" w:eastAsia="Arial" w:hAnsi="Arial"/>
          <w:sz w:val="16"/>
          <w:szCs w:val="16"/>
          <w:b w:val="1"/>
          <w:bCs w:val="1"/>
          <w:color w:val="auto"/>
        </w:rPr>
        <w:t>Daniel MacLachlan</w:t>
      </w:r>
      <w:r>
        <w:rPr>
          <w:rFonts w:ascii="Arial" w:cs="Arial" w:eastAsia="Arial" w:hAnsi="Arial"/>
          <w:sz w:val="16"/>
          <w:szCs w:val="16"/>
          <w:color w:val="auto"/>
        </w:rPr>
        <w:t>: Yes. I think -- this is Dan. I think that's a correct statement, and what's really encouraging is where we're seeing the growth coming</w:t>
      </w:r>
      <w:r>
        <w:rPr>
          <w:rFonts w:ascii="Arial" w:cs="Arial" w:eastAsia="Arial" w:hAnsi="Arial"/>
          <w:sz w:val="16"/>
          <w:szCs w:val="16"/>
          <w:b w:val="1"/>
          <w:bCs w:val="1"/>
          <w:color w:val="auto"/>
        </w:rPr>
        <w:t xml:space="preserve"> </w:t>
      </w:r>
      <w:r>
        <w:rPr>
          <w:rFonts w:ascii="Arial" w:cs="Arial" w:eastAsia="Arial" w:hAnsi="Arial"/>
          <w:sz w:val="16"/>
          <w:szCs w:val="16"/>
          <w:color w:val="auto"/>
        </w:rPr>
        <w:t>out of this trough is all in our platform revenue, which if you look at first quarter, the $9.3 million, and you compare it to where our margin profile is today on the platform revenue and how we're trending, if we're back at $9.3 million in the third quarter, our adjusted EBITDA is going to be somewhere between $2.5 million and $3 million for the quarter, which would put us an adjusted EBITDA margin of 25% to 30% on the same revenue dollars. So that's very exciting for us because, again, where we're seeing the business drive is where we put the focus on the platform revenue side.</w:t>
      </w:r>
    </w:p>
    <w:p>
      <w:pPr>
        <w:spacing w:after="0" w:line="15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Jeffrey Parks</w:t>
      </w:r>
      <w:r>
        <w:rPr>
          <w:rFonts w:ascii="Arial" w:cs="Arial" w:eastAsia="Arial" w:hAnsi="Arial"/>
          <w:sz w:val="18"/>
          <w:szCs w:val="18"/>
          <w:color w:val="auto"/>
        </w:rPr>
        <w:t>: And were your competitors working with their clients and like helping them through this as much as you guys were? Like are you seeing</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them migrate to your platform?</w:t>
      </w:r>
    </w:p>
    <w:p>
      <w:pPr>
        <w:spacing w:after="0" w:line="162"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Daniel MacLachlan</w:t>
      </w:r>
      <w:r>
        <w:rPr>
          <w:rFonts w:ascii="Arial" w:cs="Arial" w:eastAsia="Arial" w:hAnsi="Arial"/>
          <w:sz w:val="16"/>
          <w:szCs w:val="16"/>
          <w:color w:val="auto"/>
        </w:rPr>
        <w:t>: So we're definitely seeing competitor customers come over to our platform. We're also seeing the ability to actually engage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those customers. As Derek said before, sometimes when those customers were a little less receptive to change, they've been using a BlackBerry for years and there's no reason to switch to an iPhone or an Android just because it works. Well, when we present them with a platform that we feel is superior and more efficient and give them ROI, hence, the Apple iPhone or the Android, the user interface, the capabilities, they're going to look to potentially switch.</w:t>
      </w:r>
    </w:p>
    <w:p>
      <w:pPr>
        <w:spacing w:after="0" w:line="15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So look, we do a really good job of understanding our customer and their needs and working their use case and the pricing model for a particular customer. We think we do a much better job than the competition. So there are some indications that the competition was working with some of their customers, but in a different way. Whereas we were saying, what do you guys need? Let's help you out during this period, and let's get you back on your feet. Some of the competitors out there were saying, "Yeah, we'll work with you, but you're going to sign a 2-year commitment." Now we feel the reason why they did that was because they don't want to lose them to us. So yeah, I think we did a really good job working with the customers. It's very appreciative. We're getting kind of good feedback within the marketplace, and I think, ultimately, over the next several quarters, you're going to see that pay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Parks</w:t>
      </w:r>
      <w:r>
        <w:rPr>
          <w:rFonts w:ascii="Arial" w:cs="Arial" w:eastAsia="Arial" w:hAnsi="Arial"/>
          <w:sz w:val="18"/>
          <w:szCs w:val="18"/>
          <w:color w:val="auto"/>
        </w:rPr>
        <w:t>: That’s all from me. I appreciate the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Thanks very much. We appreciate the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Our next question comes from the line of Brian Bythrow from Wasatch Advisors, Inc.</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Brian Bythrow</w:t>
      </w:r>
      <w:r>
        <w:rPr>
          <w:rFonts w:ascii="Arial" w:cs="Arial" w:eastAsia="Arial" w:hAnsi="Arial"/>
          <w:sz w:val="18"/>
          <w:szCs w:val="18"/>
          <w:color w:val="auto"/>
        </w:rPr>
        <w:t>: Hi guys, good job, all things considered. So would you -- just looking at July, if the government restrictions had not been in place, what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you estimate revenue would be at? Or what kind of growth rate would you've been able to put up in July?</w:t>
      </w:r>
    </w:p>
    <w:p>
      <w:pPr>
        <w:spacing w:after="0" w:line="162"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Daniel MacLachlan</w:t>
      </w:r>
      <w:r>
        <w:rPr>
          <w:rFonts w:ascii="Arial" w:cs="Arial" w:eastAsia="Arial" w:hAnsi="Arial"/>
          <w:sz w:val="16"/>
          <w:szCs w:val="16"/>
          <w:color w:val="auto"/>
        </w:rPr>
        <w:t>: Look, I mean, we're -- I guess we're going to be a little bit cautious in regard to kind of forward-looking guidance and such, but as</w:t>
      </w:r>
      <w:r>
        <w:rPr>
          <w:rFonts w:ascii="Arial" w:cs="Arial" w:eastAsia="Arial" w:hAnsi="Arial"/>
          <w:sz w:val="16"/>
          <w:szCs w:val="16"/>
          <w:b w:val="1"/>
          <w:bCs w:val="1"/>
          <w:color w:val="auto"/>
        </w:rPr>
        <w:t xml:space="preserve"> </w:t>
      </w:r>
      <w:r>
        <w:rPr>
          <w:rFonts w:ascii="Arial" w:cs="Arial" w:eastAsia="Arial" w:hAnsi="Arial"/>
          <w:sz w:val="16"/>
          <w:szCs w:val="16"/>
          <w:color w:val="auto"/>
        </w:rPr>
        <w:t>we've mentioned, we saw a nice recovery sequentially from a revenue perspective after our April low. Looking April through June, we were able to grow monthly revenue during that period 12%. July, we were up again somewhere between 8% and 9% in monthly revenue, and where we're trending today for August, again, as Derek talked about, our highest monthly growth revenue from month-to-month as well as a record monthly revenue for us, it's somewhere between 25% to 30% growth. So we're really excited how we recovered, and that's with a number of these moratoria and forbearance that still haven't subsided. As those subside, which we think will happen closer to the end of third quarter, really in the fourth quarter, that's when we think we'll see a good snapback within our services revenue and also a good snapback within some of our platform revenue in the collections marketplace.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Bythrow</w:t>
      </w:r>
      <w:r>
        <w:rPr>
          <w:rFonts w:ascii="Arial" w:cs="Arial" w:eastAsia="Arial" w:hAnsi="Arial"/>
          <w:sz w:val="18"/>
          <w:szCs w:val="18"/>
          <w:color w:val="auto"/>
        </w:rPr>
        <w:t>: Okay. I mean is it a good estimate to say maybe 20% of your customers experience some pain from those moratoriums?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Daniel MacLachlan</w:t>
      </w:r>
      <w:r>
        <w:rPr>
          <w:rFonts w:ascii="Arial" w:cs="Arial" w:eastAsia="Arial" w:hAnsi="Arial"/>
          <w:sz w:val="18"/>
          <w:szCs w:val="18"/>
          <w:color w:val="auto"/>
        </w:rPr>
        <w:t>: I think, actually, it's probably a little bit higher than that when you talk about overall. Now a lot of our collections customer, they're</w:t>
      </w:r>
      <w:r>
        <w:rPr>
          <w:rFonts w:ascii="Arial" w:cs="Arial" w:eastAsia="Arial" w:hAnsi="Arial"/>
          <w:sz w:val="18"/>
          <w:szCs w:val="18"/>
          <w:b w:val="1"/>
          <w:bCs w:val="1"/>
          <w:color w:val="auto"/>
        </w:rPr>
        <w:t xml:space="preserve"> </w:t>
      </w:r>
      <w:r>
        <w:rPr>
          <w:rFonts w:ascii="Arial" w:cs="Arial" w:eastAsia="Arial" w:hAnsi="Arial"/>
          <w:sz w:val="18"/>
          <w:szCs w:val="18"/>
          <w:color w:val="auto"/>
        </w:rPr>
        <w:t>diversified to a certain degree, so they may have moratoria on student loan debt and can't collect on that debt, but they may be able to collect on some retail debt and such. So I would say probably 25%, 30% felt some impact from this moratorium that was put down within the collections space and some of the other kind of like retail pauses in inventory as a result of not wanting to look kind of aggressive during this period. So yeah, I would say it's closer to 25%, 30%.</w:t>
      </w:r>
    </w:p>
    <w:p>
      <w:pPr>
        <w:spacing w:after="0" w:line="183"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b w:val="1"/>
          <w:bCs w:val="1"/>
          <w:color w:val="auto"/>
        </w:rPr>
        <w:t>Brian Bythrow</w:t>
      </w:r>
      <w:r>
        <w:rPr>
          <w:rFonts w:ascii="Arial" w:cs="Arial" w:eastAsia="Arial" w:hAnsi="Arial"/>
          <w:sz w:val="17"/>
          <w:szCs w:val="17"/>
          <w:color w:val="auto"/>
        </w:rPr>
        <w:t>: Okay, and you're probably reading the same things I'm reading, but it's -- I mean there's talk, of course, extending unemployment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but in terms of the debt collection forbearances, there really isn't much talk in extending that beyond the third quarter. Is that correct?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line="292" w:lineRule="auto"/>
        <w:rPr>
          <w:sz w:val="20"/>
          <w:szCs w:val="20"/>
          <w:color w:val="auto"/>
        </w:rPr>
      </w:pPr>
      <w:r>
        <w:rPr>
          <w:rFonts w:ascii="Arial" w:cs="Arial" w:eastAsia="Arial" w:hAnsi="Arial"/>
          <w:sz w:val="16"/>
          <w:szCs w:val="16"/>
          <w:b w:val="1"/>
          <w:bCs w:val="1"/>
          <w:color w:val="auto"/>
        </w:rPr>
        <w:t>Daniel MacLachlan</w:t>
      </w:r>
      <w:r>
        <w:rPr>
          <w:rFonts w:ascii="Arial" w:cs="Arial" w:eastAsia="Arial" w:hAnsi="Arial"/>
          <w:sz w:val="16"/>
          <w:szCs w:val="16"/>
          <w:color w:val="auto"/>
        </w:rPr>
        <w:t>: Yes. That's correct, and that's what we're hearing. I mean, look, there's people who, unfortunately, right now, can't make payments on</w:t>
      </w:r>
      <w:r>
        <w:rPr>
          <w:rFonts w:ascii="Arial" w:cs="Arial" w:eastAsia="Arial" w:hAnsi="Arial"/>
          <w:sz w:val="16"/>
          <w:szCs w:val="16"/>
          <w:b w:val="1"/>
          <w:bCs w:val="1"/>
          <w:color w:val="auto"/>
        </w:rPr>
        <w:t xml:space="preserve"> </w:t>
      </w:r>
      <w:r>
        <w:rPr>
          <w:rFonts w:ascii="Arial" w:cs="Arial" w:eastAsia="Arial" w:hAnsi="Arial"/>
          <w:sz w:val="16"/>
          <w:szCs w:val="16"/>
          <w:color w:val="auto"/>
        </w:rPr>
        <w:t>their mortgages, and they're in forbearance, and ultimately, eventually, that bank is going to need to get paid or figure something out, and that's where we're seeing tailwinds. As the consumer's financial profile deteriorates, that's where we see increased volume within the collection space, and that's a large market we serve. So yes, from kind of like debt collections, we're not seeing much extension outside of kind of the end of the third quarter, at least at this point, and as some of those forbearance programs, when you think of retail debt within the bank, the Citibanks, JPMorgan and such, the Bank of America and the world, they're eventually going to want to get paid back or figure out how to refinance that loan or do something, and that's where we see an increase in transaction volume. So again, we're very optimistic about the tailwinds that we believe are starting to brew within that space.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Bythrow</w:t>
      </w:r>
      <w:r>
        <w:rPr>
          <w:rFonts w:ascii="Arial" w:cs="Arial" w:eastAsia="Arial" w:hAnsi="Arial"/>
          <w:sz w:val="18"/>
          <w:szCs w:val="18"/>
          <w:color w:val="auto"/>
        </w:rPr>
        <w:t>: Okay. Did you have any success making inroads into the enterprise markets?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Daniel MacLachlan: Yes, for sure. During this period, one of the great things, and we talked a little bit about this, is some of those medium to larger customers that, for whatever reason, they maybe were on the competitive platform and really just kind of weren't looking to move just because they had a relationship and such, as they saw their business being impacted, they became more receptive to talking to us, and when we have the ability to go head-to-head from a competitive standpoint, because our technology is built cloud-native, we're providing much more efficiency for applications. When we're talking about API, we're talking about batch processing, we're seeing our speed, we're seeing our capabilities of the system just providing much better solutions and scale than the competitors. So we were able to make some inroads within some enterprise-adoption type of solutions with our strategic partners, and also in initial discussions with some large enterprises where we see a good opportunity to land within that enterprise and expand out from an adoption standpoint. Again, because of how well our technology is performing against the competitors, I think we're just going to continue to see those tailwinds and really start to see more lift and revenue generation from a medium- to larger-scale customer than we have in the past.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Bythrow</w:t>
      </w:r>
      <w:r>
        <w:rPr>
          <w:rFonts w:ascii="Arial" w:cs="Arial" w:eastAsia="Arial" w:hAnsi="Arial"/>
          <w:sz w:val="18"/>
          <w:szCs w:val="18"/>
          <w:color w:val="auto"/>
        </w:rPr>
        <w:t>: And as the -- beyond that, has the virus created any other new business opportunities for you?</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Daniel MacLachlan: So look, we are looking at a number of opportunities working with partners in regards to how we can leverage data information, right-party contact, if you will, think of contact-tracing opportunities where people have to figure out how to get in contact with individuals and have the right information as well as other opportunities about how businesses can get back to work, whether it's certain industries like the cruise line industry. How are they going to know who is boarding these cruises and where they've been? And what kind of opportunity they -- can they have to use data, not only their internal data, but our data to potentially work through a clearance type of solution, if you will. So, we're looking at a number of those opportunities, working with some large partners and hopefully making some progress here in the third quarter and may be able to make some announcements as early as fourth quarter about some of those solutions.</w:t>
      </w:r>
    </w:p>
    <w:p>
      <w:pPr>
        <w:spacing w:after="0" w:line="19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Brian Bythrow</w:t>
      </w:r>
      <w:r>
        <w:rPr>
          <w:rFonts w:ascii="Arial" w:cs="Arial" w:eastAsia="Arial" w:hAnsi="Arial"/>
          <w:sz w:val="18"/>
          <w:szCs w:val="18"/>
          <w:color w:val="auto"/>
        </w:rPr>
        <w:t>: Okay, and then just last question. I think you sort of alluded to this, but with your competitors being mainly private, it sounds like you</w:t>
      </w:r>
      <w:r>
        <w:rPr>
          <w:rFonts w:ascii="Arial" w:cs="Arial" w:eastAsia="Arial" w:hAnsi="Arial"/>
          <w:sz w:val="18"/>
          <w:szCs w:val="18"/>
          <w:b w:val="1"/>
          <w:bCs w:val="1"/>
          <w:color w:val="auto"/>
        </w:rPr>
        <w:t xml:space="preserve"> </w:t>
      </w:r>
      <w:r>
        <w:rPr>
          <w:rFonts w:ascii="Arial" w:cs="Arial" w:eastAsia="Arial" w:hAnsi="Arial"/>
          <w:sz w:val="18"/>
          <w:szCs w:val="18"/>
          <w:color w:val="auto"/>
        </w:rPr>
        <w:t>think you maybe picked up some market share during this time period.</w:t>
      </w:r>
    </w:p>
    <w:p>
      <w:pPr>
        <w:spacing w:after="0" w:line="1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Daniel MacLachlan</w:t>
      </w:r>
      <w:r>
        <w:rPr>
          <w:rFonts w:ascii="Arial" w:cs="Arial" w:eastAsia="Arial" w:hAnsi="Arial"/>
          <w:sz w:val="17"/>
          <w:szCs w:val="17"/>
          <w:color w:val="auto"/>
        </w:rPr>
        <w:t>: So what we know is we've definitely onboarded customers and started to initiate conversations with customers that we've identified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past that said, "Look, I'm really happy with my current platform. I'm not really interested right now." So outside of our normal customer additions, we're seeing customers that in the past have been hesitant to just kind of move, they're used to using the system, have been much more receptive, and were getting into product demos, were getting into the head-to-head comparison. So from a new customer application standpoint, as Derek talked about, we're hitting highs, and we know what that means is, it's a leading indicator for what revenue means three, six and nine months down the road. So yes, so we are seeing that. We're gaining market share from a customer onboarding perspective, and we believe, over the next six to 12 months, that will definitely turn into increased market share from a revenue perspective in those customers.</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Yes, Brian, just to sum up. Yes, obviously, we're winning customers from competition. Yes, we're adding new customers, hence,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which is exciting. Just overall, in sum, I guess, what Dan was -- has eloquently said and done a good job explaining is that we're seeing very nice positive business trends in the -- right now, and to the extent that any are negative, such as the collections moratoria and others, as those unwind, that gives us even greater confidence that second half of the year will be even stronger than we expected, hopefully, and 2021, we're very well positioned. So, I think that would just be in a nutshell, the sum.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Bythrow</w:t>
      </w:r>
      <w:r>
        <w:rPr>
          <w:rFonts w:ascii="Arial" w:cs="Arial" w:eastAsia="Arial" w:hAnsi="Arial"/>
          <w:sz w:val="18"/>
          <w:szCs w:val="18"/>
          <w:color w:val="auto"/>
        </w:rPr>
        <w:t>: Great. Okay, great job, thanks guys.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Thanks Brian.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MacLachlan</w:t>
      </w:r>
      <w:r>
        <w:rPr>
          <w:rFonts w:ascii="Arial" w:cs="Arial" w:eastAsia="Arial" w:hAnsi="Arial"/>
          <w:sz w:val="18"/>
          <w:szCs w:val="18"/>
          <w:color w:val="auto"/>
        </w:rPr>
        <w:t>: Thanks Brian.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At this time, I'm showing no further questions. I would like to turn the call back over to Derek Dubner for closing remarks.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line="282" w:lineRule="auto"/>
        <w:rPr>
          <w:sz w:val="20"/>
          <w:szCs w:val="20"/>
          <w:color w:val="auto"/>
        </w:rPr>
      </w:pPr>
      <w:r>
        <w:rPr>
          <w:rFonts w:ascii="Arial" w:cs="Arial" w:eastAsia="Arial" w:hAnsi="Arial"/>
          <w:sz w:val="18"/>
          <w:szCs w:val="18"/>
          <w:b w:val="1"/>
          <w:bCs w:val="1"/>
          <w:color w:val="auto"/>
        </w:rPr>
        <w:t>Derek Dubner</w:t>
      </w:r>
      <w:r>
        <w:rPr>
          <w:rFonts w:ascii="Arial" w:cs="Arial" w:eastAsia="Arial" w:hAnsi="Arial"/>
          <w:sz w:val="18"/>
          <w:szCs w:val="18"/>
          <w:color w:val="auto"/>
        </w:rPr>
        <w:t>: Thank you very much. We look forward to updating you on our progress on our next quarterly call. Thank you for joining us today,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a nice evening. Bye-bye.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r>
        <w:rPr>
          <w:rFonts w:ascii="Arial" w:cs="Arial" w:eastAsia="Arial" w:hAnsi="Arial"/>
          <w:sz w:val="18"/>
          <w:szCs w:val="18"/>
          <w:color w:val="auto"/>
        </w:rPr>
        <w:t>: Ladies and gentlemen, this concludes today's conference call. Thanks for participating. 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sectPr>
      <w:pgSz w:w="11900" w:h="16838" w:orient="portrait"/>
      <w:cols w:equalWidth="0" w:num="1">
        <w:col w:w="10960"/>
      </w:cols>
      <w:pgMar w:left="32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2020-08-13T15:37:29Z</dcterms:created>
  <dcterms:modified xsi:type="dcterms:W3CDTF">2020-08-13T15:37:29Z</dcterms:modified>
</cp:coreProperties>
</file>