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50930.htm"/>
      <w:bookmarkStart w:id="1" w:name="ksrdvt20250930"/>
      <w:bookmarkEnd w:id="0"/>
      <w:bookmarkEnd w:id="1"/>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September 30,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001-38407</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7588" w:type="dxa"/>
        <w:jc w:val="left"/>
        <w:tblInd w:w="0" w:type="dxa"/>
        <w:tblLayout w:type="fixed"/>
        <w:tblCellMar>
          <w:top w:w="28" w:type="dxa"/>
          <w:left w:w="28" w:type="dxa"/>
          <w:bottom w:w="28" w:type="dxa"/>
          <w:right w:w="28" w:type="dxa"/>
        </w:tblCellMar>
      </w:tblPr>
      <w:tblGrid>
        <w:gridCol w:w="4696"/>
        <w:gridCol w:w="14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82-2408531</w:t>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2650 North Military Trail, Suite 300, Boca Raton, Florida</w:t>
      </w:r>
      <w:r>
        <w:rPr>
          <w:rFonts w:ascii="Times New Roman" w:hAnsi="Times New Roman"/>
          <w:color w:val="000000"/>
          <w:sz w:val="20"/>
        </w:rPr>
        <w:t xml:space="preserve"> </w:t>
      </w:r>
      <w:r>
        <w:rPr>
          <w:rFonts w:ascii="Times New Roman" w:hAnsi="Times New Roman"/>
          <w:b/>
          <w:color w:val="000000"/>
          <w:sz w:val="20"/>
        </w:rPr>
        <w:t>33431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(561) 757-4000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None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6" w:type="dxa"/>
        <w:jc w:val="left"/>
        <w:tblInd w:w="0" w:type="dxa"/>
        <w:tblLayout w:type="fixed"/>
        <w:tblCellMar>
          <w:top w:w="28" w:type="dxa"/>
          <w:left w:w="28" w:type="dxa"/>
          <w:bottom w:w="28" w:type="dxa"/>
          <w:right w:w="28" w:type="dxa"/>
        </w:tblCellMar>
      </w:tblPr>
      <w:tblGrid>
        <w:gridCol w:w="1921"/>
        <w:gridCol w:w="701"/>
        <w:gridCol w:w="391"/>
        <w:gridCol w:w="2386"/>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Exchange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October 31, 2025, the registrant had 13,971,789 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 FOR FORM 10-Q</w:t>
      </w:r>
    </w:p>
    <w:tbl>
      <w:tblPr>
        <w:tblW w:w="10205" w:type="dxa"/>
        <w:jc w:val="left"/>
        <w:tblInd w:w="0" w:type="dxa"/>
        <w:tblLayout w:type="fixed"/>
        <w:tblCellMar>
          <w:top w:w="28" w:type="dxa"/>
          <w:left w:w="28" w:type="dxa"/>
          <w:bottom w:w="28" w:type="dxa"/>
          <w:right w:w="28" w:type="dxa"/>
        </w:tblCellMar>
      </w:tblPr>
      <w:tblGrid>
        <w:gridCol w:w="716"/>
        <w:gridCol w:w="161"/>
        <w:gridCol w:w="8396"/>
        <w:gridCol w:w="283"/>
        <w:gridCol w:w="649"/>
      </w:tblGrid>
      <w:tr>
        <w:trPr/>
        <w:tc>
          <w:tcPr>
            <w:tcW w:w="7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3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color w:val="000000"/>
                <w:sz w:val="16"/>
              </w:rPr>
            </w:pPr>
            <w:r>
              <w:rPr>
                <w:rFonts w:ascii="Times New Roman" w:hAnsi="Times New Roman"/>
                <w:b/>
                <w:color w:val="000000"/>
                <w:sz w:val="16"/>
              </w:rPr>
              <w:t>Page</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September 30, 2025 and December 31, 2024</w:t>
              </w:r>
            </w:hyperlink>
            <w:hyperlink w:anchor="condensed_consolidated_balance_sheets">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nine months ended September 30, 2025 and 2024</w:t>
              </w:r>
            </w:hyperlink>
            <w:hyperlink w:anchor="condensed_consolidated_statements_operat">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changes">
              <w:r>
                <w:rPr>
                  <w:rStyle w:val="InternetLink"/>
                  <w:rFonts w:ascii="Times New Roman" w:hAnsi="Times New Roman"/>
                  <w:color w:val="0000FF"/>
                  <w:sz w:val="20"/>
                  <w:u w:val="single"/>
                </w:rPr>
                <w:t>Condensed consolidated statements of changes in shareholders' equity for the three and nine months ended September 30, 2025 and 2024</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hyperlink w:anchor="condensed_consolidated_statements_cash_f">
              <w:r>
                <w:rPr>
                  <w:rStyle w:val="InternetLink"/>
                  <w:rFonts w:ascii="Times New Roman" w:hAnsi="Times New Roman"/>
                  <w:color w:val="0000FF"/>
                  <w:sz w:val="20"/>
                  <w:u w:val="single"/>
                </w:rPr>
                <w:t>Condensed consolidated statements of cash flows for the nine months ended September 30, 2025 and 2024</w:t>
              </w:r>
            </w:hyperlink>
            <w:hyperlink w:anchor="condensed_consolidated_statements_cash_f">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 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80"/>
                  <w:sz w:val="20"/>
                  <w:u w:val="single"/>
                </w:rPr>
                <w:t>Mine Safety Disclosure</w:t>
              </w:r>
            </w:hyperlink>
            <w:r>
              <w:rPr>
                <w:rFonts w:ascii="Times New Roman" w:hAnsi="Times New Roman"/>
                <w:color w:val="0000FF"/>
                <w:sz w:val="20"/>
                <w:u w:val="single"/>
              </w:rPr>
              <w:t>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otherwise indicated or required by the context, all references in this Quarterly Report on Form 10-Q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0"/>
        <w:gridCol w:w="146"/>
        <w:gridCol w:w="320"/>
        <w:gridCol w:w="1190"/>
        <w:gridCol w:w="146"/>
        <w:gridCol w:w="146"/>
        <w:gridCol w:w="348"/>
        <w:gridCol w:w="1115"/>
        <w:gridCol w:w="214"/>
      </w:tblGrid>
      <w:tr>
        <w:trPr/>
        <w:tc>
          <w:tcPr>
            <w:tcW w:w="6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 of $182 and $188 as of</w:t>
              <w:br/>
              <w: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stock—$0.001 par value, 10,000,000 shares authorized, and 0 shares</w:t>
              <w:br/>
              <w:t>  issued and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stock—$0.001 par value, 200,000,000 shares authorized, 13,967,217 and</w:t>
              <w:br/>
              <w:t>  13,936,329 shares issued and outstanding, as of September 30, 2025 and</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13,782,476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13,852,947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14,311,575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14,224,285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sz w:val="20"/>
        </w:rPr>
      </w:pPr>
      <w:bookmarkStart w:id="6" w:name="condensed_consolidated_statement_changes"/>
      <w:bookmarkEnd w:id="6"/>
      <w:r>
        <w:rPr>
          <w:rFonts w:ascii="Times New Roman" w:hAnsi="Times New Roman"/>
          <w:b/>
          <w:color w:val="000000"/>
          <w:sz w:val="20"/>
        </w:rPr>
        <w:t>CONDENSED CONSOLIDATED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305"/>
        <w:gridCol w:w="146"/>
        <w:gridCol w:w="146"/>
        <w:gridCol w:w="1036"/>
        <w:gridCol w:w="166"/>
        <w:gridCol w:w="146"/>
        <w:gridCol w:w="276"/>
        <w:gridCol w:w="415"/>
        <w:gridCol w:w="146"/>
        <w:gridCol w:w="146"/>
        <w:gridCol w:w="146"/>
        <w:gridCol w:w="841"/>
        <w:gridCol w:w="166"/>
        <w:gridCol w:w="146"/>
        <w:gridCol w:w="211"/>
        <w:gridCol w:w="631"/>
        <w:gridCol w:w="166"/>
        <w:gridCol w:w="146"/>
        <w:gridCol w:w="214"/>
        <w:gridCol w:w="686"/>
        <w:gridCol w:w="166"/>
        <w:gridCol w:w="146"/>
        <w:gridCol w:w="336"/>
        <w:gridCol w:w="759"/>
        <w:gridCol w:w="166"/>
        <w:gridCol w:w="146"/>
        <w:gridCol w:w="211"/>
        <w:gridCol w:w="781"/>
        <w:gridCol w:w="213"/>
      </w:tblGrid>
      <w:tr>
        <w:trPr/>
        <w:tc>
          <w:tcPr>
            <w:tcW w:w="1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13,744,189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13,980,274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13,967,217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671" w:type="dxa"/>
        <w:jc w:val="left"/>
        <w:tblInd w:w="0" w:type="dxa"/>
        <w:tblLayout w:type="fixed"/>
        <w:tblCellMar>
          <w:top w:w="28" w:type="dxa"/>
          <w:left w:w="28" w:type="dxa"/>
          <w:bottom w:w="28" w:type="dxa"/>
          <w:right w:w="28" w:type="dxa"/>
        </w:tblCellMar>
      </w:tblPr>
      <w:tblGrid>
        <w:gridCol w:w="6721"/>
        <w:gridCol w:w="146"/>
        <w:gridCol w:w="262"/>
        <w:gridCol w:w="841"/>
        <w:gridCol w:w="206"/>
        <w:gridCol w:w="181"/>
        <w:gridCol w:w="262"/>
        <w:gridCol w:w="841"/>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22,660</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45,352</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Basis of preparation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included in this quarterly report on Form 10-Q should be read in conjunction with the consolidated financial statements and accompanying notes included in the Company’s Annual Report on Form 10-K for the year ended December 31, 2024 filed with the SEC on February 27, 2025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balance sheet as of December 31, 2024 included herein was derived from the audited financial statements as of that date included in the Form 10-K, but does not include all disclosures required by US GAAP.</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Principles of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include the financial statements of the Company and its subsidiaries. All significant transactions among the Company and its subsidiaries have been eliminated upon consolidation.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 Recently issued accounting standards</w:t>
      </w:r>
    </w:p>
    <w:p>
      <w:pPr>
        <w:pStyle w:val="TextBody"/>
        <w:bidi w:val="0"/>
        <w:spacing w:before="160" w:after="283"/>
        <w:jc w:val="left"/>
        <w:rPr>
          <w:rFonts w:ascii="Times New Roman" w:hAnsi="Times New Roman"/>
          <w:sz w:val="20"/>
        </w:rPr>
      </w:pPr>
      <w:r>
        <w:rPr>
          <w:rFonts w:ascii="Times New Roman" w:hAnsi="Times New Roman"/>
          <w:color w:val="231F20"/>
          <w:sz w:val="20"/>
        </w:rPr>
        <w:t>In December 2023, the Financial Accounting Standard Board (the “FASB”) issued Accounting Standard Updates (“ASU”) No. 2023-09, "</w:t>
      </w:r>
      <w:r>
        <w:rPr>
          <w:rFonts w:ascii="Times New Roman" w:hAnsi="Times New Roman"/>
          <w:i/>
          <w:color w:val="231F20"/>
          <w:sz w:val="20"/>
        </w:rPr>
        <w:t>Income Taxes (Topic 740): Improvements to Income Tax Disclosures (ASU 2023-09)</w:t>
      </w:r>
      <w:r>
        <w:rPr>
          <w:rFonts w:ascii="Times New Roman" w:hAnsi="Times New Roman"/>
          <w:color w:val="231F2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the impact on its condensed consolidated financial statements and related disclosures.</w:t>
      </w:r>
    </w:p>
    <w:p>
      <w:pPr>
        <w:pStyle w:val="TextBody"/>
        <w:bidi w:val="0"/>
        <w:spacing w:before="160" w:after="283"/>
        <w:jc w:val="left"/>
        <w:rPr>
          <w:rFonts w:ascii="Times New Roman" w:hAnsi="Times New Roman"/>
          <w:sz w:val="20"/>
        </w:rPr>
      </w:pPr>
      <w:r>
        <w:rPr>
          <w:rFonts w:ascii="Times New Roman" w:hAnsi="Times New Roman"/>
          <w:color w:val="231F20"/>
          <w:sz w:val="20"/>
        </w:rPr>
        <w:t>In November, 2024, the FASB issued ASU No. 2024-03, "</w:t>
      </w:r>
      <w:r>
        <w:rPr>
          <w:rFonts w:ascii="Times New Roman" w:hAnsi="Times New Roman"/>
          <w:i/>
          <w:color w:val="231F20"/>
          <w:sz w:val="20"/>
        </w:rPr>
        <w:t>Income Statement - Reporting Comprehensive Income - Expense Disaggregation Disclosures (Subtopic 220-04), Disaggregation of Income Statement Expenses (ASU 2024-03),</w:t>
      </w:r>
      <w:r>
        <w:rPr>
          <w:rFonts w:ascii="Times New Roman" w:hAnsi="Times New Roman"/>
          <w:color w:val="231F20"/>
          <w:sz w:val="20"/>
        </w:rPr>
        <w:t>" which requires disclosure within the notes to financial statements of specific information about certain costs and expenses including more detailed disclosures of certain categories of expenses such as employee compensation, depreciation, and intangible asset amortization that are components of existing expense captions presented on the face of the income statement. The update is effective for annual periods for fiscal years beginning after December 15, 2026 and interim periods beginning after December 15, 2027 on a prospective or retrospective basis. Early adoption is permitted. The Company is currently assessing the impact adopting this ASU will have on its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547" w:type="dxa"/>
        <w:jc w:val="left"/>
        <w:tblInd w:w="0" w:type="dxa"/>
        <w:tblLayout w:type="fixed"/>
        <w:tblCellMar>
          <w:top w:w="28" w:type="dxa"/>
          <w:left w:w="28" w:type="dxa"/>
          <w:bottom w:w="28" w:type="dxa"/>
          <w:right w:w="28" w:type="dxa"/>
        </w:tblCellMar>
      </w:tblPr>
      <w:tblGrid>
        <w:gridCol w:w="3346"/>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13,782,476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13,852,947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14,311,575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14,224,285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For the three and nine months ended September 30, 2025 and 2024, diluted weighted average shares outstanding are calculated by the inclusion of unvested restricted stock units ("RSUs").</w:t>
      </w:r>
      <w:r>
        <w:rPr>
          <w:color w:val="00000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Intangible assets,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other than goodwill consist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9"/>
        <w:gridCol w:w="146"/>
        <w:gridCol w:w="946"/>
        <w:gridCol w:w="146"/>
        <w:gridCol w:w="217"/>
        <w:gridCol w:w="697"/>
        <w:gridCol w:w="146"/>
        <w:gridCol w:w="146"/>
        <w:gridCol w:w="251"/>
        <w:gridCol w:w="878"/>
        <w:gridCol w:w="166"/>
        <w:gridCol w:w="146"/>
        <w:gridCol w:w="211"/>
        <w:gridCol w:w="676"/>
        <w:gridCol w:w="146"/>
        <w:gridCol w:w="146"/>
        <w:gridCol w:w="217"/>
        <w:gridCol w:w="697"/>
        <w:gridCol w:w="146"/>
        <w:gridCol w:w="146"/>
        <w:gridCol w:w="251"/>
        <w:gridCol w:w="878"/>
        <w:gridCol w:w="166"/>
        <w:gridCol w:w="146"/>
        <w:gridCol w:w="211"/>
        <w:gridCol w:w="676"/>
        <w:gridCol w:w="198"/>
      </w:tblGrid>
      <w:tr>
        <w:trPr/>
        <w:tc>
          <w:tcPr>
            <w:tcW w:w="1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Amortization</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gross carrying amount of software developed for internal use includes capitalized costs related to the design, development, and testing of internal-use software. These costs primarily consist of eligible personnel-related expenses, share-based compensation, travel expenses, and other directly attributable costs incurred during the application development stage. The gross carrying amount of acquired intangible assets reflects the acquisition cost of certain data assets for which the Company has obtained perpetual usage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expenses of $2,651 and $2,382 for the three months ended September 30, 2025 and 2024, respectively, and $7,746 and $6,918 for the nine months ended September 30, 2025 and 2024, respectively, were included in depreciation and amortization expense. As of September 30, 2025, intangible assets of $4,964, included in the gross carrying amounts of intangible assets, have not yet commenced amortization, as they are not ready for their intended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capitalized intangible asset costs of $3,723 and $2,708 during the three months ended September 30, 2025 and 2024, respectively, and $10,498 and $8,328 during the nine months ended September 30, 2025 and 2024,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estimated amortization expense related to the Company’s intangible assets for the remainder of 2025 through 2030 and thereafter are as follows:</w:t>
      </w:r>
    </w:p>
    <w:p>
      <w:pPr>
        <w:pStyle w:val="TextBody"/>
        <w:bidi w:val="0"/>
        <w:jc w:val="left"/>
        <w:rPr/>
      </w:pPr>
      <w:r>
        <w:rPr/>
        <w:t> </w:t>
      </w:r>
    </w:p>
    <w:tbl>
      <w:tblPr>
        <w:tblW w:w="3578" w:type="dxa"/>
        <w:jc w:val="left"/>
        <w:tblInd w:w="0" w:type="dxa"/>
        <w:tblLayout w:type="fixed"/>
        <w:tblCellMar>
          <w:top w:w="28" w:type="dxa"/>
          <w:left w:w="28" w:type="dxa"/>
          <w:bottom w:w="28" w:type="dxa"/>
          <w:right w:w="28" w:type="dxa"/>
        </w:tblCellMar>
      </w:tblPr>
      <w:tblGrid>
        <w:gridCol w:w="1696"/>
        <w:gridCol w:w="146"/>
        <w:gridCol w:w="367"/>
        <w:gridCol w:w="1178"/>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Goodwill represents the cost in excess of the fair value of the net assets acquired in a business combination. As of September 30, 2025 and December 31, 2024, the balance of goodwill of $5,227 was as a result of the acquisition of Interactive Data, LLC, a wholly-owned subsidiary of red violet, effective on October 2, 2014.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In accordance with ASC 350, “</w:t>
      </w:r>
      <w:r>
        <w:rPr>
          <w:rFonts w:ascii="Times New Roman" w:hAnsi="Times New Roman"/>
          <w:i/>
          <w:color w:val="000000"/>
          <w:sz w:val="20"/>
        </w:rPr>
        <w:t>Intangibles - Goodwill and Other,”</w:t>
      </w:r>
      <w:r>
        <w:rPr>
          <w:rFonts w:ascii="Times New Roman" w:hAnsi="Times New Roman"/>
          <w:color w:val="000000"/>
          <w:sz w:val="20"/>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record a goodwill impairment loss during the three and nine months ended September 30, 2025 and 2024, and there was no accumulated goodwill impairment loss as of September 30,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Revenue recognition</w:t>
      </w:r>
    </w:p>
    <w:p>
      <w:pPr>
        <w:pStyle w:val="TextBody"/>
        <w:bidi w:val="0"/>
        <w:spacing w:before="200" w:after="283"/>
        <w:jc w:val="left"/>
        <w:rPr>
          <w:rFonts w:ascii="Times New Roman" w:hAnsi="Times New Roman"/>
          <w:sz w:val="20"/>
        </w:rPr>
      </w:pPr>
      <w:r>
        <w:rPr>
          <w:rFonts w:ascii="Times New Roman" w:hAnsi="Times New Roman"/>
          <w:color w:val="000000"/>
          <w:sz w:val="20"/>
        </w:rPr>
        <w:t>The Company recognized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(“Topic 606”). Under this standard, revenue is recognized when control of goods or services is transferred to the Company’s customers, in an amount that reﬂects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September 30, 2025, the current and noncurrent portion of unbilled accounts receivable of $1,258 and $1,021, respectively, were included within accounts receivable and other noncurrent assets, respectively, on the condensed consolidated balance sheets. As of December 31, 2024, the current and noncurrent portion of unbilled accounts receivable of $937 and $1,080, respectively, were included within accounts receivable and other noncurrent assets, respectively, on the consolidated balance sheets. The Company's revenue arrangements do not contain significant financing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September 30, 2025 and 2024, 75% and 77% of total revenue was attributable to customers with pricing contracts, respectively, versus 25% and 23% attributable to transactional customers, respectively. For the nine months ended September 30, 2025 and 2024, 75% and 76% of total revenue was attributable to customers with pricing contracts, respectively, versus 25% and 24% attributable to transactional customers, respectively. Pricing contracts are generally annual contracts or longer, with auto renewal.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customer pays consideration before the Company transfers services to the customer, those amounts are classified as deferred revenue. As of September 30, 2025 and December 31, 2024, the balance of deferred revenue was $859 and $712, respectively, all of which is expected to be realized in the next 12 months. In relation to the deferred revenue balance as of December 31, 2024, $123 and $617 was recognized into revenue during the three and nine months ended September 30,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$19,820 of revenue is expected to be recognized in the future for performance obligations that are unsatisfied or partially unsatisfied, related to pricing contracts that have a term of more than 12 months, of which, $3,166 of revenue will be recognized in the remainder of 2025, $9,425 in 2026, $5,520 in 2027, $1,402 in 2028, $302 in 2029, and $5 in 2030.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commissions are incurred and recorded on an ongoing basis over the term of the customer relationship. These costs are recorded in 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September 30, 2025 was more likely than not.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effective income tax rate was 15% and 40% for the three months ended September 30, 2025 and 2024, respectively, and 18% and 28% for the nine months ended September 30, 2025 and 2024, respectively, differing from the U.S. statutory corporate federal income tax rate of 21%.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nine months ended September 30, 2025, the effective income tax rates were lower than the statutory rate, primarily attributable to the benefit of research and development tax credits and excess tax benefit from share-based compensation, partially offset by state income taxes and nondeductible permanent differences. In contrast, for the three and nine months ended September 30, 2024, the effective income tax rates were higher than the statutory rate, primarily driven by state income taxes and nondeductible permanent differences, partially offset by the benefit of research and development tax credits.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does not have any material unrecognized tax benefits as of September 30, 2025 and December 31, 2024.</w:t>
      </w:r>
    </w:p>
    <w:p>
      <w:pPr>
        <w:pStyle w:val="TextBody"/>
        <w:bidi w:val="0"/>
        <w:spacing w:before="200" w:after="283"/>
        <w:jc w:val="left"/>
        <w:rPr>
          <w:rFonts w:ascii="Times New Roman" w:hAnsi="Times New Roman"/>
          <w:sz w:val="20"/>
        </w:rPr>
      </w:pPr>
      <w:r>
        <w:rPr>
          <w:rFonts w:ascii="Times New Roman" w:hAnsi="Times New Roman"/>
          <w:color w:val="000000"/>
          <w:sz w:val="20"/>
        </w:rPr>
        <w:t>On July 4, 2025, the One Big Beautiful Bill Act (the "OBBBA") was enacted into law. The OBBBA makes permanent key elements of the Tax Cuts and Jobs Act, including the full expensing of domestic research and experimentation expenditures. ASC 740, “</w:t>
      </w:r>
      <w:r>
        <w:rPr>
          <w:rFonts w:ascii="Times New Roman" w:hAnsi="Times New Roman"/>
          <w:i/>
          <w:color w:val="000000"/>
          <w:sz w:val="20"/>
        </w:rPr>
        <w:t>Income Taxes</w:t>
      </w:r>
      <w:r>
        <w:rPr>
          <w:rFonts w:ascii="Times New Roman" w:hAnsi="Times New Roman"/>
          <w:color w:val="000000"/>
          <w:sz w:val="20"/>
        </w:rPr>
        <w:t>”, requires the effects of changes in tax rates and laws on deferred tax balances to be recognized in the period in which the legislation is enacted. The Company evaluated the impact of the OBBBA on its financial statements and concluded that it does not have a material impact on the Company’s effective tax rate.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Shareholders' equity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Common stock and treasury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and December 31, 2024, the number of issued shares of common stock was 13,967,217 and 13,936,329, respectively. The Company held no shares of treasury stock as of either date. During the nine months ended September 30, 2025, the changes in the number of issued shares of common stock and treasury stock were due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aggregate of 66,767</w:t>
      </w:r>
      <w:r>
        <w:rPr>
          <w:color w:val="000000"/>
        </w:rPr>
        <w:t xml:space="preserve"> </w:t>
      </w:r>
      <w:r>
        <w:rPr>
          <w:rFonts w:ascii="Times New Roman" w:hAnsi="Times New Roman"/>
          <w:color w:val="000000"/>
          <w:sz w:val="20"/>
        </w:rPr>
        <w:t>shares of common stock were issued as a result of the vesting of RSUs, of which, 20,442</w:t>
      </w:r>
      <w:r>
        <w:rPr>
          <w:color w:val="000000"/>
        </w:rPr>
        <w:t xml:space="preserve"> </w:t>
      </w:r>
      <w:r>
        <w:rPr>
          <w:rFonts w:ascii="Times New Roman" w:hAnsi="Times New Roman"/>
          <w:color w:val="000000"/>
          <w:sz w:val="20"/>
        </w:rPr>
        <w:t>shares of common stock were withheld to pay withholding taxes upon such vesting, which were reflected in treasury stock at a cost of $860. All 20,442</w:t>
      </w:r>
      <w:r>
        <w:rPr>
          <w:color w:val="000000"/>
        </w:rPr>
        <w:t xml:space="preserve"> </w:t>
      </w:r>
      <w:r>
        <w:rPr>
          <w:rFonts w:ascii="Times New Roman" w:hAnsi="Times New Roman"/>
          <w:color w:val="000000"/>
          <w:sz w:val="20"/>
        </w:rPr>
        <w:t>shares of treasury stock were retired during the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the nine months ended September 30, 2025, the Company repurchased 15,437</w:t>
      </w:r>
      <w:r>
        <w:rPr>
          <w:color w:val="000000"/>
        </w:rPr>
        <w:t xml:space="preserve"> </w:t>
      </w:r>
      <w:r>
        <w:rPr>
          <w:rFonts w:ascii="Times New Roman" w:hAnsi="Times New Roman"/>
          <w:color w:val="000000"/>
          <w:sz w:val="20"/>
        </w:rPr>
        <w:t>shares of common stock under the Stock Repurchase Program, as defined below, which was reflected in treasury stock at a cost of $653. All 15,437</w:t>
      </w:r>
      <w:r>
        <w:rPr>
          <w:color w:val="000000"/>
        </w:rPr>
        <w:t xml:space="preserve"> </w:t>
      </w:r>
      <w:r>
        <w:rPr>
          <w:rFonts w:ascii="Times New Roman" w:hAnsi="Times New Roman"/>
          <w:color w:val="000000"/>
          <w:sz w:val="20"/>
        </w:rPr>
        <w:t>shares of treasury stock were retired during the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 2022, the Board of Directors of the Company authorized the repurchase of up to $5.0 million of the Company's common stock from time to time, and subsequently on December 19, 2023 and March 28, 2024, the Board of Directors authorized the repurchase of an additional $5.0 million each, bringing the total authorization to $15.0 million (the "Stock Repurchase Program"). The Stock Repurchase Program does not obligate the Company to repurchase any shares and may be modified, suspended, or terminated at any time and for any reason at the discretion of the Board of Directors. On November 3, 2025, the Board of Directors further authorized the repurchase of an additional $15.0 million under the Stock Repurchase Program, bringing the total authorization to $30.0 million.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Dividend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 2024, the Company declared a special cash dividend on its common stock of $0.30 per share (the “Dividend”) to shareholders of record as of January 31, 2025, and the aggregate amount of approximately $4.2 million was paid on February 14,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Subsequently on June 3, 2020 and May 25, 2022, the Company’s stockholders approved amendments to the 2018 Plan to increase the number of shares of common stock authorized for issuance under the 2018 Plan to 4,500,000 shares and 6,500,000 shares, respectively. On June 10, 2025, the Company's stockholders approved an amendment and restatement to the 2018 Plan (the "Amended and Restated Plan") to, among other things, further increase the number of shares of common stock authorized for issuance under the 2018 Plan from 6,500,000 shares to 7,500,000 shares.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purpose of the Amended and Restated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there were 2,652,597 shares of common stock available for future issuance under the Amended and Restated Plan.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To date, all stock incentives issued under the Amended and Restated Plan have been in the form of RSUs. RSUs granted under the Amended and Restated Plan vest and settle upon the satisfaction of a time-based condition or with both time- and performance-based conditions. The time-based condition for these awards is generally satisfied over three or four years with annual vesting. Details of unvested RSU activity during the nine months ended September 30, 2025 were as follows: </w:t>
      </w:r>
    </w:p>
    <w:tbl>
      <w:tblPr>
        <w:tblW w:w="6695" w:type="dxa"/>
        <w:jc w:val="left"/>
        <w:tblInd w:w="0" w:type="dxa"/>
        <w:tblLayout w:type="fixed"/>
        <w:tblCellMar>
          <w:top w:w="28" w:type="dxa"/>
          <w:left w:w="28" w:type="dxa"/>
          <w:bottom w:w="28" w:type="dxa"/>
          <w:right w:w="28" w:type="dxa"/>
        </w:tblCellMar>
      </w:tblPr>
      <w:tblGrid>
        <w:gridCol w:w="3136"/>
        <w:gridCol w:w="146"/>
        <w:gridCol w:w="200"/>
        <w:gridCol w:w="1075"/>
        <w:gridCol w:w="166"/>
        <w:gridCol w:w="146"/>
        <w:gridCol w:w="441"/>
        <w:gridCol w:w="1194"/>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Withheld as treasury stock</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Unvested as of September 30, 2025</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During the nine months ended September 30, 2025, the Company granted an aggregate of 112,050 RSUs to certain employees and directors at grant date fair values ranging from $34.18 to $49.67 per share, with a vesting period ranging from three to four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Withheld as treasury stock represents shares withheld to pay statutory taxes upon the vesting of RSUs. Refer to Note 7 for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18, 2024, the Company granted 130,000 RSUs, subject to performance-based vesting conditions, to a non-executive employee, at a grant date fair value of $18.30 per share. Such RSU grant will not vest unless and until the Company has achieved certain revenue for a portion of its business prior to December 31, 2030, the final achievement date deadline. As of September 30, 2025, the Company determined that it is not probable that the performance criteria associated with 70,000 of the 130,000 RSUs will be met. Accordingly, no share-based compensation expense has been recognized for these RSUs. The 70,000 RSUs remain unvested and were included in "Unvested as of September 30, 2025" in the table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unrecognized share-based compensation expense associated with the granted RSUs amounted to $13,399, which is expected to be recognized over a remaining weighted average period of 2.4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Share-based compensation was allocated to the following accounts in the condensed consolidated financial statements for the three and nine months ended September 30, 2025 and 2024:</w:t>
      </w:r>
    </w:p>
    <w:p>
      <w:pPr>
        <w:pStyle w:val="TextBody"/>
        <w:bidi w:val="0"/>
        <w:jc w:val="left"/>
        <w:rPr/>
      </w:pPr>
      <w:r>
        <w:rPr/>
        <w:t> </w:t>
      </w:r>
    </w:p>
    <w:tbl>
      <w:tblPr>
        <w:tblW w:w="8998" w:type="dxa"/>
        <w:jc w:val="left"/>
        <w:tblInd w:w="0" w:type="dxa"/>
        <w:tblLayout w:type="fixed"/>
        <w:tblCellMar>
          <w:top w:w="28" w:type="dxa"/>
          <w:left w:w="28" w:type="dxa"/>
          <w:bottom w:w="28" w:type="dxa"/>
          <w:right w:w="28" w:type="dxa"/>
        </w:tblCellMar>
      </w:tblPr>
      <w:tblGrid>
        <w:gridCol w:w="3091"/>
        <w:gridCol w:w="146"/>
        <w:gridCol w:w="305"/>
        <w:gridCol w:w="826"/>
        <w:gridCol w:w="211"/>
        <w:gridCol w:w="211"/>
        <w:gridCol w:w="305"/>
        <w:gridCol w:w="826"/>
        <w:gridCol w:w="146"/>
        <w:gridCol w:w="146"/>
        <w:gridCol w:w="295"/>
        <w:gridCol w:w="798"/>
        <w:gridCol w:w="204"/>
        <w:gridCol w:w="204"/>
        <w:gridCol w:w="295"/>
        <w:gridCol w:w="79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corporate headquarters of 21,020 rentable square feet in accordance with a non-cancellable operating lease agreement as amended and effective in January 2017, and the Company entered into a further amendment on September 20, 2023 to exercise the extension option for an additional 60 months through June 30, 2029, with an option to further extend for an additional 60 months. The Company also leases an additional office space of 6,003 rentable square feet for its Seattle office in accordance with a non-cancellable operating lease agreement entered into in April 2017, which expired in March 2025. The extension options of such agreements were not included in the determination of the lease terms.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20, 2024, the Company entered into a non-cancellable 80-month operating lease agreement for its new Seattle office space of 6,709 rentable square feet (the "New Seattle Lease Agreement"), with the lease commencement date on May 1, 2025 (the "Commencement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nine months ended September 30, 2025 and 2024, a summary of the Company’s lease information is shown below:</w:t>
      </w:r>
    </w:p>
    <w:p>
      <w:pPr>
        <w:pStyle w:val="TextBody"/>
        <w:bidi w:val="0"/>
        <w:jc w:val="left"/>
        <w:rPr/>
      </w:pPr>
      <w:r>
        <w:rPr/>
        <w:t> </w:t>
      </w:r>
    </w:p>
    <w:tbl>
      <w:tblPr>
        <w:tblW w:w="10003" w:type="dxa"/>
        <w:jc w:val="left"/>
        <w:tblInd w:w="0" w:type="dxa"/>
        <w:tblLayout w:type="fixed"/>
        <w:tblCellMar>
          <w:top w:w="28" w:type="dxa"/>
          <w:left w:w="28" w:type="dxa"/>
          <w:bottom w:w="28" w:type="dxa"/>
          <w:right w:w="28" w:type="dxa"/>
        </w:tblCellMar>
      </w:tblPr>
      <w:tblGrid>
        <w:gridCol w:w="4096"/>
        <w:gridCol w:w="146"/>
        <w:gridCol w:w="364"/>
        <w:gridCol w:w="726"/>
        <w:gridCol w:w="252"/>
        <w:gridCol w:w="252"/>
        <w:gridCol w:w="364"/>
        <w:gridCol w:w="726"/>
        <w:gridCol w:w="146"/>
        <w:gridCol w:w="146"/>
        <w:gridCol w:w="321"/>
        <w:gridCol w:w="868"/>
        <w:gridCol w:w="222"/>
        <w:gridCol w:w="222"/>
        <w:gridCol w:w="321"/>
        <w:gridCol w:w="640"/>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Right-of-use assets obtained in exchange for new</w:t>
              <w:br/>
              <w:t>  operating lease liabilities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New Seattle Lease Agreement resulted in the recognition of $1,153 in right-of-use assets obtained in exchange for operating lease liabilities as of May 1, 2025. The Company applied a 6.0% discount rate, its estimated incremental borrowing rate for similar secured assets, to determine the present value of the lease payments, as the implicit rate in the lease is not readily determinable. The discount rate was based on information available as of the Commencement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December 31, 2024, the weighted-average remaining term of the Company's operating leases was 4.8 years and 4.3 years, respectively, and the weighted-average discount rate used to measure the operating lease liabilities was 8.30% and 9.94%,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scheduled future maturities and present value of the operating lease liabilities are as follows:</w:t>
      </w:r>
    </w:p>
    <w:p>
      <w:pPr>
        <w:pStyle w:val="TextBody"/>
        <w:bidi w:val="0"/>
        <w:jc w:val="left"/>
        <w:rPr/>
      </w:pPr>
      <w:r>
        <w:rPr/>
        <w:t> </w:t>
      </w:r>
    </w:p>
    <w:tbl>
      <w:tblPr>
        <w:tblW w:w="9098" w:type="dxa"/>
        <w:jc w:val="left"/>
        <w:tblInd w:w="0" w:type="dxa"/>
        <w:tblLayout w:type="fixed"/>
        <w:tblCellMar>
          <w:top w:w="28" w:type="dxa"/>
          <w:left w:w="28" w:type="dxa"/>
          <w:bottom w:w="28" w:type="dxa"/>
          <w:right w:w="28" w:type="dxa"/>
        </w:tblCellMar>
      </w:tblPr>
      <w:tblGrid>
        <w:gridCol w:w="7216"/>
        <w:gridCol w:w="146"/>
        <w:gridCol w:w="417"/>
        <w:gridCol w:w="1128"/>
        <w:gridCol w:w="191"/>
      </w:tblGrid>
      <w:tr>
        <w:trPr/>
        <w:tc>
          <w:tcPr>
            <w:tcW w:w="7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Present value included in condensed consolidated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between the maturities and related 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Segment information</w:t>
      </w:r>
    </w:p>
    <w:p>
      <w:pPr>
        <w:pStyle w:val="TextBody"/>
        <w:bidi w:val="0"/>
        <w:jc w:val="left"/>
        <w:rPr>
          <w:rFonts w:ascii="Times New Roman" w:hAnsi="Times New Roman"/>
          <w:color w:val="000000"/>
          <w:sz w:val="20"/>
        </w:rPr>
      </w:pPr>
      <w:r>
        <w:rPr>
          <w:rFonts w:ascii="Times New Roman" w:hAnsi="Times New Roman"/>
          <w:color w:val="000000"/>
          <w:sz w:val="20"/>
        </w:rPr>
        <w:t>The Company currently has one single operating and reporting segment, identity and information solutions, as defined by ASC 280, “Segment Reporting.” The Company adopted ASU 2023-07 as of December 31, 2024. There have been no significant changes in the basis of segmentation or in the basis of measurement of segment profit since the last annual report.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operating decision maker (the “CODM”) assesses performance for the identity and information solutions segment and decides how to allocate resources based on net income that also is reported on the condensed consolidated statements of operations as net income. The measure of segment assets is reported on the condensed consolidated balance sheet as total assets. </w:t>
      </w:r>
    </w:p>
    <w:p>
      <w:pPr>
        <w:pStyle w:val="TextBody"/>
        <w:bidi w:val="0"/>
        <w:jc w:val="left"/>
        <w:rPr>
          <w:rFonts w:ascii="Times New Roman" w:hAnsi="Times New Roman"/>
          <w:color w:val="000000"/>
          <w:sz w:val="20"/>
        </w:rPr>
      </w:pPr>
      <w:r>
        <w:rPr>
          <w:rFonts w:ascii="Times New Roman" w:hAnsi="Times New Roman"/>
          <w:color w:val="000000"/>
          <w:sz w:val="20"/>
        </w:rPr>
        <w:t>Information about reported segment revenue, segment net income, and significant segment expenses is shown as follows:</w:t>
      </w:r>
    </w:p>
    <w:p>
      <w:pPr>
        <w:pStyle w:val="TextBody"/>
        <w:bidi w:val="0"/>
        <w:jc w:val="left"/>
        <w:rPr/>
      </w:pPr>
      <w:r>
        <w:rPr/>
        <w:t> </w:t>
      </w:r>
    </w:p>
    <w:tbl>
      <w:tblPr>
        <w:tblW w:w="9845" w:type="dxa"/>
        <w:jc w:val="left"/>
        <w:tblInd w:w="0" w:type="dxa"/>
        <w:tblLayout w:type="fixed"/>
        <w:tblCellMar>
          <w:top w:w="28" w:type="dxa"/>
          <w:left w:w="28" w:type="dxa"/>
          <w:bottom w:w="28" w:type="dxa"/>
          <w:right w:w="28" w:type="dxa"/>
        </w:tblCellMar>
      </w:tblPr>
      <w:tblGrid>
        <w:gridCol w:w="3901"/>
        <w:gridCol w:w="146"/>
        <w:gridCol w:w="271"/>
        <w:gridCol w:w="870"/>
        <w:gridCol w:w="213"/>
        <w:gridCol w:w="187"/>
        <w:gridCol w:w="271"/>
        <w:gridCol w:w="870"/>
        <w:gridCol w:w="166"/>
        <w:gridCol w:w="146"/>
        <w:gridCol w:w="262"/>
        <w:gridCol w:w="841"/>
        <w:gridCol w:w="206"/>
        <w:gridCol w:w="181"/>
        <w:gridCol w:w="262"/>
        <w:gridCol w:w="841"/>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marketing and agency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Professional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Professional fees for the nine months ended September 30, 2025, include $358 of acquisition-related costs incurred in connection with the due diligence of potential strategic targets. Comparable acquisition-related costs were $7 for the nine months ended September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Other segment items include primarily travel and entertainment, write-off of long-lived assets, and other selling, general and administrative expenses.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Capital commitment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incurred data costs, included within cost of revenue (exclusive depreciation and amortization), of $2,423 and $2,328 for the three months ended September 30, 2025 and 2024, respectively, and $7,382 and $7,168 for the nine months ended September 30, 2025 and 2024, respectively, under certain data licensing agreements.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Effective on May 1, 2025, the Company entered into an amendment with its largest data supplier, extending the term of the agreement through April 30, 2031. The Company may elect to extend the term for an additional twelve months upon written notice to this supplier at least 30 days prior to April 30, 2031. As of September 30, 2025, the remaining minimum purchase commitment of the agreement with this data supplier was $24.6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April 2025, the Company entered into a five-year, non-cancellable cloud services agreement with a third-party provider. The agreement includes a minimum annual purchase commitment of $3.0 million, beginning May 1, 2025. Costs incurred under this agreement are either (i) expensed as infrastructure fees and included in cost of revenue (exclusive of depreciation and amortization) when used in the delivery of our services to customers, or (ii) capitalized as internal-use software costs within intangible assets when consumed in the development or enhancement of the Company’s internal-use software.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the total material capital commitments under certain data licensing agreements and the cloud service agreement amounted to $44,909, shown as follows:</w:t>
      </w:r>
    </w:p>
    <w:p>
      <w:pPr>
        <w:pStyle w:val="TextBody"/>
        <w:bidi w:val="0"/>
        <w:jc w:val="left"/>
        <w:rPr/>
      </w:pPr>
      <w:r>
        <w:rPr/>
        <w:t> </w:t>
      </w:r>
    </w:p>
    <w:tbl>
      <w:tblPr>
        <w:tblW w:w="3778" w:type="dxa"/>
        <w:jc w:val="left"/>
        <w:tblInd w:w="0" w:type="dxa"/>
        <w:tblLayout w:type="fixed"/>
        <w:tblCellMar>
          <w:top w:w="28" w:type="dxa"/>
          <w:left w:w="28" w:type="dxa"/>
          <w:bottom w:w="28" w:type="dxa"/>
          <w:right w:w="28" w:type="dxa"/>
        </w:tblCellMar>
      </w:tblPr>
      <w:tblGrid>
        <w:gridCol w:w="1796"/>
        <w:gridCol w:w="246"/>
        <w:gridCol w:w="367"/>
        <w:gridCol w:w="1178"/>
        <w:gridCol w:w="191"/>
      </w:tblGrid>
      <w:tr>
        <w:trPr/>
        <w:tc>
          <w:tcPr>
            <w:tcW w:w="17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 and thereafter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than as described below, 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The Company reviews legal proceedings and claims on an ongoing basis and follow appropriate accounting guidance, including ASC 450, when making accrual and disclosure decisions. 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7, 2024, the Company was named as a defendant by Atlas Data Privacy Corporation (“Atlas”), Jane Doe-1, Jane Doe-2, Edwin Maldonado, Scott Maloney, Justyna Maloney, Patrick Colligan, and William Sullivan in an action filed in the Superior Court of New Jersey, Law Division, Monmouth County (the “Action”). Each plaintiff, other than Atlas, alleges that they are a covered person under a New Jersey state statute known as “Daniel’s Law”; Atlas alleges it is the assignee of claims from covered persons who allege Daniel’s Law was violated as to them. Each plaintiff, on their own behalf, and Atlas, on behalf of the alleged assignors, alleges the Company failed to comply with Daniel’s Law by not suppressing their home address and unpublished telephone number within 10 business days of receiving a suppression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one of over 150 companies sued by Atlas and a combination of individual plaintiffs in actions containing nearly identical allegations and seeking similar damages. The Company removed the matter to the United States District Court for the District of New Jersey, but the matter was remanded back to the Superior Court of New Jersey, Law Division, Monmouth County by order dated November 21, 2024, where the Action is pending. No trial date has been scheduled. Each plaintiff and Atlas seek to recover actual damages that are not less than liquidated damages under Daniel’s Law, punitive damages, pre- and post-judgment interest, attorneys’ fees and costs and injunctive relief. The Company is vigorously defending itself in the Action. Should the case be tried, an adverse ruling could have an immediate near-term impact on the Company's business, financial position, and/or operations. The Company has notified its insurer of the Action and has confirmed that the claim falls within the scope of its insurance coverage. As such, the Company anticipates that the insurer will cover defense costs and any potential liability, subject to policy limits and customary exclusions.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2024 filed on February 27, 2025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References in this discussion and analysis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sz w:val="20"/>
        </w:rPr>
      </w:pPr>
      <w:r>
        <w:rPr>
          <w:rFonts w:ascii="Times New Roman" w:hAnsi="Times New Roman"/>
          <w:color w:val="000000"/>
          <w:sz w:val="2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hAnsi="Times New Roman"/>
          <w:color w:val="000000"/>
          <w:sz w:val="13"/>
        </w:rPr>
        <w:t>TM</w:t>
      </w:r>
      <w:r>
        <w:rPr>
          <w:rFonts w:ascii="Times New Roman" w:hAnsi="Times New Roman"/>
          <w:color w:val="000000"/>
          <w:sz w:val="2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Organizations are challenged by the structure, volume, and disparity of data. Our platform and applications provide real-time analytics, transforming the way our customers interact with information by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 </w:t>
      </w:r>
    </w:p>
    <w:p>
      <w:pPr>
        <w:pStyle w:val="TextBody"/>
        <w:bidi w:val="0"/>
        <w:spacing w:before="200" w:after="283"/>
        <w:jc w:val="left"/>
        <w:rPr>
          <w:rFonts w:ascii="Times New Roman" w:hAnsi="Times New Roman"/>
          <w:sz w:val="20"/>
        </w:rPr>
      </w:pPr>
      <w:r>
        <w:rPr>
          <w:rFonts w:ascii="Times New Roman" w:hAnsi="Times New Roman"/>
          <w:color w:val="000000"/>
          <w:sz w:val="20"/>
        </w:rPr>
        <w:t>While our platform powers a vast array of solutions for our customers, we presently market our solutions primarily through two brands, IDI</w:t>
      </w:r>
      <w:r>
        <w:rPr>
          <w:rFonts w:ascii="Times New Roman" w:hAnsi="Times New Roman"/>
          <w:color w:val="000000"/>
          <w:sz w:val="13"/>
        </w:rPr>
        <w:t xml:space="preserve"> </w:t>
      </w:r>
      <w:r>
        <w:rPr>
          <w:rFonts w:ascii="Times New Roman" w:hAnsi="Times New Roman"/>
          <w:color w:val="000000"/>
          <w:sz w:val="20"/>
        </w:rPr>
        <w:t>and FOREWARN</w:t>
      </w:r>
      <w:r>
        <w:rPr>
          <w:rFonts w:ascii="Times New Roman" w:hAnsi="Times New Roman"/>
          <w:color w:val="000000"/>
          <w:sz w:val="13"/>
        </w:rPr>
        <w:t>®</w:t>
      </w:r>
      <w:r>
        <w:rPr>
          <w:rFonts w:ascii="Times New Roman" w:hAnsi="Times New Roman"/>
          <w:color w:val="000000"/>
          <w:sz w:val="20"/>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hAnsi="Times New Roman"/>
          <w:color w:val="000000"/>
          <w:sz w:val="13"/>
        </w:rPr>
        <w:t></w:t>
      </w:r>
      <w:r>
        <w:rPr>
          <w:rFonts w:ascii="Times New Roman" w:hAnsi="Times New Roman"/>
          <w:color w:val="000000"/>
          <w:sz w:val="20"/>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2025 and 2024, IDI had 9,853 and 8,743 billable customers, respectively, and FOREWARN had 372,209 and 284,967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September 30, 2025 and 2024, 75% and 77% of total revenue was attributable to customers with pricing contracts, respectively, versus 25% and 23% attributable to transactional customers, respectively. For the nine months ended September 30, 2025 and 2024, 75% and 76% of total revenue was attributable to customers with pricing contracts, respectively, versus 25% and 24% attributable to transactional customers,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please refer to our Form 10-K. There have been no material changes to Critical Accounting Policies and Estimates disclosed in our Form 10-K.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200" w:after="283"/>
        <w:jc w:val="left"/>
        <w:rPr>
          <w:rFonts w:ascii="Times New Roman" w:hAnsi="Times New Roman"/>
          <w:sz w:val="20"/>
        </w:rPr>
      </w:pPr>
      <w:r>
        <w:rPr>
          <w:rFonts w:ascii="Times New Roman" w:hAnsi="Times New Roman"/>
          <w:color w:val="000000"/>
          <w:sz w:val="20"/>
        </w:rPr>
        <w:t>See Note 1(b), “</w:t>
      </w:r>
      <w:r>
        <w:rPr>
          <w:rFonts w:ascii="Times New Roman" w:hAnsi="Times New Roman"/>
          <w:i/>
          <w:color w:val="000000"/>
          <w:sz w:val="20"/>
        </w:rPr>
        <w:t>Recently issued accounting standards,”</w:t>
      </w:r>
      <w:r>
        <w:rPr>
          <w:rFonts w:ascii="Times New Roman" w:hAnsi="Times New Roman"/>
          <w:color w:val="000000"/>
          <w:sz w:val="20"/>
        </w:rPr>
        <w:t xml:space="preserve"> in “Notes to Condensed Consolidated Financial Statements.”</w:t>
      </w:r>
    </w:p>
    <w:p>
      <w:pPr>
        <w:pStyle w:val="TextBody"/>
        <w:bidi w:val="0"/>
        <w:spacing w:before="200" w:after="283"/>
        <w:jc w:val="left"/>
        <w:rPr>
          <w:rFonts w:ascii="Times New Roman" w:hAnsi="Times New Roman"/>
          <w:b/>
          <w:color w:val="000000"/>
          <w:sz w:val="20"/>
        </w:rPr>
      </w:pPr>
      <w:bookmarkStart w:id="10" w:name="gmnh874a1a8db3fe4af2a262b7d6093c0e4f"/>
      <w:bookmarkEnd w:id="10"/>
      <w:r>
        <w:rPr>
          <w:rFonts w:ascii="Times New Roman" w:hAnsi="Times New Roman"/>
          <w:b/>
          <w:color w:val="000000"/>
          <w:sz w:val="20"/>
        </w:rPr>
        <w:t>Third Quarter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September 30, 2025 as compared to the three months ended September 30,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21% to $23.1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26% to $16.8 million. Gross margin increased to 73% from 70%.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23% to $19.4 million. Adjusted gross margin increased to 84% from 83%.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145% to $4.2 million, which resulted in earnings of $0.30 and $0.29 per basic and diluted share, respectively. Net income margin increased to 18% from 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35% to $9.0 million. Adjusted EBITDA margin increased to 39% from 35%.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75% to $5.8 million, which resulted in adjusted earnings of $0.41 and $0.39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40% to $10.2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$45.4 million as of September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Third Quarter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Added 304 customers to IDI during the third quarter, ending the quarter with 9,853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25,538 users to FOREWARN during the third quarter, ending the quarter with 372,209 users. Over 590 REALTOR</w:t>
      </w:r>
      <w:r>
        <w:rPr>
          <w:rFonts w:ascii="Times New Roman" w:hAnsi="Times New Roman"/>
          <w:color w:val="000000"/>
          <w:sz w:val="13"/>
        </w:rPr>
        <w:t>®</w:t>
      </w:r>
      <w:r>
        <w:rPr>
          <w:color w:val="000000"/>
        </w:rPr>
        <w:t xml:space="preserve"> </w:t>
      </w:r>
      <w:r>
        <w:rPr>
          <w:rFonts w:ascii="Times New Roman" w:hAnsi="Times New Roman"/>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the Stock Repurchase Program authorization by $15.0 million, bringing the total authorized to $30.0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Purchased 15,437 shares of the Company’s common stock during the third quarter at an average price of $42.26 per share pursuant to the Company’s Stock Repurchase Program. The Company has $18.9 million remaining under the Stock Repurchase Program.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acquisition-related costs, litigation costs, and write-off of long-lived assets. We define adjusted EBITDA margin as adjusted EBITDA as a percentage of revenue. Adjusted net income is a non-GAAP financial measure equal to net income, the most directly comparable financial measure based on US GAAP, adjusted to exclude share-based compensation expense, amortization of share-based compensation capitalized in intangible assets, acquisition-related costs, litigation costs, and write-off of long-lived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rPr/>
      </w:pPr>
      <w:r>
        <w:rPr/>
        <w:t> </w:t>
      </w:r>
    </w:p>
    <w:tbl>
      <w:tblPr>
        <w:tblW w:w="9140" w:type="dxa"/>
        <w:jc w:val="left"/>
        <w:tblInd w:w="0" w:type="dxa"/>
        <w:tblLayout w:type="fixed"/>
        <w:tblCellMar>
          <w:top w:w="28" w:type="dxa"/>
          <w:left w:w="28" w:type="dxa"/>
          <w:bottom w:w="28" w:type="dxa"/>
          <w:right w:w="28" w:type="dxa"/>
        </w:tblCellMar>
      </w:tblPr>
      <w:tblGrid>
        <w:gridCol w:w="2986"/>
        <w:gridCol w:w="146"/>
        <w:gridCol w:w="258"/>
        <w:gridCol w:w="828"/>
        <w:gridCol w:w="332"/>
        <w:gridCol w:w="178"/>
        <w:gridCol w:w="258"/>
        <w:gridCol w:w="828"/>
        <w:gridCol w:w="271"/>
        <w:gridCol w:w="146"/>
        <w:gridCol w:w="250"/>
        <w:gridCol w:w="800"/>
        <w:gridCol w:w="321"/>
        <w:gridCol w:w="172"/>
        <w:gridCol w:w="250"/>
        <w:gridCol w:w="800"/>
        <w:gridCol w:w="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25,004</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23,083</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rPr/>
      </w:pPr>
      <w:r>
        <w:rPr/>
        <w:t> </w:t>
      </w:r>
    </w:p>
    <w:tbl>
      <w:tblPr>
        <w:tblW w:w="9912" w:type="dxa"/>
        <w:jc w:val="left"/>
        <w:tblInd w:w="0" w:type="dxa"/>
        <w:tblLayout w:type="fixed"/>
        <w:tblCellMar>
          <w:top w:w="28" w:type="dxa"/>
          <w:left w:w="28" w:type="dxa"/>
          <w:bottom w:w="28" w:type="dxa"/>
          <w:right w:w="28" w:type="dxa"/>
        </w:tblCellMar>
      </w:tblPr>
      <w:tblGrid>
        <w:gridCol w:w="3631"/>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share-based compensation </w:t>
              <w:br/>
              <w:t>  capitalized in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13,782,476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13,852,947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14,311,575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14,224,285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tax effect of adjustments is calculated using the expected federal and state statutory tax rate. The expected federal and state income tax rate was approximately 26.00% for the three and nine months ended September 30, 2025 and 2024.</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tbl>
      <w:tblPr>
        <w:tblW w:w="10205" w:type="dxa"/>
        <w:jc w:val="left"/>
        <w:tblInd w:w="0" w:type="dxa"/>
        <w:tblLayout w:type="fixed"/>
        <w:tblCellMar>
          <w:top w:w="28" w:type="dxa"/>
          <w:left w:w="28" w:type="dxa"/>
          <w:bottom w:w="28" w:type="dxa"/>
          <w:right w:w="28" w:type="dxa"/>
        </w:tblCellMar>
      </w:tblPr>
      <w:tblGrid>
        <w:gridCol w:w="4166"/>
        <w:gridCol w:w="146"/>
        <w:gridCol w:w="250"/>
        <w:gridCol w:w="805"/>
        <w:gridCol w:w="322"/>
        <w:gridCol w:w="173"/>
        <w:gridCol w:w="250"/>
        <w:gridCol w:w="805"/>
        <w:gridCol w:w="271"/>
        <w:gridCol w:w="146"/>
        <w:gridCol w:w="233"/>
        <w:gridCol w:w="812"/>
        <w:gridCol w:w="299"/>
        <w:gridCol w:w="161"/>
        <w:gridCol w:w="233"/>
        <w:gridCol w:w="812"/>
        <w:gridCol w:w="321"/>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23,083</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66,860</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related to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 of certain intangible</w:t>
              <w:br/>
              <w:t>  assets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19,425</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55,957</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45,099</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Depreciation and amortization of certain intangible assets primarily consists of the amortization of capitalized internal-use software development costs, which are included within intangible assets and amortized over their estimated useful lives.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9831" w:type="dxa"/>
        <w:jc w:val="left"/>
        <w:tblInd w:w="0" w:type="dxa"/>
        <w:tblLayout w:type="fixed"/>
        <w:tblCellMar>
          <w:top w:w="28" w:type="dxa"/>
          <w:left w:w="28" w:type="dxa"/>
          <w:bottom w:w="28" w:type="dxa"/>
          <w:right w:w="28" w:type="dxa"/>
        </w:tblCellMar>
      </w:tblPr>
      <w:tblGrid>
        <w:gridCol w:w="3886"/>
        <w:gridCol w:w="146"/>
        <w:gridCol w:w="277"/>
        <w:gridCol w:w="889"/>
        <w:gridCol w:w="218"/>
        <w:gridCol w:w="192"/>
        <w:gridCol w:w="277"/>
        <w:gridCol w:w="830"/>
        <w:gridCol w:w="166"/>
        <w:gridCol w:w="146"/>
        <w:gridCol w:w="262"/>
        <w:gridCol w:w="841"/>
        <w:gridCol w:w="206"/>
        <w:gridCol w:w="181"/>
        <w:gridCol w:w="262"/>
        <w:gridCol w:w="841"/>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and share-based compensation expense, and the impact of other items not indicative of our ongoing operating performance.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amortization of share-based compensation capitalized in intangible assets, and other items not indicative of our ongoing operating performance,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Three months ended September 30, 2025 compared to three months ended September 30, 2024</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increased $4.0 million, or 21%, to $23.1 million for the three months ended September 30, 2025, compared to $19.1 million for the same period in 2024. The increase was driven by volume expansion across the existing customer base, partially offset by the decrease in revenue from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existing customers increased $4.1 million, or 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new customers decreased $0.1 million, or 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Beginning in the first quarter of 2025, we consolidated our prior base revenue and growth revenue categories into a single revenue from existing customers metric to provide a more streamlined and meaningful view of ongoing customer contribution.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2025, our IDI billable customer base increased to 9,853 customers, up from 8,743 customers a year earlier. Our FOREWARN user base increased to 372,209 users, up from 284,967 users a year earlier.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 (exclusive of 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revenue (exclusive of depreciation and amortization) increased $0.3 million, or 9%, to $3.6 million for the three months ended September 30, 2025, compared to $3.3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cost of revenue primarily consists of data acquisition costs, which includes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46% and 48% of our total data acquisition costs for the three months ended September 30, 2025 and 2024, respectively. Effective on May 1, 2025, we entered into an amendment with our largest data supplier, extending the term of the agreement through April 30, 2031.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 components of our cost of revenue include cloud infrastructure fees and pertinent personnel-related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Due to the fixed-cost nature of our primary data licensing structure, cost of revenue as a percentage of revenue decreased to 16% for the three months ended September 30, 2025, compared to 17% for the same period in 2024. We expect this percentage to continue to decline over time as our revenue increases.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increased $0.6 million, or 12%, to $5.4 million for the three months ended September 30, 2025, compared to $4.8 million for the same period in 2024. The increase reflects our continued investment in expanding our go-to-market capabilities to support long-term revenue growth.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include personnel-related expenses, advertising, marketing and agency expenses, travel expenses, and share-based compensation expense incurred by our sales team, and provision for bad debts.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$0.3 million in personnel-related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$0.1 million in advertising, marketing and agency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$0.8 million, or 13%, to $6.8 million for the three months ended September 30, 2025, compared to $6.0 million for the same period in 2024. The increase reflects higher personnel-related expenses to support the continued growth of the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September 30, 2025 and 2024, general and administrative expenses consisted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of $3.5 million and $2.9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of $1.5 million and $1.5 million,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of $1.2 million and $0.9 million,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Depreciation and amortization expenses increased $0.3 million, or 11%, to $2.7 million for the three months ended September 30, 2025, compared to $2.4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 the amortization of intangible assets that became ready for their intended use after September 30,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remained consistent at $0.4 million for the three months ended September 30, 2025 and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interest income was primarily attributable to yields on money market fund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before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before income taxes increased $2.1 million, or 74%, to $5.0 million for the three months ended September 30, 2025, compared to $2.9 million for the same period in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$4.0 million in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$0.3 million in cost of revenue (exclusive of depreciation and amortization);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$0.9 million in personnel-related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$0.3 million in professional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$0.3 million in depreciation and amortization expense.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was $0.7 million for the three months ended September 30, 2025, compared to $1.1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in income tax expense was primarily attributable to a decrease in the effective tax rate to 15% for the three months ended September 30, 2025 from 40% for the same period in 2024, partially offset by higher pre-tax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4, 2025, the One Big Beautiful Bill Act (the "OBBBA") was enacted into law. The OBBBA makes permanent key elements of the Tax Cuts and Jobs Act, including the full expensing of domestic research and experimentation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refer to Note 6, “Income taxes,” in the “Notes to Condensed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income increased $2.5 million, or 145%, to $4.2 million for the three months ended September 30, 2025, compared to $1.7 million for the same period in 2024, as a result of the foregoing.</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Nine months ended September 30, 2025 compared to nine months ended September 30,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increased $11.3 million, or 20%, to $66.9 million for the nine months ended September 30, 2025, compared to $55.6 million for the same period in 2024. The increase was driven by strong onboarding of new customers and volume expansion across the existing customer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new customers increased $0.9 million, or 17%.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existing customers increased $10.4 million, or 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new customers represents total monthly revenue generated from customers during their first six full calendar months of revenue contribution. Revenue from existing customers represents total monthly revenue generated from customers beginning in their seventh full calendar month of revenue contribution.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Beginning in the first quarter of 2025, we consolidated our prior base revenue and growth revenue categories into a single revenue from existing customers metric to provide a more streamlined and meaningful view of ongoing customer contribution.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2025, our IDI billable customer base increased to 9,853 customers, up from 8,743 customers a year earlier. Our FOREWARN user base increased to 372,209 users, up from 284,967 users a year earlier.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 (exclusive of 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revenue (exclusive of depreciation and amortization) increased $0.3 million, or 2%, to $10.8 million for the nine months ended September 30, 2025, compared to $10.5 million for the same period in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cost of revenue primarily consists of data acquisition costs, which includes the cost to acquire data under flat-fee licensing agreements, including unlimited usage arrangements, as well as purchases on a transactional basis. We continue to enhance the breadth and depth of our data by the addition and expansion of relationships with key data suppliers, including our largest data supplier, which accounted for 45% of our total data acquisition costs for the nine months ended September 30, 2025 and 2024. Effective on May 1, 2025, we entered into an amendment with our largest data supplier, extending the term of the agreement through April 30, 2031.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 components of our cost of revenue include cloud infrastructure fees and pertinent personnel-related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Due to the fixed-cost nature of our primary data licensing structure, cost of revenue as a percentage of revenue decreased to 16% for the nine months ended September 30, 2025, compared to 19% for the same period in 2024. We expect this percentage to continue to decline over time as our revenue increases.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increased $3.5 million, or 27%, to $16.4 million for the nine months ended September 30, 2025, compared to $12.9 million for the same period in 2024. The increase reflects our continued investment in expanding our go-to-market capabilities to support long-term revenue growth.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include personnel-related expenses, advertising, marketing and agency expenses, travel expenses, and share-based compensation expense incurred by our sales team, and provision for bad debts.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$2.9 million in personnel-related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$0.2 million in advertising, marketing and agency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$0.2 million in share-based compensation expense.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$2.7 million, or 15%, to $20.2 million for the nine months ended September 30, 2025, compared to $17.5 million for the same period in 2024. The increase reflects higher personnel-related expenses and share-based compensation expense to support the continued growth of the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2025 and 2024, general and administrative expenses consisted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of $10.0 million and $8.5 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of $4.5 million and $4.0 million, respectively;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of $3.8 million and $3.1 million, respectively. Professional fees included $0.4 million and $0, respectively, of acquisition-related costs incurred in connection with the due diligence of potential strategic targets.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Depreciation and amortization expenses increased $0.8 million, or 12%, to $7.9 million for the nine months ended September 30, 2025, compared to $7.1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 the amortization of intangible assets that became ready for their intended use after September 30,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remained consistent at $1.0 million for the nine months ended September 30, 2025 and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interest income was primarily attributable to yields on money market fund investments.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before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before income taxes increased $4.0 million, or 46%, to $12.6 million for the nine months ended September 30, 2025, compared to $8.6 million for the same period in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$11.3 million in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$0.3 million in cost of revenue (exclusive of depreciation and amortization);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$4.4 million in personnel-related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$0.7 million in professional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$0.7 million in share-based compensation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$0.8 million in depreciation and amortization expense.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was $2.2 million for the nine months ended September 30, 2025, compared to $2.4 million for the same period in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in income tax expense was primarily driven by a decrease in the effective tax rate to 18% for the nine months ended September 30, 2025 from 28% for the same period in 2024, partially offset by higher pre-tax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4, 2025, the OBBBA was enacted into law, which makes permanent key elements of the Tax Cuts and Jobs Act, including the full expensing of domestic research and experimentation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refer to Note 6, “Income taxes,” in the “Notes to Condensed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income increased $4.2 million, or 68%, to $10.3 million for the nine months ended September 30, 2025, compared to $6.1 million for the same period in 2024, as a result of the foregoing.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Effect of Inflation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persistent inflationary pressures throughout 2024 and into the nine months ended September 30, 2025 have contributed to a more challenging macroeconomic environment, increasing recessionary concerns and prompting some businesses to moderate discretionary spending. These conditions have resulted in — and may continue to contribute to — fluctuations in transaction volumes, pricing dynamics, and operating margins across our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elevated interest rates implemented to curb inflation may reduce the demand for credit, which could in turn lead to lower usage of our services by customers in the banking, financial services, and adjacent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Despite these broader market dynamics, inflation has not had a material impact on our financial results to date. Where feasible, we have taken proactive steps to mitigate inflation-related cost increases, including implementing pricing adjustments where permitted under contract terms and competitive conditions.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2025, net cash provided by operating activities was $22.7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$10.3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adjustments totaling $15.8 million, including share-based compensation expense, depreciation and amortization, write-off of long-lived assets, provision for bad debts, noncash lease expenses, and deferred 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assets and liabilities, which resulted in a net use of cash of $3.5 million, primarily due to an increase in accounts receivable, and prepaid expenses and other current assets, and a decrease in accrued expenses and other current liabilities and operating lease liabilities, partially offset by the increase in accounts payable.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2024, net cash provided by operating activities was $17.3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$6.1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adjustments totaling $14.4 million, including share-based compensation expense, depreciation and amortization, write-off of long-lived assets, provision for bad debts, noncash lease expenses, and deferred 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assets and liabilities, which resulted in a net use of cash of $3.3 million, primarily due to an increase in accounts receivable, prepaid expenses and other current assets, and other noncurrent assets, and a decrease in accrued expenses and other current liabilities and operating lease liabilities, partially offset by the increase in accounts payable.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2025 and 2024, net cash used in investing activities was $8.1 million and $7.3 million, respectively, primarily as a result of capitalized costs included in intangible assets.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used in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2025, net cash used in financing activities was $5.7 million. This was primarily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payment of a special cash dividend totaling $4.2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 paid in connection with the net share settlement of vesting RSUs totaling $0.9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repurchases totaling $0.7 million, conducted pursuant to our Stock Repurchase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3, 2024, we declared a special cash dividend of $0.30 per share on our common stock to shareholders of record as of January 31, 2025. The dividend, totaling $4.2 million, was paid on February 14,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Stock Repurchase Program was originally authorized by the Board of Directors on May 2, 2022, permitting repurchases of up to $5.0 million of our common stock. On December 19, 2023, and again on March 28, 2024, the Board of Directors approved additional authorizations of $5.0 million each, expanding the total program size.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nine months ended September 30, 2024, net cash used in financing activities was $6.3 million. This was primarily driven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repurchases totaling $5.9 million, conducted pursuant to our Stock Repurchase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 paid in connection with the net share settlement of vesting RSUs totaling $0.4 million.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2025, we had material commitments under data licensing agreements and a cloud service agreement totaling $44.9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fund these commitments, as well as our ongoing operating and capital requirements, using available cash on hand and cash flows generated from operations over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reported net income of $4.2 million and $1.7 million for the three months ended September 30, 2025 and 2024, respectively, and net income of $10.3 million and $6.1 million for the nine months ended September 30, 2025 and 2024, respectively. As of September 30, 2025, we had total shareholders’ equity of $101.7 million and cash and cash equivalents of $45.4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our projected growth in revenue and operating results over the next twelve months, and the available cash on hand, we believe that our existing resources will be sufficient to fund operations and expected capital expenditures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we anticipate continuing to fund our business through internally generated cash flows, future capital needs may arise based on the pace of revenue growth, investment in technology, or strategic initiatives. In such cases, we may seek to raise additional capital through the issuance of equity and/or debt securities. However, any such financing, if available, could result in dilution to existing stockholders and may involve terms that are not favorable to the Company.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2025, we did not have any off-balance sheet arrangements, as defined in Item 303 of Regulation S-K.</w:t>
      </w:r>
    </w:p>
    <w:p>
      <w:pPr>
        <w:pStyle w:val="TextBody"/>
        <w:bidi w:val="0"/>
        <w:spacing w:before="20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include information required by this item.</w:t>
      </w:r>
    </w:p>
    <w:p>
      <w:pPr>
        <w:pStyle w:val="TextBody"/>
        <w:bidi w:val="0"/>
        <w:spacing w:before="20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the Company’s Chief Executive Officer and Chief Financial Officer, evaluated the effectiveness of the Company’s disclosure controls and procedures (as defined in Rules 13a-15(e) and 15d–15(e) of the Exchange Act) as of September 30, 2025.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identified in connection with management's evaluation pursuant to Rules 13a-15(d) or 15d-15(d) of the Exchange Act during the quarter ended September 30, 2025 that materially affected, or are reasonably likely to materially affect, our internal control over financial reporting.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Limitations on Effectiveness of Controls and Procedures and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Information with respect to certain legal proceedings is included in Note 11, “Commitments and contingencies,” included in “Notes to Condensed Consolidated Financial Statements” contained in Part I, Item 1 of this Form 10-Q, and is incorporated herein by reference.</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risk factors previously disclosed in the Company’s Annual Report on Form 10-K for the year ended December 31, 2024 filed with the SEC on February 27, 2025.</w:t>
      </w:r>
    </w:p>
    <w:p>
      <w:pPr>
        <w:pStyle w:val="TextBody"/>
        <w:bidi w:val="0"/>
        <w:spacing w:before="20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information relating to the Company's repurchase of common stock during the three months ended September 30, 2025 pursuant to the Stock Repurchase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3"/>
        <w:gridCol w:w="146"/>
        <w:gridCol w:w="227"/>
        <w:gridCol w:w="1059"/>
        <w:gridCol w:w="146"/>
        <w:gridCol w:w="146"/>
        <w:gridCol w:w="318"/>
        <w:gridCol w:w="862"/>
        <w:gridCol w:w="146"/>
        <w:gridCol w:w="146"/>
        <w:gridCol w:w="397"/>
        <w:gridCol w:w="1847"/>
        <w:gridCol w:w="146"/>
        <w:gridCol w:w="146"/>
        <w:gridCol w:w="479"/>
        <w:gridCol w:w="2115"/>
        <w:gridCol w:w="196"/>
      </w:tblGrid>
      <w:tr>
        <w:trPr/>
        <w:tc>
          <w:tcPr>
            <w:tcW w:w="1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price paid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2025 -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2025 - August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3,924,228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2025 -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3,924,228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Exclusive of commission fees incurred in relation to the repurchase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 2022, the Board of Directors of the Company authorized the Stock Repurchase Program to repurchase the Company's common stock from time to time through open market purchases, privately negotiated transactions or other means, including through Rule 10b5-1 trading plans, which was subsequently amended on each of December 19, 2023 and March 28, 2024. The Stock Repurchase Program does not obligate the Company to repurchase any shares and it may be modified, suspended, or terminated at any time and for any reason at the discretion of the board of directors. On November 3, 2025, the Board of Directors further authorized the repurchase of an additional $15.0 million under the Stock Repurchase Program, bringing the total authorization to $30.0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September 30, 2025, the 15,437 shares repurchased were made in open-market transactions outside of any Rule 10b5-1 trading plan. Such repurchases were made in accordance with the limitations set forth in Rule 10b-18 and applicable securities laws. Since the inception of the Stock Repurchase Program and through September 30, 2025, the Company has purchased a total of $11.1 million of common stock at an average price of $20.00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mentioned above.</w:t>
      </w:r>
    </w:p>
    <w:p>
      <w:pPr>
        <w:pStyle w:val="TextBody"/>
        <w:bidi w:val="0"/>
        <w:spacing w:before="20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officers or directors had any contract, instruction, or written plan for the purchase or sale of our securities that was intended to satisfy the affirmative defense conditions of Rule 10b5-1(c) or any “non-Rule 10b5-1 trading arrangement” in effect at any time during the quarter ended September 30, 2025.</w:t>
      </w:r>
    </w:p>
    <w:p>
      <w:pPr>
        <w:pStyle w:val="TextBody"/>
        <w:bidi w:val="0"/>
        <w:spacing w:before="20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
        <w:gridCol w:w="146"/>
        <w:gridCol w:w="6031"/>
        <w:gridCol w:w="146"/>
        <w:gridCol w:w="421"/>
        <w:gridCol w:w="146"/>
        <w:gridCol w:w="409"/>
        <w:gridCol w:w="146"/>
        <w:gridCol w:w="556"/>
        <w:gridCol w:w="146"/>
        <w:gridCol w:w="570"/>
        <w:gridCol w:w="146"/>
        <w:gridCol w:w="693"/>
      </w:tblGrid>
      <w:tr>
        <w:trPr/>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w:t>
            </w:r>
          </w:p>
        </w:tc>
      </w:tr>
      <w:tr>
        <w:trPr/>
        <w:tc>
          <w:tcPr>
            <w:tcW w:w="6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Herewith</w:t>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1.htm">
              <w:r>
                <w:rPr>
                  <w:rStyle w:val="InternetLink"/>
                  <w:rFonts w:ascii="Times New Roman" w:hAnsi="Times New Roman"/>
                  <w:color w:val="0000FF"/>
                  <w:sz w:val="16"/>
                  <w:u w:val="single"/>
                </w:rPr>
                <w:t>Certification of Chief Executive Officer filed pursuant to Exchange Act Rules 13a-14(a) and 15d-14(a) of the Securities Exchange Act of 1934 as adopted pursuant to Section 302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2.htm">
              <w:r>
                <w:rPr>
                  <w:rStyle w:val="InternetLink"/>
                  <w:rFonts w:ascii="Times New Roman" w:hAnsi="Times New Roman"/>
                  <w:color w:val="0000FF"/>
                  <w:sz w:val="16"/>
                  <w:u w:val="single"/>
                </w:rPr>
                <w:t>Certification of Chief Financial Officer filed pursuant to Exchange Act Rules 13a-14(a) and 15d-14(a)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1.htm">
              <w:r>
                <w:rPr>
                  <w:rStyle w:val="InternetLink"/>
                  <w:rFonts w:ascii="Times New Roman" w:hAnsi="Times New Roman"/>
                  <w:color w:val="0000FF"/>
                  <w:sz w:val="16"/>
                  <w:u w:val="single"/>
                </w:rPr>
                <w:t>Certification by Chief Executive Officer pursuant to 18 U.S.C. Section 1350, as adopted pursuant to Section 906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2.htm">
              <w:r>
                <w:rPr>
                  <w:rStyle w:val="InternetLink"/>
                  <w:rFonts w:ascii="Times New Roman" w:hAnsi="Times New Roman"/>
                  <w:color w:val="0000FF"/>
                  <w:sz w:val="16"/>
                  <w:u w:val="single"/>
                </w:rPr>
                <w:t>Certification by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1621"/>
        <w:gridCol w:w="146"/>
        <w:gridCol w:w="406"/>
        <w:gridCol w:w="146"/>
        <w:gridCol w:w="376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November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bookmarkStart w:id="22" w:name="rdvt-ex31_1.htm"/>
      <w:bookmarkStart w:id="23" w:name="ksrdvt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Derek Dubner,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49" w:type="dxa"/>
        <w:jc w:val="left"/>
        <w:tblInd w:w="0" w:type="dxa"/>
        <w:tblLayout w:type="fixed"/>
        <w:tblCellMar>
          <w:top w:w="28" w:type="dxa"/>
          <w:left w:w="28" w:type="dxa"/>
          <w:bottom w:w="28" w:type="dxa"/>
          <w:right w:w="28" w:type="dxa"/>
        </w:tblCellMar>
      </w:tblPr>
      <w:tblGrid>
        <w:gridCol w:w="1621"/>
        <w:gridCol w:w="406"/>
        <w:gridCol w:w="146"/>
        <w:gridCol w:w="2476"/>
      </w:tblGrid>
      <w:tr>
        <w:trPr/>
        <w:tc>
          <w:tcPr>
            <w:tcW w:w="16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rdvt-ex31_2.htm"/>
      <w:bookmarkStart w:id="25" w:name="ksrdv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Daniel MacLachlan,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39" w:type="dxa"/>
        <w:jc w:val="left"/>
        <w:tblInd w:w="0" w:type="dxa"/>
        <w:tblLayout w:type="fixed"/>
        <w:tblCellMar>
          <w:top w:w="28" w:type="dxa"/>
          <w:left w:w="28" w:type="dxa"/>
          <w:bottom w:w="28" w:type="dxa"/>
          <w:right w:w="28" w:type="dxa"/>
        </w:tblCellMar>
      </w:tblPr>
      <w:tblGrid>
        <w:gridCol w:w="1621"/>
        <w:gridCol w:w="406"/>
        <w:gridCol w:w="146"/>
        <w:gridCol w:w="3766"/>
      </w:tblGrid>
      <w:tr>
        <w:trPr/>
        <w:tc>
          <w:tcPr>
            <w:tcW w:w="16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rdvt-ex32_1.htm"/>
      <w:bookmarkStart w:id="27" w:name="ksrdvt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September 30, 2025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4649" w:type="dxa"/>
        <w:jc w:val="left"/>
        <w:tblInd w:w="0" w:type="dxa"/>
        <w:tblLayout w:type="fixed"/>
        <w:tblCellMar>
          <w:top w:w="28" w:type="dxa"/>
          <w:left w:w="28" w:type="dxa"/>
          <w:bottom w:w="28" w:type="dxa"/>
          <w:right w:w="28" w:type="dxa"/>
        </w:tblCellMar>
      </w:tblPr>
      <w:tblGrid>
        <w:gridCol w:w="1621"/>
        <w:gridCol w:w="406"/>
        <w:gridCol w:w="146"/>
        <w:gridCol w:w="2476"/>
      </w:tblGrid>
      <w:tr>
        <w:trPr/>
        <w:tc>
          <w:tcPr>
            <w:tcW w:w="16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dvt-ex32_2.htm"/>
      <w:bookmarkStart w:id="29" w:name="ksrdvt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September 30, 2025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5939" w:type="dxa"/>
        <w:jc w:val="left"/>
        <w:tblInd w:w="0" w:type="dxa"/>
        <w:tblLayout w:type="fixed"/>
        <w:tblCellMar>
          <w:top w:w="28" w:type="dxa"/>
          <w:left w:w="28" w:type="dxa"/>
          <w:bottom w:w="28" w:type="dxa"/>
          <w:right w:w="28" w:type="dxa"/>
        </w:tblCellMar>
      </w:tblPr>
      <w:tblGrid>
        <w:gridCol w:w="1621"/>
        <w:gridCol w:w="406"/>
        <w:gridCol w:w="146"/>
        <w:gridCol w:w="3766"/>
      </w:tblGrid>
      <w:tr>
        <w:trPr/>
        <w:tc>
          <w:tcPr>
            <w:tcW w:w="16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15625</Words>
  <Characters>85554</Characters>
  <CharactersWithSpaces>101986</CharactersWithSpaces>
  <Paragraphs>4757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