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2"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-293370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-102235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r>
      <w:tr>
        <w:trPr>
          <w:trHeight w:val="345"/>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2"/>
          </w:tcPr>
          <w:p>
            <w:pPr>
              <w:ind w:left="780"/>
              <w:spacing w:after="0"/>
              <w:rPr>
                <w:sz w:val="20"/>
                <w:szCs w:val="20"/>
                <w:color w:val="auto"/>
              </w:rPr>
            </w:pPr>
            <w:r>
              <w:rPr>
                <w:rFonts w:ascii="Arial" w:cs="Arial" w:eastAsia="Arial" w:hAnsi="Arial"/>
                <w:sz w:val="18"/>
                <w:szCs w:val="18"/>
                <w:b w:val="1"/>
                <w:bCs w:val="1"/>
                <w:color w:val="auto"/>
                <w:w w:val="89"/>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RED VIOLET, INC.</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120"/>
          </w:cols>
          <w:pgMar w:left="320" w:top="373" w:right="459" w:bottom="1440" w:gutter="0" w:footer="0" w:header="0"/>
        </w:sectPr>
      </w:pPr>
    </w:p>
    <w:p>
      <w:pPr>
        <w:spacing w:after="0" w:line="192"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82-2408531</w:t>
      </w:r>
    </w:p>
    <w:p>
      <w:pPr>
        <w:spacing w:after="0" w:line="82" w:lineRule="exact"/>
        <w:rPr>
          <w:sz w:val="24"/>
          <w:szCs w:val="24"/>
          <w:color w:val="auto"/>
        </w:rPr>
      </w:pPr>
    </w:p>
    <w:p>
      <w:pPr>
        <w:sectPr>
          <w:pgSz w:w="11900" w:h="16838" w:orient="portrait"/>
          <w:cols w:equalWidth="0" w:num="2">
            <w:col w:w="7340" w:space="720"/>
            <w:col w:w="3060"/>
          </w:cols>
          <w:pgMar w:left="320" w:top="373" w:right="45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98" w:lineRule="exact"/>
        <w:rPr>
          <w:sz w:val="24"/>
          <w:szCs w:val="24"/>
          <w:color w:val="auto"/>
        </w:rPr>
      </w:pPr>
    </w:p>
    <w:p>
      <w:pPr>
        <w:sectPr>
          <w:pgSz w:w="11900" w:h="16838" w:orient="portrait"/>
          <w:cols w:equalWidth="0" w:num="2">
            <w:col w:w="6680" w:space="720"/>
            <w:col w:w="3720"/>
          </w:cols>
          <w:pgMar w:left="320" w:top="373"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2650 North Military Trail, Suite 300, Boca Raton, Florida 33431</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(561) 757-4000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56515</wp:posOffset>
            </wp:positionV>
            <wp:extent cx="2263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24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3"/>
                <w:szCs w:val="13"/>
                <w:color w:val="auto"/>
              </w:rPr>
              <w:t>Name of each exchange on which registered</w:t>
            </w:r>
          </w:p>
        </w:tc>
      </w:tr>
      <w:tr>
        <w:trPr>
          <w:trHeight w:val="196"/>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24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The NASDAQ Stock Market LLC</w:t>
            </w:r>
          </w:p>
        </w:tc>
      </w:tr>
    </w:tbl>
    <w:p>
      <w:pPr>
        <w:spacing w:after="0" w:line="94"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20" w:type="dxa"/>
            <w:vAlign w:val="bottom"/>
          </w:tcPr>
          <w:p>
            <w:pPr>
              <w:ind w:left="24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4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7, 2020, the registrant had 12,137,576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73"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FOR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40" w:type="dxa"/>
            <w:vAlign w:val="bottom"/>
            <w:gridSpan w:val="7"/>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0440" w:type="dxa"/>
            <w:vAlign w:val="bottom"/>
            <w:gridSpan w:val="7"/>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24"/>
                <w:szCs w:val="24"/>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December 31, 2019</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2"/>
                <w:szCs w:val="22"/>
                <w:color w:val="auto"/>
              </w:rPr>
            </w:pPr>
          </w:p>
        </w:tc>
        <w:tc>
          <w:tcPr>
            <w:tcW w:w="9600" w:type="dxa"/>
            <w:vAlign w:val="bottom"/>
            <w:gridSpan w:val="6"/>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and six months ended June 30, 2020 and 2019</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0" w:type="dxa"/>
            <w:vAlign w:val="bottom"/>
            <w:gridSpan w:val="5"/>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changes in shareholders' equity for the three and six months ended June 30, 2020 and</w:t>
              </w:r>
            </w:hyperlink>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60" w:type="dxa"/>
            <w:vAlign w:val="bottom"/>
            <w:gridSpan w:val="2"/>
          </w:tcPr>
          <w:p>
            <w:pPr>
              <w:ind w:left="20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spacing w:after="0"/>
              <w:rPr>
                <w:sz w:val="24"/>
                <w:szCs w:val="24"/>
                <w:color w:val="auto"/>
              </w:rPr>
            </w:pPr>
          </w:p>
        </w:tc>
        <w:tc>
          <w:tcPr>
            <w:tcW w:w="9600" w:type="dxa"/>
            <w:vAlign w:val="bottom"/>
            <w:gridSpan w:val="6"/>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six months ended June 30, 2020 and 2019</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22"/>
                <w:szCs w:val="22"/>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22"/>
                <w:szCs w:val="22"/>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Quantitative and Qualitative Disclosures About Market Risk</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22"/>
                <w:szCs w:val="22"/>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78"/>
        </w:trPr>
        <w:tc>
          <w:tcPr>
            <w:tcW w:w="10440" w:type="dxa"/>
            <w:vAlign w:val="bottom"/>
            <w:gridSpan w:val="7"/>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PART II -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24"/>
                <w:szCs w:val="24"/>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200" w:type="dxa"/>
            <w:vAlign w:val="bottom"/>
          </w:tcPr>
          <w:p>
            <w:pPr>
              <w:spacing w:after="0"/>
              <w:rPr>
                <w:sz w:val="22"/>
                <w:szCs w:val="22"/>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22"/>
                <w:szCs w:val="22"/>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Unregistered Sales of Equity Securities and Use of Proceeds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22"/>
                <w:szCs w:val="22"/>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Defaults Upon Senior Securities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8"/>
                <w:szCs w:val="18"/>
                <w:color w:val="auto"/>
              </w:rPr>
            </w:pPr>
          </w:p>
        </w:tc>
        <w:tc>
          <w:tcPr>
            <w:tcW w:w="9400" w:type="dxa"/>
            <w:vAlign w:val="bottom"/>
            <w:gridSpan w:val="5"/>
          </w:tcPr>
          <w:p>
            <w:pPr>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Mine Safety Disclosure</w:t>
              </w:r>
            </w:hyperlink>
            <w:r>
              <w:rPr>
                <w:rFonts w:ascii="Arial" w:cs="Arial" w:eastAsia="Arial" w:hAnsi="Arial"/>
                <w:sz w:val="18"/>
                <w:szCs w:val="18"/>
                <w:color w:val="000000"/>
              </w:rPr>
              <w:t>s</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200" w:type="dxa"/>
            <w:vAlign w:val="bottom"/>
          </w:tcPr>
          <w:p>
            <w:pPr>
              <w:spacing w:after="0"/>
              <w:rPr>
                <w:sz w:val="24"/>
                <w:szCs w:val="24"/>
                <w:color w:val="auto"/>
              </w:rPr>
            </w:pPr>
          </w:p>
        </w:tc>
        <w:tc>
          <w:tcPr>
            <w:tcW w:w="1700" w:type="dxa"/>
            <w:vAlign w:val="bottom"/>
            <w:gridSpan w:val="2"/>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Other Information</w:t>
              </w:r>
            </w:hyperlink>
          </w:p>
        </w:tc>
        <w:tc>
          <w:tcPr>
            <w:tcW w:w="60" w:type="dxa"/>
            <w:vAlign w:val="bottom"/>
            <w:tcBorders>
              <w:top w:val="single" w:sz="8" w:color="auto"/>
            </w:tcBorders>
          </w:tcPr>
          <w:p>
            <w:pPr>
              <w:spacing w:after="0"/>
              <w:rPr>
                <w:sz w:val="24"/>
                <w:szCs w:val="24"/>
                <w:color w:val="auto"/>
              </w:rPr>
            </w:pPr>
          </w:p>
        </w:tc>
        <w:tc>
          <w:tcPr>
            <w:tcW w:w="764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200" w:type="dxa"/>
            <w:vAlign w:val="bottom"/>
          </w:tcPr>
          <w:p>
            <w:pPr>
              <w:spacing w:after="0"/>
              <w:rPr>
                <w:sz w:val="22"/>
                <w:szCs w:val="22"/>
                <w:color w:val="auto"/>
              </w:rPr>
            </w:pPr>
          </w:p>
        </w:tc>
        <w:tc>
          <w:tcPr>
            <w:tcW w:w="940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Exhibits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51"/>
        </w:trPr>
        <w:tc>
          <w:tcPr>
            <w:tcW w:w="10440" w:type="dxa"/>
            <w:vAlign w:val="bottom"/>
            <w:gridSpan w:val="7"/>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648"/>
        </w:trPr>
        <w:tc>
          <w:tcPr>
            <w:tcW w:w="840" w:type="dxa"/>
            <w:vAlign w:val="bottom"/>
          </w:tcPr>
          <w:p>
            <w:pPr>
              <w:spacing w:after="0"/>
              <w:rPr>
                <w:sz w:val="24"/>
                <w:szCs w:val="24"/>
                <w:color w:val="auto"/>
              </w:rPr>
            </w:pPr>
          </w:p>
        </w:tc>
        <w:tc>
          <w:tcPr>
            <w:tcW w:w="9120" w:type="dxa"/>
            <w:vAlign w:val="bottom"/>
            <w:gridSpan w:val="5"/>
          </w:tcPr>
          <w:p>
            <w:pPr>
              <w:jc w:val="right"/>
              <w:ind w:right="430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FF0FC"/>
          </w:tcPr>
          <w:p>
            <w:pPr>
              <w:spacing w:after="0"/>
              <w:rPr>
                <w:sz w:val="19"/>
                <w:szCs w:val="19"/>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$53 and $40</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as of June 30, 2020 and December 31, 2019,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20"/>
                <w:szCs w:val="20"/>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26,394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24,034</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52,073</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tcPr>
          <w:p>
            <w:pPr>
              <w:spacing w:after="0"/>
              <w:rPr>
                <w:sz w:val="22"/>
                <w:szCs w:val="22"/>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portion of long-term loan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Long-term loan</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June 30, 2020 and December 31, 2019</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11,707,829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11,657,912 shares issued, 11,604,682 and 11,554,765 shares outstanding, as of</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June 30, 2020 and December 31, 2019</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103,147 shares as of June 30, 2020 and December 31, 2019</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(1,255)</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(1,255)</w:t>
            </w: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59,187</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(19,873)</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(15,860)</w:t>
            </w:r>
          </w:p>
        </w:tc>
      </w:tr>
      <w:tr>
        <w:trPr>
          <w:trHeight w:val="22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43,690</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52,073</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56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12,979</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FF0FC"/>
            </w:tcBorders>
          </w:tcPr>
          <w:p>
            <w:pPr>
              <w:spacing w:after="0"/>
              <w:rPr>
                <w:sz w:val="19"/>
                <w:szCs w:val="19"/>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18,284</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6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w:t>
            </w:r>
          </w:p>
        </w:tc>
        <w:tc>
          <w:tcPr>
            <w:tcW w:w="100" w:type="dxa"/>
            <w:vAlign w:val="bottom"/>
            <w:tcBorders>
              <w:bottom w:val="single" w:sz="8" w:color="CFF0FC"/>
            </w:tcBorders>
          </w:tcPr>
          <w:p>
            <w:pPr>
              <w:spacing w:after="0"/>
              <w:rPr>
                <w:sz w:val="22"/>
                <w:szCs w:val="22"/>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5660" w:type="dxa"/>
            <w:vAlign w:val="bottom"/>
          </w:tcPr>
          <w:p>
            <w:pPr>
              <w:spacing w:after="0"/>
              <w:rPr>
                <w:sz w:val="20"/>
                <w:szCs w:val="20"/>
                <w:color w:val="auto"/>
              </w:rPr>
            </w:pPr>
            <w:r>
              <w:rPr>
                <w:rFonts w:ascii="Arial" w:cs="Arial" w:eastAsia="Arial" w:hAnsi="Arial"/>
                <w:sz w:val="18"/>
                <w:szCs w:val="18"/>
                <w:color w:val="auto"/>
              </w:rPr>
              <w:t>Basic and diluted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11,617,342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10,298,613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11,600,278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10,283,232</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2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center"/>
              <w:ind w:right="6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9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860" w:type="dxa"/>
            <w:vAlign w:val="bottom"/>
            <w:gridSpan w:val="2"/>
          </w:tcPr>
          <w:p>
            <w:pPr>
              <w:jc w:val="center"/>
              <w:ind w:right="241"/>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10,286,613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(3,850)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10,286,613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11,693,162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(103,147)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(17,341)</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14,667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(2,532)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11,707,829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460" w:type="dxa"/>
            <w:vAlign w:val="bottom"/>
          </w:tcPr>
          <w:p>
            <w:pPr>
              <w:spacing w:after="0"/>
              <w:rPr>
                <w:sz w:val="24"/>
                <w:szCs w:val="24"/>
                <w:color w:val="auto"/>
              </w:rPr>
            </w:pPr>
          </w:p>
        </w:tc>
        <w:tc>
          <w:tcPr>
            <w:tcW w:w="22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center"/>
              <w:ind w:right="6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9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860" w:type="dxa"/>
            <w:vAlign w:val="bottom"/>
            <w:gridSpan w:val="2"/>
          </w:tcPr>
          <w:p>
            <w:pPr>
              <w:jc w:val="center"/>
              <w:ind w:right="241"/>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10,266,613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(5,228)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10,286,613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11,657,912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(103,147)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59,187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(15,860)</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49,917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11,707,829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80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(4,013)</w:t>
            </w: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1,902</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(927)</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(3,088)</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(3,149)</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(2,945)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loan</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(4,035)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11,776</w:t>
            </w: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13,782</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Red Violet, Inc. (“red violet” or the “Company”), a Delaware corporation, have been prepared in accordance with accounting principles generally accepted in the United States (“GAAP”) and applicable rules and regulations of the Securities and Exchange Commission regarding interim financial reporting. Certain information and note disclosures normally included in annual financial statements prepared in accordance with GAAP have been condensed or omitted pursuant to those rules and regulations.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2020.</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2019 (“2019 Form 10-K”).</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condensed consolidated balance sheet as of December 31, 2019 included herein was derived from the audited financial statements as of that date included in the 2019 Form 10-K, but does not include all disclosures required by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Recently issued accounting standards</w:t>
      </w:r>
    </w:p>
    <w:p>
      <w:pPr>
        <w:spacing w:after="0" w:line="25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231F20"/>
        </w:rPr>
        <w:t>As an emerging growth company, the Company has left open the opportunity to take advantage of the extended transition period provided to emerging growth companies in Section 13(a) of the Securities Exchange Act of 1934, as amended (the “Exchange Act”), however, it is the Company’s present intention to adopt any applicable new accounting standards timely.</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June 2016, FASB issued ASU No. 2016-13 (“ASU 2016-13”), </w:t>
      </w:r>
      <w:r>
        <w:rPr>
          <w:rFonts w:ascii="Arial" w:cs="Arial" w:eastAsia="Arial" w:hAnsi="Arial"/>
          <w:sz w:val="16"/>
          <w:szCs w:val="16"/>
          <w:i w:val="1"/>
          <w:iCs w:val="1"/>
          <w:color w:val="auto"/>
        </w:rPr>
        <w:t>“Financial Instruments - 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In November 2018, FASB issued ASU No. 2018-19, “Codification Improvements to Topic 326, Financial Instruments-Credit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became effective for public companies beginning January 1, 2020, and the Company adopted it on a modified retrospective approach. The guidance had no material impact on the Company’s condensed consolidated financial statements and related disclosures.</w:t>
      </w:r>
    </w:p>
    <w:p>
      <w:pPr>
        <w:spacing w:after="0" w:line="166"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 xml:space="preserve">In August 2018, FASB issued ASU No. 2018-15 (“ASU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which requires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in a hosting arrangement that is a service contract to follow the guidance in Subtopic 350-40 to determine which implementation costs to capitalize as an asset related to the service contract and which costs to expense. It also requires the entity (customer) to expense the capitalized implementation costs of a hosting arrangement that is a service contract over the term of the hosting arrangement, which includes reasonably certain renewals. This guidance will be effective for the Company for annual reporting periods beginning after December 15, 2020, on a retrospective or prospective basis and early adoption is permitted. The Company is currently evaluating the impact this guidance will have on its consolidated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Loss per share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Basic loss per share is computed by dividing net loss by the weighted average number of shares of common stock outstanding during the periods. Diluted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66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(3,850)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(4,013)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 xml:space="preserve">Weighted average shares outstanding - Basic and diluted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11,617,342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10,298,613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11,600,278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10,283,232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Basic and diluted: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220" w:hanging="372"/>
        <w:spacing w:after="0" w:line="342"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total of 2,189,910 unvested restricted stock units (“RSUs”) have been excluded from the diluted loss per share for the three and six months ended June 30, 2020, and 2,237,000 RSUs have been excluded for the three and six months ended June 30, 2019, as the impact is anti-dilutive.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June 30, 2020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127"/>
              <w:spacing w:after="0"/>
              <w:rPr>
                <w:sz w:val="20"/>
                <w:szCs w:val="20"/>
                <w:color w:val="auto"/>
              </w:rPr>
            </w:pPr>
            <w:r>
              <w:rPr>
                <w:rFonts w:ascii="Arial" w:cs="Arial" w:eastAsia="Arial" w:hAnsi="Arial"/>
                <w:sz w:val="14"/>
                <w:szCs w:val="14"/>
                <w:b w:val="1"/>
                <w:bCs w:val="1"/>
                <w:color w:val="auto"/>
                <w:w w:val="91"/>
              </w:rPr>
              <w:t>December 31, 2019</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30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Accumulated</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1"/>
                <w:szCs w:val="11"/>
                <w:color w:val="auto"/>
              </w:rPr>
            </w:pPr>
          </w:p>
        </w:tc>
        <w:tc>
          <w:tcPr>
            <w:tcW w:w="76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20" w:type="dxa"/>
            <w:vAlign w:val="bottom"/>
            <w:gridSpan w:val="4"/>
          </w:tcPr>
          <w:p>
            <w:pPr>
              <w:jc w:val="center"/>
              <w:ind w:right="367"/>
              <w:spacing w:after="0" w:line="133" w:lineRule="exact"/>
              <w:rPr>
                <w:sz w:val="20"/>
                <w:szCs w:val="20"/>
                <w:color w:val="auto"/>
              </w:rPr>
            </w:pPr>
            <w:r>
              <w:rPr>
                <w:rFonts w:ascii="Arial" w:cs="Arial" w:eastAsia="Arial" w:hAnsi="Arial"/>
                <w:sz w:val="14"/>
                <w:szCs w:val="14"/>
                <w:b w:val="1"/>
                <w:bCs w:val="1"/>
                <w:color w:val="auto"/>
                <w:w w:val="90"/>
              </w:rPr>
              <w:t>Accumulated</w:t>
            </w: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320" w:type="dxa"/>
            <w:vAlign w:val="bottom"/>
            <w:gridSpan w:val="4"/>
          </w:tcPr>
          <w:p>
            <w:pPr>
              <w:jc w:val="center"/>
              <w:ind w:right="367"/>
              <w:spacing w:after="0"/>
              <w:rPr>
                <w:sz w:val="20"/>
                <w:szCs w:val="20"/>
                <w:color w:val="auto"/>
              </w:rPr>
            </w:pPr>
            <w:r>
              <w:rPr>
                <w:rFonts w:ascii="Arial" w:cs="Arial" w:eastAsia="Arial" w:hAnsi="Arial"/>
                <w:sz w:val="14"/>
                <w:szCs w:val="14"/>
                <w:b w:val="1"/>
                <w:bCs w:val="1"/>
                <w:color w:val="auto"/>
                <w:w w:val="98"/>
              </w:rPr>
              <w:t>Amortization</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 developed for internal use</w:t>
            </w:r>
          </w:p>
        </w:tc>
        <w:tc>
          <w:tcPr>
            <w:tcW w:w="100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5-10 years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(7,440</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(5,656</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60"/>
        <w:spacing w:after="0" w:line="308"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4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Amortization expenses of $934 and $617 for the three months ended June 30, 2020 and 2019, respectively, and $1,784 and $1,171 for the six months ended June 30, 2020 and 2019, respectively, were included in depreciation and amortization expense. As of June 30, 2020, intangible assets of $4,322, included in the gross amounts of software developed for internal use, have not started amortization, as they are not ready for their intended use.</w:t>
      </w:r>
    </w:p>
    <w:p>
      <w:pPr>
        <w:spacing w:after="0" w:line="1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capitalized costs of software developed for internal use of $2,018 and $1,651 during the three months ended June 30, 2020 and 2019, respectively, and $4,144 and $3,231 during the six months ended June 30, 2020 and 2019, respectively.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2020, estimated amortization expense related to the Company’s intangible assets for the remainder of 2020 through 2025 and thereafter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4,728</w:t>
            </w:r>
          </w:p>
        </w:tc>
        <w:tc>
          <w:tcPr>
            <w:tcW w:w="12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4,725</w:t>
            </w:r>
          </w:p>
        </w:tc>
        <w:tc>
          <w:tcPr>
            <w:tcW w:w="120" w:type="dxa"/>
            <w:vAlign w:val="bottom"/>
            <w:shd w:val="clear" w:color="auto" w:fill="CFF0FC"/>
          </w:tcPr>
          <w:p>
            <w:pPr>
              <w:spacing w:after="0"/>
              <w:rPr>
                <w:sz w:val="19"/>
                <w:szCs w:val="19"/>
                <w:color w:val="auto"/>
              </w:rPr>
            </w:pPr>
          </w:p>
        </w:tc>
      </w:tr>
      <w:tr>
        <w:trPr>
          <w:trHeight w:val="229"/>
        </w:trPr>
        <w:tc>
          <w:tcPr>
            <w:tcW w:w="952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4,648</w:t>
            </w:r>
          </w:p>
        </w:tc>
        <w:tc>
          <w:tcPr>
            <w:tcW w:w="12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120" w:type="dxa"/>
            <w:vAlign w:val="bottom"/>
            <w:shd w:val="clear" w:color="auto" w:fill="CFF0FC"/>
          </w:tcPr>
          <w:p>
            <w:pPr>
              <w:spacing w:after="0"/>
              <w:rPr>
                <w:sz w:val="19"/>
                <w:szCs w:val="19"/>
                <w:color w:val="auto"/>
              </w:rPr>
            </w:pPr>
          </w:p>
        </w:tc>
      </w:tr>
      <w:tr>
        <w:trPr>
          <w:trHeight w:val="230"/>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120" w:type="dxa"/>
            <w:vAlign w:val="bottom"/>
            <w:tcBorders>
              <w:bottom w:val="single" w:sz="8" w:color="CFF0FC"/>
            </w:tcBorders>
          </w:tcPr>
          <w:p>
            <w:pPr>
              <w:spacing w:after="0"/>
              <w:rPr>
                <w:sz w:val="19"/>
                <w:szCs w:val="19"/>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June 30, 2020 and December 31, 2019, the balance of goodwill of $5,227 was as a result of the acquisition of Interactive Data, LLC, a wholly-owned subsidiary of red violet, effective on October 2, 2014.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December 31, 2019, no goodwill impairment charges were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229"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 xml:space="preserve">On January 1, 2018, 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modi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retrospective method applied to all contracts that were not completed contracts at the date of initial application. Revenue is recognized when control of goods or services is transferred to the Company’s customers, in an amount that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8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June 30, 2020 and 2019, 79% and 62% of total revenue was attributable to customers with pricing contracts, respectively, versus 21% and 38% attributable to transactional customers, respectively. For the six months ended June 30, 2020 and 2019, 73% and 64% of total revenue was attributable to customers with pricing contracts, respectively, versus 27% and 36% attributable to transactional customers, respectively. Pricing contracts are generally annual contracts or longer, with auto renewal.</w:t>
      </w:r>
    </w:p>
    <w:p>
      <w:pPr>
        <w:spacing w:after="0" w:line="187" w:lineRule="exact"/>
        <w:rPr>
          <w:sz w:val="20"/>
          <w:szCs w:val="20"/>
          <w:color w:val="auto"/>
        </w:rPr>
      </w:pPr>
    </w:p>
    <w:p>
      <w:pPr>
        <w:ind w:right="200"/>
        <w:spacing w:after="0" w:line="220" w:lineRule="exact"/>
        <w:rPr>
          <w:sz w:val="20"/>
          <w:szCs w:val="20"/>
          <w:color w:val="auto"/>
        </w:rPr>
      </w:pPr>
      <w:r>
        <w:rPr>
          <w:rFonts w:ascii="Arial" w:cs="Arial" w:eastAsia="Arial" w:hAnsi="Arial"/>
          <w:sz w:val="18"/>
          <w:szCs w:val="18"/>
          <w:color w:val="auto"/>
        </w:rPr>
        <w:t>If a customer pays consideration before the Company transfers services to the customer, those amounts are classi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as deferred revenue. As of June 30, 2020 and December 31, 2019, the balance of deferred revenue was $151 and $128, respectively, all of which is expected to be realized in the next 12 months. In relation to the deferred revenue balance as of December 31, 2019, $37 and $128 was recognized into revenue during the three and six months ended June 30, 2020, respectively.</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June 30, 2020, $3,105 of revenue is expected to be recognized in the future for outstanding performance obligations, primarily related to pricing contracts that have a term of more than 12 months. $1,204 of revenue will be recognized in the remainder of 2020, $1,820 in 2021, $65 in 2022, and $16 in 2023 and thereafter.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70" w:lineRule="exact"/>
        <w:rPr>
          <w:sz w:val="20"/>
          <w:szCs w:val="20"/>
          <w:color w:val="auto"/>
        </w:rPr>
      </w:pPr>
    </w:p>
    <w:p>
      <w:pPr>
        <w:ind w:right="200"/>
        <w:spacing w:after="0" w:line="221"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Company is subject to federal and state income taxes in the United States. The Company’s tax provision for interim periods is determined using an estimate of its annual effective tax rate, adjusted for discrete items arising in that quarter. In each quarter, the Company updates its estimate of the annual effective tax rate, and if its estimated annual tax rate changes, the Company makes a cumulative adjustment in that quarter.</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effective income tax rate differed from the statutory federal income tax rate of 21% for the three and six months ended June 30, 2020 and 2019. For the three and six months ended June 30, 2020 and 2019, the effective income tax rate was 0%, and the difference is primarily the result of the full valuation allowance applied against the Company’s deferred tax assets.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ind w:right="220"/>
        <w:spacing w:after="0" w:line="257"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2016 remain open for tax examinations.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June 30, 2020 and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treasury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June 30, 2020 and December 31, 2019, the number of issued shares of common stock was 11,707,829 and 11,657,912, respectively, which included shares of treasury stock of 103,147 and 103,147, respectively. The change in the number of issued shares of common stock was due to an aggregate of 49,917 shares of common stock issued as a result of the vesting of RSUs.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2020 and December 31, 2019, the Company held 103,147 shares of treasury stock, with a cost of $1,255, as a result of the shares withheld to pay withholding taxes upon the vesting of RSUs.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On March 22, 2018, the board of directors of the Company and Fluent, Inc., in its capacity as sole stockholder of the Company at that time, approved the Red Violet, Inc. 2018 Stock Incentive Plan (the “2018 Plan”). A total of 3,000,000 shares of common stock were authorized to be issued under the 2018 Plan. 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June 3, 2020, stockholders of the Company approved an amendment to the 2018 Plan to increase the number of shares of common stock authorized for issuance under the 2018 Plan from 3,000,000 shares to 4,500,000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there were 1,533,624 shares of common stock available for future issuance under the 2018 Plan,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Details of unvested RSU activity during the six months ended June 30, 2020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 units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grant-date fair value</w:t>
            </w: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2019</w:t>
            </w:r>
          </w:p>
        </w:tc>
        <w:tc>
          <w:tcPr>
            <w:tcW w:w="336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2,237,827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9"/>
                <w:szCs w:val="19"/>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Vested and delivered</w:t>
            </w:r>
          </w:p>
        </w:tc>
        <w:tc>
          <w:tcPr>
            <w:tcW w:w="5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(49,917)</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Vested not delivered</w:t>
            </w:r>
          </w:p>
        </w:tc>
        <w:tc>
          <w:tcPr>
            <w:tcW w:w="5240" w:type="dxa"/>
            <w:vAlign w:val="bottom"/>
            <w:gridSpan w:val="3"/>
          </w:tcPr>
          <w:p>
            <w:pPr>
              <w:jc w:val="right"/>
              <w:ind w:right="100"/>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5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(5,000)</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Unvested as of June 30, 2020</w:t>
            </w:r>
          </w:p>
        </w:tc>
        <w:tc>
          <w:tcPr>
            <w:tcW w:w="336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2,189,910</w:t>
            </w:r>
          </w:p>
        </w:tc>
        <w:tc>
          <w:tcPr>
            <w:tcW w:w="160" w:type="dxa"/>
            <w:vAlign w:val="bottom"/>
          </w:tcPr>
          <w:p>
            <w:pPr>
              <w:spacing w:after="0"/>
              <w:rPr>
                <w:sz w:val="19"/>
                <w:szCs w:val="19"/>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360" w:type="dxa"/>
            <w:vAlign w:val="bottom"/>
            <w:vMerge w:val="restart"/>
          </w:tcPr>
          <w:p>
            <w:pPr>
              <w:jc w:val="right"/>
              <w:ind w:right="1670"/>
              <w:spacing w:after="0"/>
              <w:rPr>
                <w:sz w:val="20"/>
                <w:szCs w:val="20"/>
                <w:color w:val="auto"/>
              </w:rPr>
            </w:pPr>
            <w:r>
              <w:rPr>
                <w:rFonts w:ascii="Arial" w:cs="Arial" w:eastAsia="Arial" w:hAnsi="Arial"/>
                <w:sz w:val="18"/>
                <w:szCs w:val="18"/>
                <w:color w:val="auto"/>
              </w:rPr>
              <w:t>9</w:t>
            </w: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right="40"/>
        <w:spacing w:after="0" w:line="289" w:lineRule="auto"/>
        <w:rPr>
          <w:sz w:val="20"/>
          <w:szCs w:val="20"/>
          <w:color w:val="auto"/>
        </w:rPr>
      </w:pPr>
      <w:r>
        <w:rPr>
          <w:rFonts w:ascii="Arial" w:cs="Arial" w:eastAsia="Arial" w:hAnsi="Arial"/>
          <w:sz w:val="16"/>
          <w:szCs w:val="16"/>
          <w:color w:val="auto"/>
        </w:rPr>
        <w:t>On September 5, 2018 and January 16, 2019, the Company granted an aggregate of 1,487,500 RSUs and 90,000 RSUs, respectively, subject to both time-and performance-based requirements, to certain of its employees and directors, at a grant date fair value of $7.69 per share and $7.25 per share, respectively, with a three-year vesting period. Such RSU grants shall not vest unless and until the Company has, for any fiscal quarter in which the RSUs are outstanding, (i) gross revenue determined in accordance with the Company’s reviewed or audited financial statements in excess of $7.0 million for such fiscal quarter, (ii) positive adjusted EBITDA, as determined based on amounts derived from the Company’s reviewed or audited financial statements for such fiscal quarter, and (iii) the participant continues to provide services to the Company either as an employee, director or consultant on the last day of the quarter that the performance criteria are met (collectively, the “2018 Performance Criteria”). Provided the 2018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2018 Performance Criteria have not been met.</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June 30, 2019, the Company determined that the 2018 Performance Criteria were met and one-third of the applicable awards vested and shares underlying such awards were issued in August 2019. The remaining shares underlying such awards are expected to vest and be issued in accordance with their time-based vesting requirement. As a result of meeting the 2018 Performance Criteria as of June 30, 2019, the Company recognized a total of $953 and $5,684 of share-based compensation expense relating to RSUs with the 2018 Performance Criteria for the three months ended June 30, 2020 and 2019, respectively, and $1,924 and $5,684 for the six months ended June 30, 2020 and 2019, respectively.</w:t>
      </w:r>
    </w:p>
    <w:p>
      <w:pPr>
        <w:spacing w:after="0" w:line="17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August 28, 2019 and October 28, 2019, the Company granted an aggregate of 681,000 RSUs, subject to both time- and performance-based requirements, to certain employees, at a grant date fair value of $11.42 per share and $16.42 per share, respectively, with time vesting periods of either three or four years. On April 17, 2020, the Company granted an aggregate of 11,000 RSUs, subject to both time- and performance-based requirements, to certain employees, at a grant date fair value of $21.82 per share, with time vesting periods of either three or four years. Such RSU grants shall not vest unless and until the Company has, for any fiscal quarter in which the RSUs are outstanding, (i) gross revenue determined in accordance with the Company’s reviewed or audited financial statements in excess of (a) $10.0 million for such fiscal quarter and positive adjusted EBITDA of at least $1.5 million, as determined based on amounts derived from the Company’s reviewed or audited financial statements for such fiscal quarter for 267,000 RSUs, and (b) $12.5 million for such fiscal quarter and positive adjusted EBITDA of at least $2.0 million, as determined based on amounts derived from the Company’s reviewed or audited financial statements for such fiscal quarter for 425,000 RSUs, and (ii) the recipient continues to provide services to the Company either as an employee, director or consultant on the last day of the quarter that the performance criteria is met (collectively, the “2019 Performance Criteria”). Provided the respective 2019 Performance Criteria are met, the RSUs will vest in accordance with the time-based requirements contained in the award agreement over three or four years. In the event of a change of control, all RSUs which have not vested on the date of such change of control shall immediately vest even if the 2019 Performance Criteria have not been met.</w:t>
      </w:r>
    </w:p>
    <w:p>
      <w:pPr>
        <w:spacing w:after="0" w:line="17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the respective grant dates, the Company determined that it is probable that the 2019 Performance Criteria will be met and therefore, began to record the related amortization expense on the grant dates. The Company recognized a total of $1,411 and $2,800 of share-based compensation expense relating to RSUs with the 2019 Performance Criteria for the three and six months ended June 30, 2020, respectively.</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2020, unrecognized share-based compensation expense associated with the granted RSUs amounted to $10,086, which is expected to be recognized over a remaining weighted average period of 1.8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was allocated to the following accounts in the condensed consolidated financial statements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6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6"/>
              </w:rPr>
              <w:t>Three Months Ended June 30,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40" w:type="dxa"/>
            <w:vAlign w:val="bottom"/>
            <w:tcBorders>
              <w:bottom w:val="single" w:sz="8" w:color="CFF0FC"/>
            </w:tcBorders>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in intangible assets</w:t>
            </w:r>
          </w:p>
        </w:tc>
        <w:tc>
          <w:tcPr>
            <w:tcW w:w="14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3,777</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4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August 7, 2018, the Company entered into a services agreement with Mr. Michael Brauser (the “Consultant”), a greater than 10% stockholder, pursuant to which, the Consultant will be providing recommendations on organizational and capital structure, future financing needs and future acquisitions or strategic transactions (“Services Agreement”), for a term of one year, automatically renewing for additional one-year periods unless either party provides written notice to the other of its intent not to renew not fewer than 30 days prior to the expiration of the then-current term. Under the Services Agreement, the Consultant receives cash compensation of $30 per month and is entitled to participate in the Company’s incentive compensation plan. The Company recognized consulting service fees relating to the Services Agreement of a total of $90 during the three months ended June 30, 2020 and 2019, and $180 during the six months ended June 30, 2020 and 2019. In addition, amortization of share-based compensation expense of $338 and $1,115 in relation to the RSUs with the 2018 Performance Criteria previously granted to the Consultant was recognized during the three months ended June 30, 2020 and 2019, respectively, and $679 and $1,115 recognized during the six months ended June 30, 2020 and 2019,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loan</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May 5, 2020, the Company received funding under a promissory note dated May 5, 2020 (the “Promissory Note”) evidencing an unsecured non-recourse loan in the principal amount of $2,152 under the Coronavirus Aid, Relief, and Economic Security Act (“CARES Act”) (the “Loan”). The Loan to the Company is being made through Legacy Bank of Florida (the “Lender”).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Long-term loan as of June 30, 2020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Included in condensed consolidated balance sheet:</w:t>
            </w: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long-term loan</w:t>
            </w:r>
          </w:p>
        </w:tc>
        <w:tc>
          <w:tcPr>
            <w:tcW w:w="31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loan (non-current)</w:t>
            </w:r>
          </w:p>
        </w:tc>
        <w:tc>
          <w:tcPr>
            <w:tcW w:w="2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tcBorders>
              <w:bottom w:val="single" w:sz="8" w:color="CFF0FC"/>
            </w:tcBorders>
            <w:shd w:val="clear" w:color="auto" w:fill="CFF0FC"/>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Loan has a two-year term and matures on May 5, 2022. The interest rate on the Loan is 1.0% per annum. Pursuant to the Promissory Note, payments shall be deferred for the first six months of the term of the Loan, followed by 18 approximately equal monthly installments of principal and interest. The Promissory Note contains customary events of default relating to, among other things, payment defaults, and breach of representations and warranties, or other provisions of the Promissory Note. As a result of the passage of the Paycheck Protection Program Flexibility Act of 2020 on June 5, 2020, the U.S. Small Business Administration (“SBA”), provided updated guidance that payments can be deferred until the loan forgiveness is determined, or if the Company does not apply for forgiveness, then 10 months after the Covered Period (as defined below) ends.</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Loan may be forgiven partially or fully if the Loan proceeds are used for covered payroll, rent and utility costs incurred during the 24-week period that commenced on the date of funding (the “Covered Period”), and if at least 60% of the proceeds are used for covered payroll costs. Any forgiveness of the Loan will be subject to approval by the SBA and the Lender. The Company will be required to apply for such forgiveness within 10 months after the Covered Period. Because the Loan exceeds $2,000, the Company anticipate the U.S. Department of Treasury will audit the loan. Although the Company intends to use the proceeds of the Loan for such covered purposes, it can provide no assurance that the Company will obtain forgiveness of the Loan in whole or in part.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Considering the Loan was effective in May 2020, the fair value of the Loan approximates its carrying amount as of June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leases its corporate headquarters of 21,020 rentable square feet in accordance with a non-cancelable 89-month operating lease agreement as amended and effective in January 2017.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For the three and six months ended June 30, 2020 and 2019, a summary of the Company’s lease information is shown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4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Lease cost: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Operating lease costs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168</w:t>
            </w:r>
          </w:p>
        </w:tc>
        <w:tc>
          <w:tcPr>
            <w:tcW w:w="2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168</w:t>
            </w:r>
          </w:p>
        </w:tc>
        <w:tc>
          <w:tcPr>
            <w:tcW w:w="2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336</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information:</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Cash paid for operating leases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175</w:t>
            </w:r>
          </w:p>
        </w:tc>
        <w:tc>
          <w:tcPr>
            <w:tcW w:w="2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170</w:t>
            </w:r>
          </w:p>
        </w:tc>
        <w:tc>
          <w:tcPr>
            <w:tcW w:w="2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350</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3,042</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5860" w:type="dxa"/>
            <w:vAlign w:val="bottom"/>
          </w:tcPr>
          <w:p>
            <w:pPr>
              <w:spacing w:after="0"/>
              <w:rPr>
                <w:sz w:val="20"/>
                <w:szCs w:val="20"/>
                <w:color w:val="auto"/>
              </w:rPr>
            </w:pPr>
            <w:r>
              <w:rPr>
                <w:rFonts w:ascii="Arial" w:cs="Arial" w:eastAsia="Arial" w:hAnsi="Arial"/>
                <w:sz w:val="16"/>
                <w:szCs w:val="16"/>
                <w:color w:val="auto"/>
              </w:rPr>
              <w:t xml:space="preserve">Weighted average discount rate for operating leases </w:t>
            </w:r>
            <w:r>
              <w:rPr>
                <w:rFonts w:ascii="Arial" w:cs="Arial" w:eastAsia="Arial" w:hAnsi="Arial"/>
                <w:sz w:val="27"/>
                <w:szCs w:val="27"/>
                <w:color w:val="auto"/>
                <w:vertAlign w:val="superscript"/>
              </w:rPr>
              <w:t>(1)</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80" w:right="60" w:hanging="372"/>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used 8.0%, its estimated incremental borrowing rate for similar secured assets, as the discount rate for the leases to determine the present value of the lease payments because the implicit rate in each lease is not readily determinable. The discount rate was calculated on the basis of information available as of January 1, 2019, the application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weighted average remaining operating lease term was 4.3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scheduled future maturities and present value of the operating lease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maturities</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vMerge w:val="restart"/>
          </w:tcPr>
          <w:p>
            <w:pPr>
              <w:spacing w:after="0"/>
              <w:rPr>
                <w:sz w:val="20"/>
                <w:szCs w:val="20"/>
                <w:color w:val="auto"/>
              </w:rPr>
            </w:pPr>
            <w:r>
              <w:rPr>
                <w:rFonts w:ascii="Arial" w:cs="Arial" w:eastAsia="Arial" w:hAnsi="Arial"/>
                <w:sz w:val="18"/>
                <w:szCs w:val="18"/>
                <w:color w:val="auto"/>
              </w:rPr>
              <w:t>Present value included in condensed consolidated balance sheet:</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vMerge w:val="restart"/>
          </w:tcPr>
          <w:p>
            <w:pPr>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2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incurred data costs of $2,171 and $1,867 for the three months ended June 30, 2020 and 2019, respectively, and $4,303 and $3,555 for the six months ended June 30, 2020 and 2019, respectively, under certain data licensing agreements. As of June 30, 2020, material capital commitments under certain data licensing agreements were $10,762, shown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FF0FC"/>
          </w:tcPr>
          <w:p>
            <w:pPr>
              <w:spacing w:after="0"/>
              <w:rPr>
                <w:sz w:val="19"/>
                <w:szCs w:val="19"/>
                <w:color w:val="auto"/>
              </w:rPr>
            </w:pPr>
          </w:p>
        </w:tc>
      </w:tr>
      <w:tr>
        <w:trPr>
          <w:trHeight w:val="223"/>
        </w:trPr>
        <w:tc>
          <w:tcPr>
            <w:tcW w:w="95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8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the Company’s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340"/>
        <w:spacing w:after="0" w:line="301" w:lineRule="auto"/>
        <w:rPr>
          <w:sz w:val="20"/>
          <w:szCs w:val="20"/>
          <w:color w:val="auto"/>
        </w:rPr>
      </w:pPr>
      <w:r>
        <w:rPr>
          <w:rFonts w:ascii="Arial" w:cs="Arial" w:eastAsia="Arial" w:hAnsi="Arial"/>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Covid-19 update</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2019, a novel strain of coronavirus, now known as Covid-19, was reported in Wuhan, China and has since extensively impacted the global health and economic environment. In March 2020, the World Health Organization characterized Covid-19 as a pandemic. The Company has taken numerous steps, and will continue to take further actions as appropriate, in its approach to minimizing the impact of the Covid-19 pandemic. To ensure the health and well-being of its employees, beginning in March 2020, the Company instructed employees at its offices to work from home on a temporary basis. During the second quarter of 2020, the Company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which resulted in significantly reduced commercial activity, and certain temporary government-imposed moratoria on collection customers’ activities, the Company experienced reduced transactional volume. In addition, the Company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during the second quarter. The end date of the customer’s agreement was extended by one month for each month of the temporary concession. In April 2020, the Company provided concessions to a total of 124 customers, representing $130 reduction of minimum committed spend. In May 2020, the Company provided concessions to a total of 123 customers, representing $129 reduction of minimum committed spend. In June 2020, the Company provided concessions to a total of 72 customers, representing $83 reduction of minimum committed spend. Beginning April 1, 2020, the Company elected, under Section 2302 of the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the Company received the Loan under the CARES Act as discussed in Note 10 above. The Company will continue to assess the CARES Act and other applicable government legislation aimed at assisting businesses during the Covid-19 pandemic. In accordance with best practices and guidance from the Centers for Disease Control and Prevention, the Company implemented protective safeguards, including daily temperature checks, mandatory wearing of masks, social distancing, plexiglass protective barriers, and an entire office HVAC UV-C system. The Company began its first phase of employees returning to the Boca Raton, Florida office in June 2020. The Company will continue to assess the need and timing of additional employees returning to the office. Given the dynamic nature of this health emergency, the full impact of the Covid-19 pandemic on the Company’s ongoing business, results of operations and overall financial performance cannot be reasonably estimated at this time.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the impact of the coronavirus (“Covid-19”) pandemic on our operating results. These factors include those contained in this Quarterly Report on Form 10-Q, as well as the disclosures made in the Company’s Annual Report on Form 10-K for the year ended December 31, 2019 filed on March 12, 2020 (“2019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To the extent that our business is negatively impacted due to a variety of factors, including the impact of Covid-19 on our operating results, we may implement longer-term cost reduction efforts in order to mitigate such impacts.</w:t>
      </w:r>
    </w:p>
    <w:p>
      <w:pPr>
        <w:spacing w:after="0" w:line="176"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i w:val="1"/>
          <w:iCs w:val="1"/>
          <w:color w:val="auto"/>
        </w:rPr>
        <w:t>References in this discussion and analysis to “we,” “us,” “our,” “red violet,” or the “Company,” refer to Red Violet,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Red Violet, Inc. (“we,” “us,” “our,” “red violet,” or the “Company”), a Delaware corporation, is dedicated to making the world a safer place and reducing the cost of doing business. We specialize in data fusion and analytics, providing cloud-based, mission-critical solutions to enterprises with use cases including fraud detection, risk mitigation, due diligence and marketing. Through our intelligent platform, CORE</w:t>
      </w:r>
      <w:r>
        <w:rPr>
          <w:rFonts w:ascii="Arial" w:cs="Arial" w:eastAsia="Arial" w:hAnsi="Arial"/>
          <w:sz w:val="13"/>
          <w:szCs w:val="13"/>
          <w:color w:val="auto"/>
        </w:rPr>
        <w:t>TM</w:t>
      </w:r>
      <w:r>
        <w:rPr>
          <w:rFonts w:ascii="Arial" w:cs="Arial" w:eastAsia="Arial" w:hAnsi="Arial"/>
          <w:sz w:val="16"/>
          <w:szCs w:val="16"/>
          <w:color w:val="auto"/>
        </w:rPr>
        <w:t>, we uncover the relevance of disparate data points utilizing our analytical capabilities to provide real-time and insightful views of people, businesses, assets and their interrelationships.</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Leveraging proprietary technology and applying machine learning and advanced analytical and decision-making capabilities, CORE provides compelling solutions to public and private sector organizations through intuitive, easy-to-use analytical applications. We empower clients across markets and industries to better execute all aspects of their business, from managing risk, recovering debt, identifying fraud and abuse, and ensuring legislative compliance, to identifying and acquiring customers. With a massive data repository of approximately nine petabytes of public-record, proprietary and publicly-available data, as well as self-reported consumer information and behavioral signals, we transform data into intelligence for our customers to enable better data-driven decisioning.</w:t>
      </w:r>
    </w:p>
    <w:p>
      <w:pPr>
        <w:spacing w:after="0" w:line="192"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presently market our solutions primarily through two brands, idiCORE™, our flagship product, and FOREWARN</w:t>
      </w:r>
      <w:r>
        <w:rPr>
          <w:rFonts w:ascii="Arial" w:cs="Arial" w:eastAsia="Arial" w:hAnsi="Arial"/>
          <w:sz w:val="13"/>
          <w:szCs w:val="13"/>
          <w:color w:val="auto"/>
        </w:rPr>
        <w:t>®</w:t>
      </w:r>
      <w:r>
        <w:rPr>
          <w:rFonts w:ascii="Arial" w:cs="Arial" w:eastAsia="Arial" w:hAnsi="Arial"/>
          <w:sz w:val="16"/>
          <w:szCs w:val="16"/>
          <w:color w:val="auto"/>
        </w:rPr>
        <w:t>. idiCORE is a next-generation, investigative solution used to address a variety of organizational challenges including due diligence, risk mitigation, identity authentication and legislative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June 30, 2020 and 2019, idiCORE had 5,375 and 4,370 billable customers and FOREWARN had 40,857 and 19,721 users, respectively. The Company defines a billable customer of idiCORE as a single entity that generated revenue in the last month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ind w:right="160"/>
        <w:spacing w:after="0" w:line="255" w:lineRule="auto"/>
        <w:rPr>
          <w:sz w:val="20"/>
          <w:szCs w:val="20"/>
          <w:color w:val="auto"/>
        </w:rPr>
      </w:pPr>
      <w:r>
        <w:rPr>
          <w:rFonts w:ascii="Arial" w:cs="Arial" w:eastAsia="Arial" w:hAnsi="Arial"/>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79% and 73% of total revenue for the three and six months ended June 30, 2020, respectively, as compared to 62% and 64% for the three and six months ended June 30, 2019, respectively.</w:t>
      </w:r>
    </w:p>
    <w:p>
      <w:pPr>
        <w:spacing w:after="0" w:line="19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Our sales model generally begins with a free trial followed by an initial purchase on a transactional basis or minimum-committed monthly spend. As organizations derive benefits from our solutions, we are able to “land and expand” within larger organizations as additional use cases expand across departments, divisions and geographic locations and customers become increasingly reliant on our solutions in their daily workflow.</w:t>
      </w:r>
    </w:p>
    <w:p>
      <w:pPr>
        <w:spacing w:after="0" w:line="19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4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2019, a novel strain of coronavirus, now known as Covid-19, was reported in Wuhan, China and has since extensively impacted the global health and economic environment. In March 2020, the World Health Organization characterized Covid-19 as a pandemic. We have taken numerous steps, and will continue to take further actions as appropriate, in our approach to minimizing the impact of the Covid-19 pandemic. To ensure the health and well-being of our employees, beginning in March 2020, we instructed employees at our offices to work from home on a temporary basis. During the second quarter of 2020, we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which resulted in significantly reduced commercial activity, and certain temporary government-imposed moratoria on collection customers’ activities, we experienced reduced transactional volume. In addition, we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during the second quarter. The end date of the customer’s agreement was extended by one month for each month of the temporary concession. In April 2020, we provided concessions to a total of 124 customers, representing $130 thousand reduction of minimum committed spend. In May 2020, we provided concessions to a total of 123 customers, representing $129 thousand reduction of minimum committed spend. In June 2020, we provided concessions to a total of 72 customers, representing $83 thousand reduction of minimum committed spend. Beginning April 1, 2020, we elected, under Section 2302 of the Coronavirus Aid, Relief, and Economic Security Act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we received funding under a promissory note dated May 5, 2020 evidencing an unsecured non-recourse loan in the principal amount of $2.2 million under the CARES Act (the “Loan”). We will continue to assess the CARES Act and other applicable government legislation aimed at assisting businesses during the Covid-19 pandemic. In accordance with best practices and guidance from the Centers for Disease Control and Prevention, we implemented protective safeguards, including daily temperature checks, mandatory wearing of masks, social distancing, plexiglass protective barriers, and an entire office HVAC UV-C system. We began our first phase of employees returning to the Boca Raton, Florida office in June 2020. We will continue to assess the need and timing of additional employees returning to the office. Given the dynamic nature of this health emergency, the full impact of the Covid-19 pandemic on our ongoing business, results of operations and overall financial performance cannot be reasonably estimated at this time.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condensed consolidated financial statements, which have been prepared in accordance with accounting principles generally accepted in the United States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property and equipment and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additional information, please refer to our 2019 Form 10-K. There have been no material changes to Critical Accounting Policies and Estimates disclosed in our 2019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1(b),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in “Notes to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2020 as compared to the three months ended June 30, 2019:</w:t>
      </w:r>
    </w:p>
    <w:p>
      <w:pPr>
        <w:spacing w:after="0" w:line="225"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revenue decreased 3% to $7.1 million. Platform revenue increased 11% to $6.9 million. Services revenue decreased 82% to $0.2 million.</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narrowed 34% to $2.5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increased 155% to $0.9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decreased 1% to $3.5 million. Gross margin increased to 50% from 49%.</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gross profit increased 7% to $4.5 million. Adjusted gross margin increased to 63% from 58%.</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Generated $1.8 million in cash from operating activities in the second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were $13.8 million as of June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Recovery and Opportunity</w:t>
      </w:r>
    </w:p>
    <w:p>
      <w:pPr>
        <w:spacing w:after="0" w:line="121" w:lineRule="exact"/>
        <w:rPr>
          <w:sz w:val="20"/>
          <w:szCs w:val="20"/>
          <w:color w:val="auto"/>
        </w:rPr>
      </w:pPr>
    </w:p>
    <w:p>
      <w:pPr>
        <w:jc w:val="both"/>
        <w:ind w:left="380" w:right="260" w:hanging="372"/>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high-margin, platform revenue business demonstrated strong resilience throughout the Covid-impacted period. As a result, on less revenue our adjusted EBITDA more than doubled to $0.9 million and our positive cash flow from operating activities increased $1.7 million compared to prior year.</w:t>
      </w:r>
    </w:p>
    <w:p>
      <w:pPr>
        <w:spacing w:after="0" w:line="75" w:lineRule="exact"/>
        <w:rPr>
          <w:rFonts w:ascii="Arial" w:cs="Arial" w:eastAsia="Arial" w:hAnsi="Arial"/>
          <w:sz w:val="18"/>
          <w:szCs w:val="18"/>
          <w:color w:val="auto"/>
        </w:rPr>
      </w:pPr>
    </w:p>
    <w:p>
      <w:pPr>
        <w:jc w:val="both"/>
        <w:ind w:left="380" w:right="280" w:hanging="372"/>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trends in the quarter have been positive since April, experiencing a 12% increase in monthly revenue for June compared to the April low. June provided our highest monthly new customer applications for the year, surpassing our pre-Covid monthly high, and up 33% compared to April low.</w:t>
      </w:r>
    </w:p>
    <w:p>
      <w:pPr>
        <w:spacing w:after="0" w:line="75" w:lineRule="exact"/>
        <w:rPr>
          <w:rFonts w:ascii="Arial" w:cs="Arial" w:eastAsia="Arial" w:hAnsi="Arial"/>
          <w:sz w:val="18"/>
          <w:szCs w:val="18"/>
          <w:color w:val="auto"/>
        </w:rPr>
      </w:pPr>
    </w:p>
    <w:p>
      <w:pPr>
        <w:ind w:left="380" w:right="4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positive momentum building throughout the second quarter has continued in July with monthly revenue up 9% and new customer applications up 8% over June.</w:t>
      </w:r>
    </w:p>
    <w:p>
      <w:pPr>
        <w:spacing w:after="0" w:line="62" w:lineRule="exact"/>
        <w:rPr>
          <w:rFonts w:ascii="Arial" w:cs="Arial" w:eastAsia="Arial" w:hAnsi="Arial"/>
          <w:sz w:val="18"/>
          <w:szCs w:val="18"/>
          <w:color w:val="auto"/>
        </w:rPr>
      </w:pPr>
    </w:p>
    <w:p>
      <w:pPr>
        <w:ind w:left="380" w:right="16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actions, including stay-at-home orders, social distancing policies, and temporary collections moratoria resulted in reduced transactional volumes during the quarter. However, transactional volumes in July returned to pre-Covid levels.</w:t>
      </w:r>
    </w:p>
    <w:p>
      <w:pPr>
        <w:spacing w:after="0" w:line="62" w:lineRule="exact"/>
        <w:rPr>
          <w:rFonts w:ascii="Arial" w:cs="Arial" w:eastAsia="Arial" w:hAnsi="Arial"/>
          <w:sz w:val="18"/>
          <w:szCs w:val="18"/>
          <w:color w:val="auto"/>
        </w:rPr>
      </w:pPr>
    </w:p>
    <w:p>
      <w:pPr>
        <w:ind w:left="380" w:right="20" w:hanging="372"/>
        <w:spacing w:after="0" w:line="25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services revenue, comprised of our ancillary collections market offering, idiVERIFIED™, which is purely transactional and of a lower margin profile, experienced sharp volume declines in April attributed to transitory collections moratoria, forbearance programs and government stimulus. However, this offering showed signs of recovery in the quarter and into July. Given current visibility, customer feedback and the overall economic impact on consumer financial profiles, we believe we will realize pent-up demand in the back half of 2020 with strong tailwinds extending throughout 2021.</w:t>
      </w:r>
    </w:p>
    <w:p>
      <w:pPr>
        <w:spacing w:after="0" w:line="79" w:lineRule="exact"/>
        <w:rPr>
          <w:rFonts w:ascii="Arial" w:cs="Arial" w:eastAsia="Arial" w:hAnsi="Arial"/>
          <w:sz w:val="18"/>
          <w:szCs w:val="18"/>
          <w:color w:val="auto"/>
        </w:rPr>
      </w:pPr>
    </w:p>
    <w:p>
      <w:pPr>
        <w:jc w:val="both"/>
        <w:ind w:left="380" w:right="240" w:hanging="372"/>
        <w:spacing w:after="0" w:line="286"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quarter, we took a proactive customer-centric approach working with those impacted by the pandemic, temporarily granting requests for reductions, or eliminations where applicable, of minimum monthly contractual commitments on a month-to-month basis during the second quarter. The end date of the customers’ agreement was extended by one month for each month of the temporary concession.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ind w:left="380" w:right="100" w:hanging="372"/>
        <w:spacing w:after="0" w:line="259"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we provided concessions to a total of 124 customers, representing $130 thousand reduction of minimum committed spend. In May we provided concessions to a total of 123 customers, representing $129 thousand reduction of minimum committed spend. In June we provided concessions to a total of 72 customers, representing $83 thousand reduction of minimum committed spend. In July we provided concessions to a total of 20 customers, representing $42 thousand reduction of minimum committed spend.</w:t>
      </w:r>
    </w:p>
    <w:p>
      <w:pPr>
        <w:spacing w:after="0" w:line="78" w:lineRule="exact"/>
        <w:rPr>
          <w:rFonts w:ascii="Arial" w:cs="Arial" w:eastAsia="Arial" w:hAnsi="Arial"/>
          <w:sz w:val="18"/>
          <w:szCs w:val="18"/>
          <w:color w:val="auto"/>
        </w:rPr>
      </w:pPr>
    </w:p>
    <w:p>
      <w:pPr>
        <w:ind w:left="380" w:right="100" w:hanging="372"/>
        <w:spacing w:after="0" w:line="296"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our business model has proved resilient during this unprecedented time, we are well positioned within the markets we serve and with the solutions we provide to quickly return to our pre-Covid growth levels in the near-term. The pandemic has accelerated the pace of digital transformation for virtually every business, creating a confluence of micro and macro trends that will provide strong momentum for our business for years to come through growth in e-commerce, demand for cloud efficiency and scale, increased reliance on fraud mitigation solutions as greater transactions move online, the necessity of solving for data fragmentation, and the need for enhanced understanding of consumer risk and financial profiles.</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Platform revenue consists of both contractual and transactional revenue generated from our data fusion technology platform, CORE. It includes all revenue generated through our idiCORE and FOREWARN solutions. The cost of revenue, which consists primarily of data acquisition costs, remains relatively fixed irrespective of revenue generation. Services revenue consists of transactional revenue generated from our idiVERIFIED service. The cost of revenue, which consists primarily of third-party servicer costs, is variable.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income, net, depreciation and amortization, share-based compensation expense,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80" w:type="dxa"/>
            <w:vAlign w:val="bottom"/>
            <w:tcBorders>
              <w:bottom w:val="single" w:sz="8" w:color="CFF0FC"/>
            </w:tcBorders>
            <w:vMerge w:val="continue"/>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Interest income, net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Write-off of long-lived assets and others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2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7,245</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3,052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3,576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4,193</w:t>
            </w:r>
          </w:p>
        </w:tc>
        <w:tc>
          <w:tcPr>
            <w:tcW w:w="3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26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compared to three months ended June 30, 2019</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decreased $0.1 million or 3% to $7.1 million for the three months ended June 30, 2020 from $7.2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2019. As a result of government mandated stay-at-home orders and certain moratoria on our customer’s business activities as a result of Covid-19, we experienced reduced transactional volume for the three months ended June 30, 2020. In addition, we took a proactive customer 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As a result of these Covid-19 related factors, revenue from new customers decreased $0.7 million or 43%, and growth revenue from existing customers decreased $0.1 million or 6%, partially offset by base revenue from existing customers increasing $0.6 million or 13% for the three months ended June 30, 2020. Our idiCORE billable customer base grew from 4,370 customers as of June 30, 2019 to 5,375 customers as of June 30, 2020.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Cost of revenue (exclusive of depreciation and amortization)</w:t>
      </w:r>
      <w:r>
        <w:rPr>
          <w:rFonts w:ascii="Arial" w:cs="Arial" w:eastAsia="Arial" w:hAnsi="Arial"/>
          <w:sz w:val="16"/>
          <w:szCs w:val="16"/>
          <w:color w:val="auto"/>
        </w:rPr>
        <w:t>. Cost of revenue decreased $0.5 million or 15% to $2.6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2020 from $3.1 million for the three months ended June 30, 2019. Our cost of revenue primarily includes data acquisition costs. Data acquisition costs consist primarily of the costs to acquire data either on a transactional basis or through flat-fee data licensing agreements, including unlimited usage agreements. The decrease in cost of revenue was primarily attributable to the decrease in transactional based data acquisition costs. We continue to enhance the breadth and depth of our data through the addition and expansion of relationships with key data suppliers, including our largest data supplier, which accounted for approximately 51% of our total data acquisition costs for the three months ended June 30, 2020 compared to approximately 41% for the three months ended June 30, 2019. Other cost of revenue items include expenses related to third-party infrastructure fees.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37% for the three months ended June 30, 2020 from 42% for the three months ended June 30, 2019.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87" w:lineRule="exact"/>
        <w:rPr>
          <w:sz w:val="20"/>
          <w:szCs w:val="20"/>
          <w:color w:val="auto"/>
        </w:rPr>
      </w:pPr>
    </w:p>
    <w:p>
      <w:pPr>
        <w:jc w:val="both"/>
        <w:ind w:right="380"/>
        <w:spacing w:after="0" w:line="301" w:lineRule="auto"/>
        <w:rPr>
          <w:sz w:val="20"/>
          <w:szCs w:val="20"/>
          <w:color w:val="auto"/>
        </w:rPr>
      </w:pPr>
      <w:r>
        <w:rPr>
          <w:rFonts w:ascii="Arial" w:cs="Arial" w:eastAsia="Arial" w:hAnsi="Arial"/>
          <w:sz w:val="16"/>
          <w:szCs w:val="16"/>
          <w:b w:val="1"/>
          <w:bCs w:val="1"/>
          <w:i w:val="1"/>
          <w:iCs w:val="1"/>
          <w:color w:val="auto"/>
        </w:rPr>
        <w:t>Sales and marketing expenses</w:t>
      </w:r>
      <w:r>
        <w:rPr>
          <w:rFonts w:ascii="Arial" w:cs="Arial" w:eastAsia="Arial" w:hAnsi="Arial"/>
          <w:sz w:val="16"/>
          <w:szCs w:val="16"/>
          <w:color w:val="auto"/>
        </w:rPr>
        <w:t>. Sales and marketing expenses decreased $0.3 million or 13% to $1.7 million for the three months ended June 30,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$2.0 million for the three months ended June 30, 2019. Sales and marketing expenses consist of salaries and benefits, advertising and marketing, travel expenses, and share-based compensation expense, incurred by our sales team, and provision for bad debts. The decrease during the three months ended June 30, 2020 was primarily attributable to an aggregate of $0.2 million decrease in sales commissions from decreased revenue.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decreased $1.1 million or 21% to $4.3 million for the three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2020 from $5.4 million for the three months ended June 30, 2019. The decrease during the three months ended June 30, 2020 was primarily attributable to the $1.3 million decrease in share-based compensation expense.</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three months ended June 30, 2020 and 2019, our general and administrative expenses consisted primarily of employee salaries and benefits of $1.0 million and $1.0 million, share-based compensation expense of $2.2 million and $3.5 million, and professional fees of $0.5 million and $0.4 million, respectively.</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increased $0.3 million or 46% to $1.0 million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from $0.7 million for the three months ended June 30, 2019. The increase in depreciation and amortization for the three months ended June 30, 2020 resulted primarily from the amortization of software developed for internal use that became ready for its intended use after June 30, 2019.</w:t>
      </w:r>
    </w:p>
    <w:p>
      <w:pPr>
        <w:spacing w:after="0" w:line="1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Loss before income taxes</w:t>
      </w:r>
      <w:r>
        <w:rPr>
          <w:rFonts w:ascii="Arial" w:cs="Arial" w:eastAsia="Arial" w:hAnsi="Arial"/>
          <w:sz w:val="18"/>
          <w:szCs w:val="18"/>
          <w:color w:val="auto"/>
        </w:rPr>
        <w:t>. Loss before income taxes narrowed $1.4 million or 34% to $2.5 million for the three months ended June 30, 2020 from $3.9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June 30, 2019. The decrease in loss before income taxes was primarily attributable to the decrease in share-based compensation expense of $1.3 million, sales commission of $0.2 million, and our cost of revenue as a percentage of revenue, which was partially offset by the increase in depreciation and amortization of $0.3 million.</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three months ended June 30, 2020 and 2019.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June 30, 2020 and 2019. See Note 6, “Income Taxes,” included in “Notes to Condensed Consolidated Financial Statements,” for details.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Net loss narrowed $1.4 million or 34% to $2.5 million for the three months ended June 30, 2020 from $3.9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2019, as a result of the foregoing.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compared to six months ended June 30, 2019</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$3.4 million or 26% to $16.4 million for the six months ended June 30, 2020 from $13.0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2019. This increase was driven by strong growth in usage from existing customers, with base revenue from existing customers increasing $3.6 million or 45% and growth revenue from existing customers increasing $0.3 million or 16%. This growth was partially offset by a decrease in revenue from new customers of $0.6 million or 19%. In the second half of the period, we experienced reduced transactional volume as a result of government mandated stay-at-home orders and certain moratoria on our customer’s business activities as a result of Covid-19. In addition, we took a proactive customer 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6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Cost of revenue (exclusive of depreciation and amortization)</w:t>
      </w:r>
      <w:r>
        <w:rPr>
          <w:rFonts w:ascii="Arial" w:cs="Arial" w:eastAsia="Arial" w:hAnsi="Arial"/>
          <w:sz w:val="17"/>
          <w:szCs w:val="17"/>
          <w:color w:val="auto"/>
        </w:rPr>
        <w:t>. Cost of revenue increased $0.2 million or 3% to $5.9 million for the six months ended June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2020 from $5.7 million for the six months ended June 30, 2019. Our cost of revenue primarily includes data acquisition costs. Data acquisition costs consist primarily of the costs to acquire data either on a transactional basis or through flat-fee data licensing agreements, including unlimited usage agreements. The increase in cost of revenue was primarily attributable to the increase in flat-fee based data acquisition costs, which was partially offset by the decrease in transactional based data acquisition costs. We continue to enhance the breadth and depth of our data through the addition and expansion of relationships with key data suppliers, including our largest data supplier, which accounted for approximately 44% of our total data acquisition costs for the six months ended June 30, 2020 compared to approximately 41% for the six months ended June 30, 2019. Other cost of revenue items include expenses related to third-party infrastructure fees.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36% for the six months ended June 30, 2020 from 44% for the six months ended June 30, 2019.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ind w:right="160"/>
        <w:spacing w:after="0" w:line="257" w:lineRule="auto"/>
        <w:rPr>
          <w:sz w:val="20"/>
          <w:szCs w:val="20"/>
          <w:color w:val="auto"/>
        </w:rPr>
      </w:pPr>
      <w:r>
        <w:rPr>
          <w:rFonts w:ascii="Arial" w:cs="Arial" w:eastAsia="Arial" w:hAnsi="Arial"/>
          <w:sz w:val="18"/>
          <w:szCs w:val="18"/>
          <w:b w:val="1"/>
          <w:bCs w:val="1"/>
          <w:i w:val="1"/>
          <w:iCs w:val="1"/>
          <w:color w:val="auto"/>
        </w:rPr>
        <w:t>Sales and marketing expenses</w:t>
      </w:r>
      <w:r>
        <w:rPr>
          <w:rFonts w:ascii="Arial" w:cs="Arial" w:eastAsia="Arial" w:hAnsi="Arial"/>
          <w:sz w:val="18"/>
          <w:szCs w:val="18"/>
          <w:color w:val="auto"/>
        </w:rPr>
        <w:t>. Sales and marketing expenses increased $0.4 million or 12% to $3.9 million for the six months ended June 30,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 million for the six months ended June 30, 2019. Sales and marketing expenses consist of salaries and benefits, advertising and marketing, travel expenses, and share-based compensation expense, incurred by our sales team, and provision for bad debts. The increase during the six months ended June 30, 2020 was primarily attributable to an aggregate of $0.3 million increase in salaries and benefits, as we continue to invest in the expansion of our sales organization, and sales commissions from increased revenue.</w:t>
      </w:r>
    </w:p>
    <w:p>
      <w:pPr>
        <w:spacing w:after="0" w:line="18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increased $0.9 million or 12% to $8.7 million for the six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2020 from $7.8 million for the six months ended June 30, 2019. The increase during the six months ended June 30, 2020 was primarily attributable to the $0.6 million increase in share-based compensation expense.</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the six months ended June 30, 2020 and 2019, our general and administrative expenses consisted primarily of employee salaries and benefits of $2.2 million and $2.0 million, share-based compensation expense of $4.3 million and $3.7 million, and professional fees of $1.2 million and $1.2 million, respectively.</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increased $0.6 million or 46% to $1.9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from $1.3 million for the six months ended June 30, 2019. The increase in depreciation and amortization for the six months ended June 30, 2020 resulted primarily from the amortization of software developed for internal use that became ready for its intended use after June 30, 2019.</w:t>
      </w:r>
    </w:p>
    <w:p>
      <w:pPr>
        <w:spacing w:after="0" w:line="1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Loss before income taxes</w:t>
      </w:r>
      <w:r>
        <w:rPr>
          <w:rFonts w:ascii="Arial" w:cs="Arial" w:eastAsia="Arial" w:hAnsi="Arial"/>
          <w:sz w:val="17"/>
          <w:szCs w:val="17"/>
          <w:color w:val="auto"/>
        </w:rPr>
        <w:t>. Loss before income taxes narrowed $1.2 million or 23% to $4.0 million for the six months ended June 30, 2020 from $5.2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six months ended June 30, 2019. The decrease in loss before income taxes was primarily attributable to the increase in revenue and the decrease in our cost of revenue as a percentage of revenue, which was partially offset by the increase in share-based compensation expense of $0.7 million, salaries and benefits and sales commission of $0.5 million, and depreciation and amortization of $0.6 million.</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six months ended June 30, 2020 and 2019.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June 30, 2020 and 2019. See Note 6, “Income Taxes,” included in “Notes to Condensed Consolidated Financial Statements,” for details.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Net loss narrowed $1.2 million or 23% to $4.0 million for the six months ended June 30, 2020 from $5.2 million for the six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2019, as a result of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Cash flows provided by (used in) operating activities</w:t>
      </w:r>
      <w:r>
        <w:rPr>
          <w:rFonts w:ascii="Arial" w:cs="Arial" w:eastAsia="Arial" w:hAnsi="Arial"/>
          <w:sz w:val="17"/>
          <w:szCs w:val="17"/>
          <w:color w:val="auto"/>
        </w:rPr>
        <w:t>. For the six months ended June 30, 2020, net cash provided by operating activities was $3.0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result of the net loss of $4.0 million, adjusted for certain non-cash items (consisting of share-based compensation expense, depreciation and amortization, write-off of long-lived assets, provision for bad debts and noncash lease expenses) totaling $7.1 million. For the six months ended June 30, 2019, net cash used in operating activities was $1.1 million, primarily the result of the net loss of $5.2 million, adjusted for certain non-cash items, as mentioned above, totaling $5.7 million, and the cash used as a result of changes in assets and liabilities of $1.6 million, primarily the result of the increase in accounts receivable and decrease in operating lease liabilities.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For the six months ended June 30, 2020 and 2019, net cash used in investing activities was $3.1 million and $2.9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primarily as a result of capitalized costs included in intangible assets.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Cash flows provided by financing activities</w:t>
      </w:r>
      <w:r>
        <w:rPr>
          <w:rFonts w:ascii="Arial" w:cs="Arial" w:eastAsia="Arial" w:hAnsi="Arial"/>
          <w:sz w:val="16"/>
          <w:szCs w:val="16"/>
          <w:color w:val="auto"/>
        </w:rPr>
        <w:t>. For the six months ended June 30, 2020 and 2019, net cash provided by financing activities was $2.2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$0, respectively. On May 5, 2020, we received funding under a promissory note dated May 5, 2020 evidencing the Loan in the principal amount of $2.2 million under the CARES Act. The Loan has a two-year term and matures on May 5, 2022. The interest rate on the Loan is 1.0% per annum. Payments can be deferred until loan forgiveness is determined, or if the Company does not apply for forgiveness, then 10 months after the covered period ends.</w:t>
      </w:r>
    </w:p>
    <w:p>
      <w:pPr>
        <w:spacing w:after="0" w:line="15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As of June 30, 2020, we had material commitments under certain data licensing agreements of $10.8 million. We anticipate funding our operations using available cash and cash flow generated from operations, and the Loan proceeds under the CARES Act, within the next twelve months.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220"/>
        <w:spacing w:after="0" w:line="342" w:lineRule="auto"/>
        <w:rPr>
          <w:sz w:val="20"/>
          <w:szCs w:val="20"/>
          <w:color w:val="auto"/>
        </w:rPr>
      </w:pPr>
      <w:r>
        <w:rPr>
          <w:rFonts w:ascii="Arial" w:cs="Arial" w:eastAsia="Arial" w:hAnsi="Arial"/>
          <w:sz w:val="16"/>
          <w:szCs w:val="16"/>
          <w:color w:val="auto"/>
        </w:rPr>
        <w:t>We reported net loss of $2.5 million and $3.9 million for the three months ended June 30, 2020 and 2019, respectively, and $4.0 million and $5.2 million for the six months ended June 30, 2020 and 2019, respectively. As of June 30, 2020, we had a total shareholders’ equity balance of $43.7 million.</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June 30, 2020, we had cash and cash equivalents of approximately $13.8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further believe that our financial resources will allow us to manage the impact of Covid-19 on the Company's business operations for the foreseeable future. However, subject to revenue growth, our ability to generate positive cash flow, and the potential impact of Covid-19,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as defined in Rule 12b-2 of the Exchange Act, we are not required to include information required by this item.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June 30, 2020.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9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June 30,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fiscal quarter ended June 30, 2020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identified in the Company’s 2019 Form 10-K, except as noted below.</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The ongoing and developing Covid-19 pandemic and the global attempt to contain it may adversely impact our business, our future results of operations and our overall financial performance.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global spread of Covid-19 and the various attempts to contain it have created significant volatility, uncertainty and economic disruption. In response to government mandates and health care advisories, we have altered certain aspects of our operations. Our employees spent much of the second quarter of 2020 working from home and a certain segment of our employee base continues to work from home, which may impact productivity. We have curtailed all company travel to ensure the safety of our employees, customers, vendors, and shareholders. The economic disruption has adversely impacted many of our customers and vendors.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full extent to which the Covid-19 pandemic and the various responses to it impacts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availability and cost to access the capital markets; the effect on our customers and customer demand for and ability to pay for our services; and disruptions or restrictions on our employees’ ability to work and travel. In addition, any preventative or protective actions that governments implement or that we take in respect of Covid-19, such as travel restrictions or stay-at-home orders, may interfere with the ability of our employees and vendors to perform their respective responsibilities and obligations relative to the conduct of our business. Such results could have a material adverse effect on our operations, business, financial condition, results of operations, or cash flows.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closely monitoring the ongoing and developing impact of the Covid-19 pandemic, continually assessing its potential effects on our business. The extent to which our results are affected by Covid-19 will largely depend on future developments which cannot be accurately predicted and are uncertain, but the Covid-19 pandemic or the perception of its effects could have a material adverse effect on our business, financial condition, results of operations, or cash flows.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Our CARES Act Loan may be subject to regulatory review resulting from unclear subjective and objective eligibility requirements for the loan.</w:t>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May 5, 2020, we received funding of $2,152,000 under the CARES Act Loan. The Loan application required us to certify, among other things, that the current economic uncertainty made the Loan request necessary to support our ongoing operations. While we made this certification in good faith after analyzing, among other things, our financial situation and access to alternative forms of capital, and believe that we satisfied all eligibility criteria for the Loan, the certification described above does not contain any objective criteria and is subject to interpretation. If, despite our good faith belief that we satisfied all eligibility requirements for the Loan, we are found to have been ineligible to receive the Loan or in violation of any of the laws or governmental regulations that apply to us in connection with the Loan, we may be subject to penalties, including significant civil, criminal and administrative penalties and could be required to repay the Loan. In the event that we seek forgiveness of all or a portion of the Loan, we will also be required to make certain certifications which will be subject to audit and review by governmental entities and could subject us to significant penalties and liabilities if found to be inaccurate. In addition, our receipt of the Loan may result in adverse publicity and damage to our reputation, and a review or audit by a government entity could consume significant financial and management resources. Any of these events could harm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w w:val="99"/>
              </w:rPr>
              <w:t>Incorporated by Reference</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3"/>
                <w:szCs w:val="13"/>
                <w:b w:val="1"/>
                <w:bCs w:val="1"/>
                <w:color w:val="auto"/>
              </w:rPr>
              <w:t>Exhibit No.</w:t>
            </w:r>
          </w:p>
        </w:tc>
        <w:tc>
          <w:tcPr>
            <w:tcW w:w="120" w:type="dxa"/>
            <w:vAlign w:val="bottom"/>
          </w:tcPr>
          <w:p>
            <w:pPr>
              <w:spacing w:after="0"/>
              <w:rPr>
                <w:sz w:val="12"/>
                <w:szCs w:val="12"/>
                <w:color w:val="auto"/>
              </w:rPr>
            </w:pPr>
          </w:p>
        </w:tc>
        <w:tc>
          <w:tcPr>
            <w:tcW w:w="4740" w:type="dxa"/>
            <w:vAlign w:val="bottom"/>
            <w:gridSpan w:val="10"/>
          </w:tcPr>
          <w:p>
            <w:pPr>
              <w:spacing w:after="0" w:line="142" w:lineRule="exact"/>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2"/>
                <w:szCs w:val="12"/>
                <w:color w:val="auto"/>
              </w:rPr>
            </w:pPr>
          </w:p>
        </w:tc>
        <w:tc>
          <w:tcPr>
            <w:tcW w:w="1000" w:type="dxa"/>
            <w:vAlign w:val="bottom"/>
          </w:tcPr>
          <w:p>
            <w:pPr>
              <w:spacing w:after="0" w:line="142" w:lineRule="exact"/>
              <w:rPr>
                <w:sz w:val="20"/>
                <w:szCs w:val="20"/>
                <w:color w:val="auto"/>
              </w:rPr>
            </w:pPr>
            <w:r>
              <w:rPr>
                <w:rFonts w:ascii="Arial" w:cs="Arial" w:eastAsia="Arial" w:hAnsi="Arial"/>
                <w:sz w:val="13"/>
                <w:szCs w:val="13"/>
                <w:b w:val="1"/>
                <w:bCs w:val="1"/>
                <w:color w:val="auto"/>
              </w:rPr>
              <w:t>Form</w:t>
            </w:r>
          </w:p>
        </w:tc>
        <w:tc>
          <w:tcPr>
            <w:tcW w:w="1220" w:type="dxa"/>
            <w:vAlign w:val="bottom"/>
            <w:gridSpan w:val="3"/>
          </w:tcPr>
          <w:p>
            <w:pPr>
              <w:ind w:left="100"/>
              <w:spacing w:after="0" w:line="142" w:lineRule="exact"/>
              <w:rPr>
                <w:sz w:val="20"/>
                <w:szCs w:val="20"/>
                <w:color w:val="auto"/>
              </w:rPr>
            </w:pPr>
            <w:r>
              <w:rPr>
                <w:rFonts w:ascii="Arial" w:cs="Arial" w:eastAsia="Arial" w:hAnsi="Arial"/>
                <w:sz w:val="13"/>
                <w:szCs w:val="13"/>
                <w:b w:val="1"/>
                <w:bCs w:val="1"/>
                <w:color w:val="auto"/>
              </w:rPr>
              <w:t>File No.</w:t>
            </w:r>
          </w:p>
        </w:tc>
        <w:tc>
          <w:tcPr>
            <w:tcW w:w="1020" w:type="dxa"/>
            <w:vAlign w:val="bottom"/>
          </w:tcPr>
          <w:p>
            <w:pPr>
              <w:spacing w:after="0" w:line="142" w:lineRule="exact"/>
              <w:rPr>
                <w:sz w:val="20"/>
                <w:szCs w:val="20"/>
                <w:color w:val="auto"/>
              </w:rPr>
            </w:pPr>
            <w:r>
              <w:rPr>
                <w:rFonts w:ascii="Arial" w:cs="Arial" w:eastAsia="Arial" w:hAnsi="Arial"/>
                <w:sz w:val="13"/>
                <w:szCs w:val="13"/>
                <w:b w:val="1"/>
                <w:bCs w:val="1"/>
                <w:color w:val="auto"/>
              </w:rPr>
              <w:t>Exhibit</w:t>
            </w:r>
          </w:p>
        </w:tc>
        <w:tc>
          <w:tcPr>
            <w:tcW w:w="140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10.1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auto"/>
            </w:tcBorders>
            <w:gridSpan w:val="9"/>
          </w:tcPr>
          <w:p>
            <w:pPr>
              <w:spacing w:after="0" w:line="142" w:lineRule="exact"/>
              <w:rPr>
                <w:rFonts w:ascii="Arial" w:cs="Arial" w:eastAsia="Arial" w:hAnsi="Arial"/>
                <w:sz w:val="14"/>
                <w:szCs w:val="14"/>
                <w:color w:val="0000EE"/>
                <w:w w:val="93"/>
              </w:rPr>
            </w:pPr>
            <w:hyperlink r:id="rId44">
              <w:r>
                <w:rPr>
                  <w:rFonts w:ascii="Arial" w:cs="Arial" w:eastAsia="Arial" w:hAnsi="Arial"/>
                  <w:sz w:val="14"/>
                  <w:szCs w:val="14"/>
                  <w:color w:val="0000EE"/>
                  <w:w w:val="93"/>
                </w:rPr>
                <w:t>Promissory Note dated May 1, 2020, by and between Red Violet, Inc. and Legacy</w:t>
              </w:r>
            </w:hyperlink>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10-Q</w:t>
            </w: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001-38407</w:t>
            </w: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5/11/2020</w:t>
            </w: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1"/>
                <w:szCs w:val="11"/>
                <w:color w:val="auto"/>
              </w:rPr>
            </w:pPr>
          </w:p>
        </w:tc>
        <w:tc>
          <w:tcPr>
            <w:tcW w:w="470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r:id="rId44">
              <w:r>
                <w:rPr>
                  <w:rFonts w:ascii="Arial" w:cs="Arial" w:eastAsia="Arial" w:hAnsi="Arial"/>
                  <w:sz w:val="14"/>
                  <w:szCs w:val="14"/>
                  <w:color w:val="0000EE"/>
                </w:rPr>
                <w:t>Bank of Florida.</w:t>
              </w:r>
            </w:hyperlink>
          </w:p>
        </w:tc>
        <w:tc>
          <w:tcPr>
            <w:tcW w:w="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color w:val="auto"/>
              </w:rPr>
              <w:t>8-K</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001-38407</w:t>
            </w:r>
          </w:p>
        </w:tc>
        <w:tc>
          <w:tcPr>
            <w:tcW w:w="100" w:type="dxa"/>
            <w:vAlign w:val="bottom"/>
          </w:tcPr>
          <w:p>
            <w:pPr>
              <w:spacing w:after="0"/>
              <w:rPr>
                <w:sz w:val="11"/>
                <w:szCs w:val="11"/>
                <w:color w:val="auto"/>
              </w:rPr>
            </w:pPr>
          </w:p>
        </w:tc>
        <w:tc>
          <w:tcPr>
            <w:tcW w:w="1020" w:type="dxa"/>
            <w:vAlign w:val="bottom"/>
            <w:vMerge w:val="restart"/>
          </w:tcPr>
          <w:p>
            <w:pPr>
              <w:spacing w:after="0"/>
              <w:rPr>
                <w:sz w:val="20"/>
                <w:szCs w:val="20"/>
                <w:color w:val="auto"/>
              </w:rPr>
            </w:pPr>
            <w:r>
              <w:rPr>
                <w:rFonts w:ascii="Arial" w:cs="Arial" w:eastAsia="Arial" w:hAnsi="Arial"/>
                <w:sz w:val="14"/>
                <w:szCs w:val="14"/>
                <w:color w:val="auto"/>
              </w:rPr>
              <w:t>10.1</w:t>
            </w: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color w:val="auto"/>
              </w:rPr>
              <w:t>6/4/2020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0000EE"/>
            </w:tcBorders>
            <w:gridSpan w:val="2"/>
          </w:tcPr>
          <w:p>
            <w:pPr>
              <w:spacing w:after="0" w:line="151" w:lineRule="exact"/>
              <w:rPr>
                <w:rFonts w:ascii="Arial" w:cs="Arial" w:eastAsia="Arial" w:hAnsi="Arial"/>
                <w:sz w:val="14"/>
                <w:szCs w:val="14"/>
                <w:u w:val="single" w:color="auto"/>
                <w:color w:val="0000EE"/>
              </w:rPr>
            </w:pPr>
            <w:hyperlink r:id="rId45">
              <w:r>
                <w:rPr>
                  <w:rFonts w:ascii="Arial" w:cs="Arial" w:eastAsia="Arial" w:hAnsi="Arial"/>
                  <w:sz w:val="14"/>
                  <w:szCs w:val="14"/>
                  <w:u w:val="single" w:color="auto"/>
                  <w:color w:val="0000EE"/>
                </w:rPr>
                <w:t>Amendment to</w:t>
              </w:r>
            </w:hyperlink>
          </w:p>
        </w:tc>
        <w:tc>
          <w:tcPr>
            <w:tcW w:w="3800" w:type="dxa"/>
            <w:vAlign w:val="bottom"/>
            <w:gridSpan w:val="8"/>
          </w:tcPr>
          <w:p>
            <w:pPr>
              <w:spacing w:after="0" w:line="151" w:lineRule="exact"/>
              <w:rPr>
                <w:rFonts w:ascii="Arial" w:cs="Arial" w:eastAsia="Arial" w:hAnsi="Arial"/>
                <w:sz w:val="14"/>
                <w:szCs w:val="14"/>
                <w:u w:val="single" w:color="auto"/>
                <w:color w:val="0000EE"/>
              </w:rPr>
            </w:pPr>
            <w:hyperlink r:id="rId45">
              <w:r>
                <w:rPr>
                  <w:rFonts w:ascii="Arial" w:cs="Arial" w:eastAsia="Arial" w:hAnsi="Arial"/>
                  <w:sz w:val="14"/>
                  <w:szCs w:val="14"/>
                  <w:u w:val="single" w:color="auto"/>
                  <w:color w:val="0000EE"/>
                </w:rPr>
                <w:t>Red Violet, Inc. 2018 Stock Incentive Plan.</w:t>
              </w:r>
            </w:hyperlink>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4" w:lineRule="exact"/>
              <w:rPr>
                <w:sz w:val="20"/>
                <w:szCs w:val="20"/>
                <w:color w:val="auto"/>
              </w:rPr>
            </w:pPr>
            <w:r>
              <w:rPr>
                <w:rFonts w:ascii="Arial" w:cs="Arial" w:eastAsia="Arial" w:hAnsi="Arial"/>
                <w:sz w:val="14"/>
                <w:szCs w:val="14"/>
                <w:color w:val="auto"/>
              </w:rPr>
              <w:t>31.1</w:t>
            </w:r>
          </w:p>
        </w:tc>
        <w:tc>
          <w:tcPr>
            <w:tcW w:w="120" w:type="dxa"/>
            <w:vAlign w:val="bottom"/>
          </w:tcPr>
          <w:p>
            <w:pPr>
              <w:spacing w:after="0"/>
              <w:rPr>
                <w:sz w:val="13"/>
                <w:szCs w:val="13"/>
                <w:color w:val="auto"/>
              </w:rPr>
            </w:pPr>
          </w:p>
        </w:tc>
        <w:tc>
          <w:tcPr>
            <w:tcW w:w="4740" w:type="dxa"/>
            <w:vAlign w:val="bottom"/>
            <w:gridSpan w:val="10"/>
          </w:tcPr>
          <w:p>
            <w:pPr>
              <w:spacing w:after="0" w:line="154" w:lineRule="exact"/>
              <w:rPr>
                <w:rFonts w:ascii="Arial" w:cs="Arial" w:eastAsia="Arial" w:hAnsi="Arial"/>
                <w:sz w:val="14"/>
                <w:szCs w:val="14"/>
                <w:color w:val="0000EE"/>
              </w:rPr>
            </w:pPr>
            <w:hyperlink w:anchor="page27">
              <w:r>
                <w:rPr>
                  <w:rFonts w:ascii="Arial" w:cs="Arial" w:eastAsia="Arial" w:hAnsi="Arial"/>
                  <w:sz w:val="14"/>
                  <w:szCs w:val="14"/>
                  <w:color w:val="0000EE"/>
                </w:rPr>
                <w:t>Certification of Chief Executive Officer filed pursuant to Exchange Act Rules</w:t>
              </w:r>
            </w:hyperlink>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line="154"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8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89"/>
              </w:rPr>
            </w:pPr>
            <w:hyperlink w:anchor="page27">
              <w:r>
                <w:rPr>
                  <w:rFonts w:ascii="Arial" w:cs="Arial" w:eastAsia="Arial" w:hAnsi="Arial"/>
                  <w:sz w:val="14"/>
                  <w:szCs w:val="14"/>
                  <w:color w:val="0000EE"/>
                  <w:w w:val="89"/>
                </w:rPr>
                <w:t>13a-14(a) and 15d-14(a) of the Securities and Exchange Act of 1934 as adopted</w:t>
              </w:r>
            </w:hyperlink>
          </w:p>
        </w:tc>
        <w:tc>
          <w:tcPr>
            <w:tcW w:w="60" w:type="dxa"/>
            <w:vAlign w:val="bottom"/>
            <w:tcBorders>
              <w:bottom w:val="single" w:sz="8" w:color="0000EE"/>
            </w:tcBorders>
          </w:tcPr>
          <w:p>
            <w:pPr>
              <w:spacing w:after="0"/>
              <w:rPr>
                <w:sz w:val="11"/>
                <w:szCs w:val="11"/>
                <w:color w:val="auto"/>
              </w:rPr>
            </w:pPr>
          </w:p>
        </w:tc>
        <w:tc>
          <w:tcPr>
            <w:tcW w:w="4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1"/>
                <w:szCs w:val="11"/>
                <w:color w:val="auto"/>
              </w:rPr>
            </w:pPr>
          </w:p>
        </w:tc>
        <w:tc>
          <w:tcPr>
            <w:tcW w:w="3440" w:type="dxa"/>
            <w:vAlign w:val="bottom"/>
            <w:tcBorders>
              <w:bottom w:val="single" w:sz="8" w:color="0000EE"/>
            </w:tcBorders>
            <w:gridSpan w:val="3"/>
          </w:tcPr>
          <w:p>
            <w:pPr>
              <w:spacing w:after="0" w:line="129" w:lineRule="exact"/>
              <w:rPr>
                <w:rFonts w:ascii="Arial" w:cs="Arial" w:eastAsia="Arial" w:hAnsi="Arial"/>
                <w:sz w:val="14"/>
                <w:szCs w:val="14"/>
                <w:color w:val="0000EE"/>
                <w:w w:val="92"/>
              </w:rPr>
            </w:pPr>
            <w:hyperlink w:anchor="page27">
              <w:r>
                <w:rPr>
                  <w:rFonts w:ascii="Arial" w:cs="Arial" w:eastAsia="Arial" w:hAnsi="Arial"/>
                  <w:sz w:val="14"/>
                  <w:szCs w:val="14"/>
                  <w:color w:val="0000EE"/>
                  <w:w w:val="92"/>
                </w:rPr>
                <w:t>pursuant to Section 302 of the Sarbanes-Oxley Act of 2002.</w:t>
              </w:r>
            </w:hyperlink>
          </w:p>
        </w:tc>
        <w:tc>
          <w:tcPr>
            <w:tcW w:w="1160" w:type="dxa"/>
            <w:vAlign w:val="bottom"/>
            <w:gridSpan w:val="5"/>
          </w:tcPr>
          <w:p>
            <w:pPr>
              <w:spacing w:after="0"/>
              <w:rPr>
                <w:sz w:val="11"/>
                <w:szCs w:val="11"/>
                <w:color w:val="auto"/>
              </w:rPr>
            </w:pPr>
          </w:p>
        </w:tc>
        <w:tc>
          <w:tcPr>
            <w:tcW w:w="1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10"/>
          </w:tcPr>
          <w:p>
            <w:pPr>
              <w:spacing w:after="0" w:line="142" w:lineRule="exact"/>
              <w:rPr>
                <w:rFonts w:ascii="Arial" w:cs="Arial" w:eastAsia="Arial" w:hAnsi="Arial"/>
                <w:sz w:val="14"/>
                <w:szCs w:val="14"/>
                <w:color w:val="0000EE"/>
              </w:rPr>
            </w:pPr>
            <w:hyperlink w:anchor="page28">
              <w:r>
                <w:rPr>
                  <w:rFonts w:ascii="Arial" w:cs="Arial" w:eastAsia="Arial" w:hAnsi="Arial"/>
                  <w:sz w:val="14"/>
                  <w:szCs w:val="14"/>
                  <w:color w:val="0000EE"/>
                </w:rPr>
                <w:t>Certification of Chief Financial Officer filed pursuant to Exchange Act Rules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740" w:type="dxa"/>
            <w:vAlign w:val="bottom"/>
            <w:gridSpan w:val="10"/>
          </w:tcPr>
          <w:p>
            <w:pPr>
              <w:spacing w:after="0" w:line="129" w:lineRule="exact"/>
              <w:rPr>
                <w:rFonts w:ascii="Arial" w:cs="Arial" w:eastAsia="Arial" w:hAnsi="Arial"/>
                <w:sz w:val="14"/>
                <w:szCs w:val="14"/>
                <w:color w:val="0000EE"/>
                <w:w w:val="94"/>
              </w:rPr>
            </w:pPr>
            <w:hyperlink w:anchor="page28">
              <w:r>
                <w:rPr>
                  <w:rFonts w:ascii="Arial" w:cs="Arial" w:eastAsia="Arial" w:hAnsi="Arial"/>
                  <w:sz w:val="14"/>
                  <w:szCs w:val="14"/>
                  <w:color w:val="0000EE"/>
                  <w:w w:val="94"/>
                </w:rPr>
                <w:t>13a-14(a) and 15d-14(a) of the Securities and Exchange Act of 1934 as adopted</w:t>
              </w:r>
            </w:hyperlink>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1"/>
                <w:szCs w:val="11"/>
                <w:color w:val="auto"/>
              </w:rPr>
            </w:pPr>
          </w:p>
        </w:tc>
        <w:tc>
          <w:tcPr>
            <w:tcW w:w="344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2"/>
              </w:rPr>
            </w:pPr>
            <w:hyperlink w:anchor="page28">
              <w:r>
                <w:rPr>
                  <w:rFonts w:ascii="Arial" w:cs="Arial" w:eastAsia="Arial" w:hAnsi="Arial"/>
                  <w:sz w:val="14"/>
                  <w:szCs w:val="14"/>
                  <w:color w:val="0000EE"/>
                  <w:w w:val="92"/>
                </w:rPr>
                <w:t>pursuant to Section 302 of the Sarbanes-Oxley Act of 2002.</w:t>
              </w:r>
            </w:hyperlink>
          </w:p>
        </w:tc>
        <w:tc>
          <w:tcPr>
            <w:tcW w:w="1160" w:type="dxa"/>
            <w:vAlign w:val="bottom"/>
            <w:tcBorders>
              <w:top w:val="single" w:sz="8" w:color="0000EE"/>
            </w:tcBorders>
            <w:gridSpan w:val="5"/>
          </w:tcPr>
          <w:p>
            <w:pPr>
              <w:spacing w:after="0"/>
              <w:rPr>
                <w:sz w:val="11"/>
                <w:szCs w:val="11"/>
                <w:color w:val="auto"/>
              </w:rPr>
            </w:pPr>
          </w:p>
        </w:tc>
        <w:tc>
          <w:tcPr>
            <w:tcW w:w="1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10"/>
          </w:tcPr>
          <w:p>
            <w:pPr>
              <w:spacing w:after="0" w:line="142" w:lineRule="exact"/>
              <w:rPr>
                <w:rFonts w:ascii="Arial" w:cs="Arial" w:eastAsia="Arial" w:hAnsi="Arial"/>
                <w:sz w:val="14"/>
                <w:szCs w:val="14"/>
                <w:color w:val="0000EE"/>
                <w:w w:val="97"/>
              </w:rPr>
            </w:pPr>
            <w:hyperlink w:anchor="page29">
              <w:r>
                <w:rPr>
                  <w:rFonts w:ascii="Arial" w:cs="Arial" w:eastAsia="Arial" w:hAnsi="Arial"/>
                  <w:sz w:val="14"/>
                  <w:szCs w:val="14"/>
                  <w:color w:val="0000EE"/>
                  <w:w w:val="97"/>
                </w:rPr>
                <w:t>Certification by Chief Executive Officer pursuant to 18 U.S.C. Section 1350, as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80" w:type="dxa"/>
            <w:vAlign w:val="bottom"/>
            <w:tcBorders>
              <w:top w:val="single" w:sz="8" w:color="0000EE"/>
            </w:tcBorders>
            <w:gridSpan w:val="7"/>
          </w:tcPr>
          <w:p>
            <w:pPr>
              <w:spacing w:after="0" w:line="137" w:lineRule="exact"/>
              <w:rPr>
                <w:rFonts w:ascii="Arial" w:cs="Arial" w:eastAsia="Arial" w:hAnsi="Arial"/>
                <w:sz w:val="14"/>
                <w:szCs w:val="14"/>
                <w:u w:val="single" w:color="auto"/>
                <w:color w:val="0000EE"/>
              </w:rPr>
            </w:pPr>
            <w:hyperlink w:anchor="page29">
              <w:r>
                <w:rPr>
                  <w:rFonts w:ascii="Arial" w:cs="Arial" w:eastAsia="Arial" w:hAnsi="Arial"/>
                  <w:sz w:val="14"/>
                  <w:szCs w:val="14"/>
                  <w:u w:val="single" w:color="auto"/>
                  <w:color w:val="0000EE"/>
                </w:rPr>
                <w:t>adopted pursuant to Section 906 of the Sarbanes-Oxley Act of 2002.</w:t>
              </w:r>
            </w:hyperlink>
          </w:p>
        </w:tc>
        <w:tc>
          <w:tcPr>
            <w:tcW w:w="16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4" w:lineRule="exact"/>
              <w:rPr>
                <w:sz w:val="20"/>
                <w:szCs w:val="20"/>
                <w:color w:val="auto"/>
              </w:rPr>
            </w:pPr>
            <w:r>
              <w:rPr>
                <w:rFonts w:ascii="Arial" w:cs="Arial" w:eastAsia="Arial" w:hAnsi="Arial"/>
                <w:sz w:val="14"/>
                <w:szCs w:val="14"/>
                <w:color w:val="auto"/>
              </w:rPr>
              <w:t>32.2*</w:t>
            </w:r>
          </w:p>
        </w:tc>
        <w:tc>
          <w:tcPr>
            <w:tcW w:w="120" w:type="dxa"/>
            <w:vAlign w:val="bottom"/>
          </w:tcPr>
          <w:p>
            <w:pPr>
              <w:spacing w:after="0"/>
              <w:rPr>
                <w:sz w:val="13"/>
                <w:szCs w:val="13"/>
                <w:color w:val="auto"/>
              </w:rPr>
            </w:pPr>
          </w:p>
        </w:tc>
        <w:tc>
          <w:tcPr>
            <w:tcW w:w="4740" w:type="dxa"/>
            <w:vAlign w:val="bottom"/>
            <w:gridSpan w:val="10"/>
          </w:tcPr>
          <w:p>
            <w:pPr>
              <w:spacing w:after="0" w:line="154" w:lineRule="exact"/>
              <w:rPr>
                <w:rFonts w:ascii="Arial" w:cs="Arial" w:eastAsia="Arial" w:hAnsi="Arial"/>
                <w:sz w:val="14"/>
                <w:szCs w:val="14"/>
                <w:color w:val="0000EE"/>
                <w:w w:val="98"/>
              </w:rPr>
            </w:pPr>
            <w:hyperlink w:anchor="page30">
              <w:r>
                <w:rPr>
                  <w:rFonts w:ascii="Arial" w:cs="Arial" w:eastAsia="Arial" w:hAnsi="Arial"/>
                  <w:sz w:val="14"/>
                  <w:szCs w:val="14"/>
                  <w:color w:val="0000EE"/>
                  <w:w w:val="98"/>
                </w:rPr>
                <w:t>Certification by Chief Financial Officer pursuant to 18 U.S.C. Section 1350, as</w:t>
              </w:r>
            </w:hyperlink>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line="154"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40" w:type="dxa"/>
            <w:vAlign w:val="bottom"/>
            <w:tcBorders>
              <w:top w:val="single" w:sz="8" w:color="0000EE"/>
            </w:tcBorders>
            <w:gridSpan w:val="6"/>
          </w:tcPr>
          <w:p>
            <w:pPr>
              <w:spacing w:after="0" w:line="137" w:lineRule="exact"/>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adopted pursuant to Section 906 of the Sarbanes-Oxley Act of 2002.</w:t>
              </w:r>
            </w:hyperlink>
          </w:p>
        </w:tc>
        <w:tc>
          <w:tcPr>
            <w:tcW w:w="20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Arial" w:cs="Arial" w:eastAsia="Arial" w:hAnsi="Arial"/>
                <w:sz w:val="14"/>
                <w:szCs w:val="14"/>
                <w:color w:val="auto"/>
              </w:rPr>
              <w:t>101.INS</w:t>
            </w:r>
          </w:p>
        </w:tc>
        <w:tc>
          <w:tcPr>
            <w:tcW w:w="120" w:type="dxa"/>
            <w:vAlign w:val="bottom"/>
          </w:tcPr>
          <w:p>
            <w:pPr>
              <w:spacing w:after="0"/>
              <w:rPr>
                <w:sz w:val="12"/>
                <w:szCs w:val="12"/>
                <w:color w:val="auto"/>
              </w:rPr>
            </w:pPr>
          </w:p>
        </w:tc>
        <w:tc>
          <w:tcPr>
            <w:tcW w:w="4740" w:type="dxa"/>
            <w:vAlign w:val="bottom"/>
            <w:gridSpan w:val="10"/>
          </w:tcPr>
          <w:p>
            <w:pPr>
              <w:spacing w:after="0" w:line="149" w:lineRule="exact"/>
              <w:rPr>
                <w:sz w:val="20"/>
                <w:szCs w:val="20"/>
                <w:color w:val="auto"/>
              </w:rPr>
            </w:pPr>
            <w:r>
              <w:rPr>
                <w:rFonts w:ascii="Arial" w:cs="Arial" w:eastAsia="Arial" w:hAnsi="Arial"/>
                <w:sz w:val="14"/>
                <w:szCs w:val="14"/>
                <w:color w:val="auto"/>
                <w:w w:val="94"/>
              </w:rPr>
              <w:t>Inline XBRL Instance Document – the instance document does not appear in the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10"/>
          </w:tcPr>
          <w:p>
            <w:pPr>
              <w:spacing w:after="0" w:line="149" w:lineRule="exact"/>
              <w:rPr>
                <w:sz w:val="20"/>
                <w:szCs w:val="20"/>
                <w:color w:val="auto"/>
              </w:rPr>
            </w:pPr>
            <w:r>
              <w:rPr>
                <w:rFonts w:ascii="Arial" w:cs="Arial" w:eastAsia="Arial" w:hAnsi="Arial"/>
                <w:sz w:val="14"/>
                <w:szCs w:val="14"/>
                <w:color w:val="auto"/>
              </w:rPr>
              <w:t>Interactive Data File because its XBRL tags are embedded within the Inline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10"/>
          </w:tcPr>
          <w:p>
            <w:pPr>
              <w:spacing w:after="0"/>
              <w:rPr>
                <w:sz w:val="20"/>
                <w:szCs w:val="20"/>
                <w:color w:val="auto"/>
              </w:rPr>
            </w:pPr>
            <w:r>
              <w:rPr>
                <w:rFonts w:ascii="Arial" w:cs="Arial" w:eastAsia="Arial" w:hAnsi="Arial"/>
                <w:sz w:val="14"/>
                <w:szCs w:val="14"/>
                <w:color w:val="auto"/>
              </w:rPr>
              <w:t>XBRL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101.SCH</w:t>
            </w:r>
          </w:p>
        </w:tc>
        <w:tc>
          <w:tcPr>
            <w:tcW w:w="120" w:type="dxa"/>
            <w:vAlign w:val="bottom"/>
          </w:tcPr>
          <w:p>
            <w:pPr>
              <w:spacing w:after="0"/>
              <w:rPr>
                <w:sz w:val="14"/>
                <w:szCs w:val="14"/>
                <w:color w:val="auto"/>
              </w:rPr>
            </w:pPr>
          </w:p>
        </w:tc>
        <w:tc>
          <w:tcPr>
            <w:tcW w:w="4740" w:type="dxa"/>
            <w:vAlign w:val="bottom"/>
            <w:gridSpan w:val="10"/>
          </w:tcPr>
          <w:p>
            <w:pPr>
              <w:spacing w:after="0"/>
              <w:rPr>
                <w:sz w:val="20"/>
                <w:szCs w:val="20"/>
                <w:color w:val="auto"/>
              </w:rPr>
            </w:pPr>
            <w:r>
              <w:rPr>
                <w:rFonts w:ascii="Arial" w:cs="Arial" w:eastAsia="Arial" w:hAnsi="Arial"/>
                <w:sz w:val="14"/>
                <w:szCs w:val="14"/>
                <w:color w:val="auto"/>
              </w:rPr>
              <w:t>Inline XBRL Taxonomy Extension Schema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101.CAL</w:t>
            </w:r>
          </w:p>
        </w:tc>
        <w:tc>
          <w:tcPr>
            <w:tcW w:w="120" w:type="dxa"/>
            <w:vAlign w:val="bottom"/>
          </w:tcPr>
          <w:p>
            <w:pPr>
              <w:spacing w:after="0"/>
              <w:rPr>
                <w:sz w:val="14"/>
                <w:szCs w:val="14"/>
                <w:color w:val="auto"/>
              </w:rPr>
            </w:pPr>
          </w:p>
        </w:tc>
        <w:tc>
          <w:tcPr>
            <w:tcW w:w="4740" w:type="dxa"/>
            <w:vAlign w:val="bottom"/>
            <w:gridSpan w:val="10"/>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101.DEF</w:t>
            </w:r>
          </w:p>
        </w:tc>
        <w:tc>
          <w:tcPr>
            <w:tcW w:w="120" w:type="dxa"/>
            <w:vAlign w:val="bottom"/>
          </w:tcPr>
          <w:p>
            <w:pPr>
              <w:spacing w:after="0"/>
              <w:rPr>
                <w:sz w:val="14"/>
                <w:szCs w:val="14"/>
                <w:color w:val="auto"/>
              </w:rPr>
            </w:pPr>
          </w:p>
        </w:tc>
        <w:tc>
          <w:tcPr>
            <w:tcW w:w="4740" w:type="dxa"/>
            <w:vAlign w:val="bottom"/>
            <w:gridSpan w:val="10"/>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101.LAB</w:t>
            </w:r>
          </w:p>
        </w:tc>
        <w:tc>
          <w:tcPr>
            <w:tcW w:w="120" w:type="dxa"/>
            <w:vAlign w:val="bottom"/>
          </w:tcPr>
          <w:p>
            <w:pPr>
              <w:spacing w:after="0"/>
              <w:rPr>
                <w:sz w:val="14"/>
                <w:szCs w:val="14"/>
                <w:color w:val="auto"/>
              </w:rPr>
            </w:pPr>
          </w:p>
        </w:tc>
        <w:tc>
          <w:tcPr>
            <w:tcW w:w="4740" w:type="dxa"/>
            <w:vAlign w:val="bottom"/>
            <w:gridSpan w:val="10"/>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101.PRE</w:t>
            </w:r>
          </w:p>
        </w:tc>
        <w:tc>
          <w:tcPr>
            <w:tcW w:w="120" w:type="dxa"/>
            <w:vAlign w:val="bottom"/>
          </w:tcPr>
          <w:p>
            <w:pPr>
              <w:spacing w:after="0"/>
              <w:rPr>
                <w:sz w:val="14"/>
                <w:szCs w:val="14"/>
                <w:color w:val="auto"/>
              </w:rPr>
            </w:pPr>
          </w:p>
        </w:tc>
        <w:tc>
          <w:tcPr>
            <w:tcW w:w="4740" w:type="dxa"/>
            <w:vAlign w:val="bottom"/>
            <w:gridSpan w:val="10"/>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4740" w:type="dxa"/>
            <w:vAlign w:val="bottom"/>
            <w:gridSpan w:val="10"/>
          </w:tcPr>
          <w:p>
            <w:pPr>
              <w:spacing w:after="0"/>
              <w:rPr>
                <w:sz w:val="20"/>
                <w:szCs w:val="20"/>
                <w:color w:val="auto"/>
              </w:rPr>
            </w:pPr>
            <w:r>
              <w:rPr>
                <w:rFonts w:ascii="Arial" w:cs="Arial" w:eastAsia="Arial" w:hAnsi="Arial"/>
                <w:sz w:val="14"/>
                <w:szCs w:val="14"/>
                <w:color w:val="auto"/>
                <w:w w:val="95"/>
              </w:rPr>
              <w:t>Cover Page Interactive Data File (embedded within the Inline XBRL document).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000" w:hanging="992"/>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3" w:lineRule="exact"/>
        <w:rPr>
          <w:sz w:val="20"/>
          <w:szCs w:val="20"/>
          <w:color w:val="auto"/>
        </w:rPr>
      </w:pPr>
    </w:p>
    <w:p>
      <w:pPr>
        <w:ind w:left="1000" w:right="120" w:hanging="992"/>
        <w:spacing w:after="0" w:line="237" w:lineRule="auto"/>
        <w:tabs>
          <w:tab w:leader="none" w:pos="1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40"/>
        <w:spacing w:after="0"/>
        <w:tabs>
          <w:tab w:leader="none" w:pos="7140" w:val="left"/>
        </w:tabs>
        <w:rPr>
          <w:sz w:val="20"/>
          <w:szCs w:val="20"/>
          <w:color w:val="auto"/>
        </w:rPr>
      </w:pPr>
      <w:r>
        <w:rPr>
          <w:rFonts w:ascii="Arial" w:cs="Arial" w:eastAsia="Arial" w:hAnsi="Arial"/>
          <w:sz w:val="18"/>
          <w:szCs w:val="18"/>
          <w:color w:val="auto"/>
        </w:rPr>
        <w:t>August 11, 2020</w:t>
      </w:r>
      <w:r>
        <w:rPr>
          <w:sz w:val="20"/>
          <w:szCs w:val="20"/>
          <w:color w:val="auto"/>
        </w:rPr>
        <w:tab/>
      </w:r>
      <w:r>
        <w:rPr>
          <w:rFonts w:ascii="Arial" w:cs="Arial" w:eastAsia="Arial" w:hAnsi="Arial"/>
          <w:sz w:val="16"/>
          <w:szCs w:val="16"/>
          <w:b w:val="1"/>
          <w:bCs w:val="1"/>
          <w:color w:val="auto"/>
        </w:rPr>
        <w:t>Red Violet, Inc.</w:t>
      </w:r>
    </w:p>
    <w:p>
      <w:pPr>
        <w:spacing w:after="0" w:line="256"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Daniel MacLachlan</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21" w:right="3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25"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August 11, 2020</w:t>
            </w:r>
          </w:p>
        </w:tc>
        <w:tc>
          <w:tcPr>
            <w:tcW w:w="7560" w:type="dxa"/>
            <w:vAlign w:val="bottom"/>
            <w:gridSpan w:val="2"/>
          </w:tcPr>
          <w:p>
            <w:pPr>
              <w:ind w:left="2480"/>
              <w:spacing w:after="0"/>
              <w:rPr>
                <w:sz w:val="20"/>
                <w:szCs w:val="20"/>
                <w:color w:val="auto"/>
              </w:rPr>
            </w:pPr>
            <w:r>
              <w:rPr>
                <w:rFonts w:ascii="Arial" w:cs="Arial" w:eastAsia="Arial" w:hAnsi="Arial"/>
                <w:sz w:val="18"/>
                <w:szCs w:val="18"/>
                <w:color w:val="auto"/>
              </w:rPr>
              <w:t>By: /s/ Derek Dubner</w:t>
            </w:r>
          </w:p>
        </w:tc>
      </w:tr>
      <w:tr>
        <w:trPr>
          <w:trHeight w:val="195"/>
        </w:trPr>
        <w:tc>
          <w:tcPr>
            <w:tcW w:w="3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3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25"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August 11, 2020</w:t>
            </w:r>
          </w:p>
        </w:tc>
        <w:tc>
          <w:tcPr>
            <w:tcW w:w="7560" w:type="dxa"/>
            <w:vAlign w:val="bottom"/>
            <w:gridSpan w:val="2"/>
          </w:tcPr>
          <w:p>
            <w:pPr>
              <w:ind w:left="2480"/>
              <w:spacing w:after="0"/>
              <w:rPr>
                <w:sz w:val="20"/>
                <w:szCs w:val="20"/>
                <w:color w:val="auto"/>
              </w:rPr>
            </w:pPr>
            <w:r>
              <w:rPr>
                <w:rFonts w:ascii="Arial" w:cs="Arial" w:eastAsia="Arial" w:hAnsi="Arial"/>
                <w:sz w:val="18"/>
                <w:szCs w:val="18"/>
                <w:color w:val="auto"/>
              </w:rPr>
              <w:t>By: /s/ Daniel MacLachlan</w:t>
            </w:r>
          </w:p>
        </w:tc>
      </w:tr>
      <w:tr>
        <w:trPr>
          <w:trHeight w:val="195"/>
        </w:trPr>
        <w:tc>
          <w:tcPr>
            <w:tcW w:w="3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June 30, 2020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August 11, 2020</w:t>
            </w:r>
          </w:p>
        </w:tc>
        <w:tc>
          <w:tcPr>
            <w:tcW w:w="7280" w:type="dxa"/>
            <w:vAlign w:val="bottom"/>
            <w:gridSpan w:val="2"/>
          </w:tcPr>
          <w:p>
            <w:pPr>
              <w:ind w:left="2760"/>
              <w:spacing w:after="0"/>
              <w:rPr>
                <w:sz w:val="20"/>
                <w:szCs w:val="20"/>
                <w:color w:val="auto"/>
              </w:rPr>
            </w:pPr>
            <w:r>
              <w:rPr>
                <w:rFonts w:ascii="Arial" w:cs="Arial" w:eastAsia="Arial" w:hAnsi="Arial"/>
                <w:sz w:val="18"/>
                <w:szCs w:val="18"/>
                <w:color w:val="auto"/>
              </w:rPr>
              <w:t>By: /s/ Derek Dubner</w:t>
            </w:r>
          </w:p>
        </w:tc>
      </w:tr>
      <w:tr>
        <w:trPr>
          <w:trHeight w:val="195"/>
        </w:trPr>
        <w:tc>
          <w:tcPr>
            <w:tcW w:w="39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3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240"/>
          </w:cols>
          <w:pgMar w:left="320" w:top="33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June 30, 2020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August 11, 2020</w:t>
            </w:r>
          </w:p>
        </w:tc>
        <w:tc>
          <w:tcPr>
            <w:tcW w:w="7280" w:type="dxa"/>
            <w:vAlign w:val="bottom"/>
            <w:gridSpan w:val="2"/>
          </w:tcPr>
          <w:p>
            <w:pPr>
              <w:ind w:left="2760"/>
              <w:spacing w:after="0"/>
              <w:rPr>
                <w:sz w:val="20"/>
                <w:szCs w:val="20"/>
                <w:color w:val="auto"/>
              </w:rPr>
            </w:pPr>
            <w:r>
              <w:rPr>
                <w:rFonts w:ascii="Arial" w:cs="Arial" w:eastAsia="Arial" w:hAnsi="Arial"/>
                <w:sz w:val="18"/>
                <w:szCs w:val="18"/>
                <w:color w:val="auto"/>
              </w:rPr>
              <w:t>By: /s/ Daniel MacLachlan</w:t>
            </w:r>
          </w:p>
        </w:tc>
      </w:tr>
      <w:tr>
        <w:trPr>
          <w:trHeight w:val="195"/>
        </w:trPr>
        <w:tc>
          <w:tcPr>
            <w:tcW w:w="39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4" Type="http://schemas.openxmlformats.org/officeDocument/2006/relationships/hyperlink" Target="http://www.sec.gov/Archives/edgar/data/1720116/000156459020024367/rdvt-ex101_312.htm" TargetMode="External"/><Relationship Id="rId45" Type="http://schemas.openxmlformats.org/officeDocument/2006/relationships/hyperlink" Target="http://www.sec.gov/Archives/edgar/data/1720116/000156459020028399/rdvt-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2020-08-11T15:57:17Z</dcterms:created>
  <dcterms:modified xsi:type="dcterms:W3CDTF">2020-08-11T15:57:17Z</dcterms:modified>
</cp:coreProperties>
</file>