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9"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w:t>
      </w:r>
      <w:r>
        <w:rPr>
          <w:rFonts w:ascii="Times New Roman" w:cs="Times New Roman" w:eastAsia="Times New Roman" w:hAnsi="Times New Roman"/>
          <w:sz w:val="17"/>
          <w:szCs w:val="17"/>
          <w:b w:val="1"/>
          <w:bCs w:val="1"/>
          <w:color w:val="auto"/>
        </w:rPr>
        <w:t>4</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700" w:type="dxa"/>
            <w:vAlign w:val="bottom"/>
            <w:gridSpan w:val="2"/>
          </w:tcPr>
          <w:p>
            <w:pPr>
              <w:jc w:val="right"/>
              <w:ind w:right="2739"/>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58"/>
        </w:trPr>
        <w:tc>
          <w:tcPr>
            <w:tcW w:w="21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10" w:type="dxa"/>
        <w:tblCellMar>
          <w:top w:w="0" w:type="dxa"/>
          <w:left w:w="0" w:type="dxa"/>
          <w:bottom w:w="0" w:type="dxa"/>
          <w:right w:w="0" w:type="dxa"/>
        </w:tblCellMar>
      </w:tblPr>
      <w:tr>
        <w:trPr>
          <w:trHeight w:val="360"/>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gridSpan w:val="4"/>
          </w:tcPr>
          <w:p>
            <w:pPr>
              <w:jc w:val="center"/>
              <w:ind w:right="360"/>
              <w:spacing w:after="0"/>
              <w:rPr>
                <w:sz w:val="20"/>
                <w:szCs w:val="20"/>
                <w:color w:val="auto"/>
              </w:rPr>
            </w:pPr>
            <w:r>
              <w:rPr>
                <w:rFonts w:ascii="Times New Roman" w:cs="Times New Roman" w:eastAsia="Times New Roman" w:hAnsi="Times New Roman"/>
                <w:sz w:val="29"/>
                <w:szCs w:val="29"/>
                <w:b w:val="1"/>
                <w:bCs w:val="1"/>
                <w:color w:val="auto"/>
                <w:w w:val="99"/>
              </w:rPr>
              <w:t>RED VIOLET, INC.</w:t>
            </w:r>
          </w:p>
        </w:tc>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vMerge w:val="restart"/>
          </w:tcPr>
          <w:p>
            <w:pPr>
              <w:jc w:val="center"/>
              <w:ind w:left="180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60" w:type="dxa"/>
            <w:vAlign w:val="bottom"/>
            <w:gridSpan w:val="2"/>
            <w:vMerge w:val="restart"/>
          </w:tcPr>
          <w:p>
            <w:pPr>
              <w:jc w:val="center"/>
              <w:ind w:right="1959"/>
              <w:spacing w:after="0"/>
              <w:rPr>
                <w:sz w:val="20"/>
                <w:szCs w:val="20"/>
                <w:color w:val="auto"/>
              </w:rPr>
            </w:pPr>
            <w:r>
              <w:rPr>
                <w:rFonts w:ascii="Times New Roman" w:cs="Times New Roman" w:eastAsia="Times New Roman" w:hAnsi="Times New Roman"/>
                <w:sz w:val="16"/>
                <w:szCs w:val="16"/>
                <w:b w:val="1"/>
                <w:bCs w:val="1"/>
                <w:color w:val="auto"/>
              </w:rPr>
              <w:t>82-2408531</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80" w:type="dxa"/>
            <w:vAlign w:val="bottom"/>
          </w:tcPr>
          <w:p>
            <w:pPr>
              <w:jc w:val="center"/>
              <w:ind w:left="1786"/>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gridSpan w:val="2"/>
          </w:tcPr>
          <w:p>
            <w:pPr>
              <w:jc w:val="center"/>
              <w:ind w:right="1959"/>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78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0" w:type="dxa"/>
            <w:vAlign w:val="bottom"/>
          </w:tcPr>
          <w:p>
            <w:pPr>
              <w:spacing w:after="0"/>
              <w:rPr>
                <w:sz w:val="14"/>
                <w:szCs w:val="14"/>
                <w:color w:val="auto"/>
              </w:rPr>
            </w:pPr>
          </w:p>
        </w:tc>
        <w:tc>
          <w:tcPr>
            <w:tcW w:w="39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2650 North Military Trail, Suite 300,</w:t>
            </w:r>
          </w:p>
        </w:tc>
        <w:tc>
          <w:tcPr>
            <w:tcW w:w="3460" w:type="dxa"/>
            <w:vAlign w:val="bottom"/>
            <w:gridSpan w:val="2"/>
          </w:tcPr>
          <w:p>
            <w:pPr>
              <w:jc w:val="center"/>
              <w:ind w:right="195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Boca Raton, Florida 33431</w:t>
            </w:r>
          </w:p>
        </w:tc>
        <w:tc>
          <w:tcPr>
            <w:tcW w:w="6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4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6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400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(561) 757-4000</w:t>
            </w:r>
          </w:p>
        </w:tc>
        <w:tc>
          <w:tcPr>
            <w:tcW w:w="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780" w:type="dxa"/>
            <w:vAlign w:val="bottom"/>
            <w:tcBorders>
              <w:left w:val="single" w:sz="8" w:color="auto"/>
              <w:bottom w:val="single" w:sz="8" w:color="auto"/>
            </w:tcBorders>
          </w:tcPr>
          <w:p>
            <w:pPr>
              <w:jc w:val="center"/>
              <w:spacing w:after="0" w:line="89" w:lineRule="exact"/>
              <w:rPr>
                <w:sz w:val="20"/>
                <w:szCs w:val="20"/>
                <w:color w:val="auto"/>
              </w:rPr>
            </w:pPr>
            <w:r>
              <w:rPr>
                <w:rFonts w:ascii="Times New Roman" w:cs="Times New Roman" w:eastAsia="Times New Roman" w:hAnsi="Times New Roman"/>
                <w:sz w:val="10"/>
                <w:szCs w:val="10"/>
                <w:color w:val="auto"/>
              </w:rPr>
              <w:t>Title of each class</w:t>
            </w:r>
          </w:p>
        </w:tc>
        <w:tc>
          <w:tcPr>
            <w:tcW w:w="6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160" w:type="dxa"/>
            <w:vAlign w:val="bottom"/>
            <w:tcBorders>
              <w:bottom w:val="single" w:sz="8" w:color="auto"/>
              <w:right w:val="single" w:sz="8" w:color="auto"/>
            </w:tcBorders>
            <w:gridSpan w:val="2"/>
          </w:tcPr>
          <w:p>
            <w:pPr>
              <w:jc w:val="center"/>
              <w:ind w:right="700"/>
              <w:spacing w:after="0" w:line="89" w:lineRule="exact"/>
              <w:rPr>
                <w:sz w:val="20"/>
                <w:szCs w:val="20"/>
                <w:color w:val="auto"/>
              </w:rPr>
            </w:pPr>
            <w:r>
              <w:rPr>
                <w:rFonts w:ascii="Times New Roman" w:cs="Times New Roman" w:eastAsia="Times New Roman" w:hAnsi="Times New Roman"/>
                <w:sz w:val="10"/>
                <w:szCs w:val="10"/>
                <w:color w:val="auto"/>
              </w:rPr>
              <w:t>Trading Symbol (s)</w:t>
            </w:r>
          </w:p>
        </w:tc>
        <w:tc>
          <w:tcPr>
            <w:tcW w:w="120" w:type="dxa"/>
            <w:vAlign w:val="bottom"/>
            <w:tcBorders>
              <w:bottom w:val="single" w:sz="8" w:color="auto"/>
            </w:tcBorders>
          </w:tcPr>
          <w:p>
            <w:pPr>
              <w:spacing w:after="0"/>
              <w:rPr>
                <w:sz w:val="9"/>
                <w:szCs w:val="9"/>
                <w:color w:val="auto"/>
              </w:rPr>
            </w:pPr>
          </w:p>
        </w:tc>
        <w:tc>
          <w:tcPr>
            <w:tcW w:w="3460" w:type="dxa"/>
            <w:vAlign w:val="bottom"/>
            <w:tcBorders>
              <w:bottom w:val="single" w:sz="8" w:color="auto"/>
              <w:right w:val="single" w:sz="8" w:color="auto"/>
            </w:tcBorders>
            <w:gridSpan w:val="2"/>
          </w:tcPr>
          <w:p>
            <w:pPr>
              <w:ind w:left="540"/>
              <w:spacing w:after="0" w:line="89" w:lineRule="exact"/>
              <w:rPr>
                <w:sz w:val="20"/>
                <w:szCs w:val="20"/>
                <w:color w:val="auto"/>
              </w:rPr>
            </w:pPr>
            <w:r>
              <w:rPr>
                <w:rFonts w:ascii="Times New Roman" w:cs="Times New Roman" w:eastAsia="Times New Roman" w:hAnsi="Times New Roman"/>
                <w:sz w:val="10"/>
                <w:szCs w:val="10"/>
                <w:color w:val="auto"/>
              </w:rPr>
              <w:t>Name of each exchange on which registered</w:t>
            </w:r>
          </w:p>
        </w:tc>
        <w:tc>
          <w:tcPr>
            <w:tcW w:w="0" w:type="dxa"/>
            <w:vAlign w:val="bottom"/>
          </w:tcPr>
          <w:p>
            <w:pPr>
              <w:spacing w:after="0"/>
              <w:rPr>
                <w:sz w:val="1"/>
                <w:szCs w:val="1"/>
                <w:color w:val="auto"/>
              </w:rPr>
            </w:pPr>
          </w:p>
        </w:tc>
      </w:tr>
      <w:tr>
        <w:trPr>
          <w:trHeight w:val="179"/>
        </w:trPr>
        <w:tc>
          <w:tcPr>
            <w:tcW w:w="3780" w:type="dxa"/>
            <w:vAlign w:val="bottom"/>
            <w:tcBorders>
              <w:left w:val="single" w:sz="8" w:color="auto"/>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$0.001 par value per share</w:t>
            </w:r>
          </w:p>
        </w:tc>
        <w:tc>
          <w:tcPr>
            <w:tcW w:w="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auto"/>
            </w:tcBorders>
            <w:gridSpan w:val="2"/>
          </w:tcPr>
          <w:p>
            <w:pPr>
              <w:jc w:val="center"/>
              <w:ind w:right="680"/>
              <w:spacing w:after="0" w:line="179" w:lineRule="exact"/>
              <w:rPr>
                <w:sz w:val="20"/>
                <w:szCs w:val="20"/>
                <w:color w:val="auto"/>
              </w:rPr>
            </w:pPr>
            <w:r>
              <w:rPr>
                <w:rFonts w:ascii="Times New Roman" w:cs="Times New Roman" w:eastAsia="Times New Roman" w:hAnsi="Times New Roman"/>
                <w:sz w:val="16"/>
                <w:szCs w:val="16"/>
                <w:color w:val="auto"/>
              </w:rPr>
              <w:t>RDVT</w:t>
            </w:r>
          </w:p>
        </w:tc>
        <w:tc>
          <w:tcPr>
            <w:tcW w:w="120" w:type="dxa"/>
            <w:vAlign w:val="bottom"/>
            <w:tcBorders>
              <w:bottom w:val="single" w:sz="8" w:color="auto"/>
            </w:tcBorders>
          </w:tcPr>
          <w:p>
            <w:pPr>
              <w:spacing w:after="0"/>
              <w:rPr>
                <w:sz w:val="15"/>
                <w:szCs w:val="15"/>
                <w:color w:val="auto"/>
              </w:rPr>
            </w:pPr>
          </w:p>
        </w:tc>
        <w:tc>
          <w:tcPr>
            <w:tcW w:w="3460" w:type="dxa"/>
            <w:vAlign w:val="bottom"/>
            <w:tcBorders>
              <w:bottom w:val="single" w:sz="8" w:color="auto"/>
              <w:right w:val="single" w:sz="8" w:color="auto"/>
            </w:tcBorders>
            <w:gridSpan w:val="2"/>
          </w:tcPr>
          <w:p>
            <w:pPr>
              <w:ind w:left="5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44"/>
        </w:trPr>
        <w:tc>
          <w:tcPr>
            <w:tcW w:w="7780" w:type="dxa"/>
            <w:vAlign w:val="bottom"/>
            <w:gridSpan w:val="6"/>
          </w:tcPr>
          <w:p>
            <w:pPr>
              <w:jc w:val="center"/>
              <w:ind w:left="3386"/>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500" w:type="dxa"/>
            <w:vAlign w:val="bottom"/>
            <w:gridSpan w:val="3"/>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040" w:type="dxa"/>
            <w:vAlign w:val="bottom"/>
            <w:gridSpan w:val="2"/>
          </w:tcPr>
          <w:p>
            <w:pPr>
              <w:spacing w:after="0"/>
              <w:rPr>
                <w:sz w:val="6"/>
                <w:szCs w:val="6"/>
                <w:color w:val="auto"/>
              </w:rPr>
            </w:pPr>
          </w:p>
        </w:tc>
        <w:tc>
          <w:tcPr>
            <w:tcW w:w="64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2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7"/>
        </w:trPr>
        <w:tc>
          <w:tcPr>
            <w:tcW w:w="77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40" w:type="dxa"/>
            <w:vAlign w:val="bottom"/>
            <w:vMerge w:val="continue"/>
          </w:tcPr>
          <w:p>
            <w:pPr>
              <w:spacing w:after="0"/>
              <w:rPr>
                <w:sz w:val="19"/>
                <w:szCs w:val="19"/>
                <w:color w:val="auto"/>
              </w:rPr>
            </w:pP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7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4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7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0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4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9"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6"/>
          <w:szCs w:val="16"/>
          <w:color w:val="auto"/>
        </w:rPr>
        <w:t>On June 28, 2024, the last business day of the registrant’s most recently completed second fiscal quarter, the aggregate market value (based on the closing per share sales price of its common stock on that date) of the voting stock held by non-affiliates of the registrant was $223.7 million.</w:t>
      </w:r>
    </w:p>
    <w:p>
      <w:pPr>
        <w:spacing w:after="0"/>
        <w:rPr>
          <w:sz w:val="20"/>
          <w:szCs w:val="20"/>
          <w:color w:val="auto"/>
        </w:rPr>
      </w:pPr>
      <w:r>
        <w:rPr>
          <w:rFonts w:ascii="Times New Roman" w:cs="Times New Roman" w:eastAsia="Times New Roman" w:hAnsi="Times New Roman"/>
          <w:sz w:val="16"/>
          <w:szCs w:val="16"/>
          <w:color w:val="auto"/>
        </w:rPr>
        <w:t>The number of shares outstanding of the registrant’s common stock, as of February 24, 2025, was 13,938,623.</w:t>
      </w: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relating to its 2025 Annual Meeting of Stockholders to be filed with the SEC within 120 days after the end of the fiscal year ended December 31, 2024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RED VIOLET, INC.</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2"/>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 FOR FORM 10-K</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5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50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0" w:type="dxa"/>
            <w:vAlign w:val="bottom"/>
            <w:gridSpan w:val="5"/>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Business</w:t>
            </w:r>
          </w:p>
        </w:tc>
        <w:tc>
          <w:tcPr>
            <w:tcW w:w="8080" w:type="dxa"/>
            <w:vAlign w:val="bottom"/>
            <w:gridSpan w:val="2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Unresolved Staff Comments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Cybersecurity</w:t>
            </w:r>
          </w:p>
        </w:tc>
        <w:tc>
          <w:tcPr>
            <w:tcW w:w="6680" w:type="dxa"/>
            <w:vAlign w:val="bottom"/>
            <w:gridSpan w:val="1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7720" w:type="dxa"/>
            <w:vAlign w:val="bottom"/>
            <w:gridSpan w:val="1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Legal Proceedings</w:t>
            </w:r>
          </w:p>
        </w:tc>
        <w:tc>
          <w:tcPr>
            <w:tcW w:w="7380" w:type="dxa"/>
            <w:vAlign w:val="bottom"/>
            <w:gridSpan w:val="1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20" w:type="dxa"/>
            <w:vAlign w:val="bottom"/>
            <w:gridSpan w:val="4"/>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auto"/>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100" w:type="dxa"/>
            <w:vAlign w:val="bottom"/>
            <w:tcBorders>
              <w:top w:val="single" w:sz="8" w:color="auto"/>
            </w:tcBorders>
            <w:gridSpan w:val="3"/>
          </w:tcPr>
          <w:p>
            <w:pPr>
              <w:spacing w:after="0"/>
              <w:rPr>
                <w:sz w:val="17"/>
                <w:szCs w:val="17"/>
                <w:color w:val="auto"/>
              </w:rPr>
            </w:pPr>
          </w:p>
        </w:tc>
        <w:tc>
          <w:tcPr>
            <w:tcW w:w="2260" w:type="dxa"/>
            <w:vAlign w:val="bottom"/>
            <w:gridSpan w:val="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24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3"/>
          </w:tcPr>
          <w:p>
            <w:pPr>
              <w:spacing w:after="0"/>
              <w:rPr>
                <w:sz w:val="17"/>
                <w:szCs w:val="17"/>
                <w:color w:val="auto"/>
              </w:rPr>
            </w:pPr>
          </w:p>
        </w:tc>
        <w:tc>
          <w:tcPr>
            <w:tcW w:w="696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52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740" w:type="dxa"/>
            <w:vAlign w:val="bottom"/>
            <w:gridSpan w:val="2"/>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462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Executive Compensation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8"/>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auto"/>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Certain Relationships and Related Transactions, and Director Independence</w:t>
            </w:r>
          </w:p>
        </w:tc>
        <w:tc>
          <w:tcPr>
            <w:tcW w:w="1820" w:type="dxa"/>
            <w:vAlign w:val="bottom"/>
            <w:tcBorders>
              <w:top w:val="single" w:sz="8" w:color="auto"/>
            </w:tcBorders>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760" w:type="dxa"/>
            <w:vAlign w:val="bottom"/>
            <w:gridSpan w:val="3"/>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5560" w:type="dxa"/>
            <w:vAlign w:val="bottom"/>
            <w:gridSpan w:val="10"/>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7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auto"/>
              </w:rPr>
              <w:t>Form 10-K Summary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1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2024 (the “2024 Form 10-K”), which are incorporated herein by this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2024 and 2023, IDI had 8,926 and 7,875 billable customers and FOREWARN had 303,418 and 185,380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We define a user of FOREWARN as a unique person that has a subscription to use the FOREWARN service as of the last day of the period. A unique person can only have one user account.</w:t>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2024 and 2023, 77% and 79% of total revenue was attributable to customers with pricing contracts, respectively, versus 23% and 21% attributable to transactional customers,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ind w:right="4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2024 and 2023, we had revenue of $75.2 million and $60.2 million, net income of $7.0 million and $13.5 million (inclusive of a one-time deferred income tax benefit of $10.3 million in 2023), adjusted EBITDA of $23.6 million and $16.4 million, and adjusted net income of $11.5 million and $8.1 million, respectively. Adjusted EBITDA is a non-GAAP financial measure equal to net income, the most directly comparable financial measure based on accounting principles generally accepted in the United States (“US GAAP”), excluding interest income, income tax expense (benefit), depreciation and amortization, share-based compensation expense, litigation costs, and write-off of long-lived assets and others. Adjusted net income is a non-GAAP financial measure equal to net income, the most directly comparable financial measure based on US GAAP, excluding share-based compensation expense, amortization of share-based compensation capitalized in intangible assets, and discrete tax items, and including tax effect of adjustments. Refer to the tables included in “Use and Reconciliation of Non-GAAP Financial Measures” of Item 7,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target market for our solutions today consists of public and private sector organizations that are reliant on high-confidence, AI/ML-driven identity intelligence in their daily workflow.</w:t>
      </w:r>
    </w:p>
    <w:p>
      <w:pPr>
        <w:spacing w:after="0" w:line="13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addressable market includes the data and analytics sector, which continues to grow at an accelerated pace due to the proliferation of data generated over the past two decades from both traditional and emerging sources, including e-commerce, mobile, and social media. Fortune Business Insights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projected the global big data analytics market to rise to $924.4 billion by 2032, exhibiting a CAGR of 13.0% during the forecast period from 2024 through 2032. Continued, rapid innovation and adoption of new technologies presents enormous challenges for organizations of all types to sort through this sea of data to glean actionable intelligence and to inform real-time decisions. Further, the digital transformation has created even greater fragmentation of data across multiple mediums, creating an inherent need for organizations to leverage scalable and unified data and analytics on a single platform. These challenges serve as key drivers of the sector’s growth. Our industry-agnostic platform, solutions, and analytical capabilities are designed to solve the myriad of complex problems that organizations face on a daily basis.</w:t>
      </w:r>
    </w:p>
    <w:p>
      <w:pPr>
        <w:spacing w:after="0" w:line="1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Risk and fraud analytics has become increasingly important not only in the banking and financial services sectors but across multiple other industries and use cases. According to the market research company MarketsAndMarkets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the risk analytics market is projected to grow to $180.9 billion by 2029, representing CAGR of 24.8% from 2024 through 2029, with North America expected to account for the largest market size in the risk analytics market. Risk and fraud analytics and the information derived therefrom is now the primary service product for risk management associated with key purchasers such as financial services companies, insurance companies, healthcare companies, law enforcement and government, identity verification platforms, collections, law firms, retail, telecommunications companies, corporate security, and investigative firms. Primary use cases include, but are not limited to, obtaining information on consumers, businesses,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Challenges Facing Our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solutions address the challenges that organizations face today, which include:</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Actionable Insights Through a Single, Cloud-Native, AI/ML-Driven Platform</w:t>
      </w:r>
      <w:r>
        <w:rPr>
          <w:rFonts w:ascii="Times New Roman" w:cs="Times New Roman" w:eastAsia="Times New Roman" w:hAnsi="Times New Roman"/>
          <w:sz w:val="18"/>
          <w:szCs w:val="18"/>
          <w:color w:val="auto"/>
        </w:rPr>
        <w:t>—As the velocity and volume of data continues to grow exponentially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various mediums, organizations have become overwhelmed with data and their inability to glean actionable insights from such data to enable informed decisions in real-time. Customers demand full-suite, turn-key entity resolution solutions that are agile, flexible, and available on-demand in order to gain the speed, scale, and insight necessary to drive decisioning. As the breadth and depth of data increases, organizations will need to deploy new technologies that enable both the ingestion of data at massive scale in real-time, irrespective of structure or form, and the analytics applications necessary to function across multiple channels. The accelerating digitization of human interactions, and the corresponding generation of the data resulting therefrom, is driving demand for data capture, management, and analysis software. As a result, customers are looking for flexible and efficient single-point solutions to unify disparate and often siloed sets of not only transactional data but also demographic, ethnographic, and behavioral data as well, in order to provide insights that are truly actionable.</w:t>
      </w:r>
    </w:p>
    <w:p>
      <w:pPr>
        <w:spacing w:after="0" w:line="14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and Performance Pressures</w:t>
      </w:r>
      <w:r>
        <w:rPr>
          <w:rFonts w:ascii="Times New Roman" w:cs="Times New Roman" w:eastAsia="Times New Roman" w:hAnsi="Times New Roman"/>
          <w:sz w:val="18"/>
          <w:szCs w:val="18"/>
          <w:color w:val="auto"/>
        </w:rPr>
        <w:t>—As customers face constant cost pressures, they are increasingly dependent upon extracting greater value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solutions. Whether it is identity verification, managing risk, or regulatory compliance, customers are increasingly more sophisticated, requiring enhanced performance that provides fast, accurate, and cost-effective solutions to satisfy their business objectives. Improving performance can mean delivering the right information at the right time at greater scale, or providing the most intuitive information as rapidly as possible to capitalize on opportunities or reduce risk. Superior analytics combined with unified data assets delivers competitive advantages to our customers as they cope with these pressures.</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Delivering Solutions for Complex Problems Using Scalable Analytics</w:t>
      </w:r>
      <w:r>
        <w:rPr>
          <w:rFonts w:ascii="Times New Roman" w:cs="Times New Roman" w:eastAsia="Times New Roman" w:hAnsi="Times New Roman"/>
          <w:sz w:val="18"/>
          <w:szCs w:val="18"/>
          <w:color w:val="auto"/>
        </w:rPr>
        <w:t>—The larger and more complex a data set, the more difficult it is to derive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sustained levels of performance and insight. The highly-fragmented nature of data across multiple mediums and often siloed within organizations, the historical proliferation of data augmented by the recent acceleration of the digital transformation, and lack of robust technology inhibits the ability to create a unified data asset. There is an inherent need for information solutions that allow organizations to leverage unified data assets for actionable intelligence in support of their operational workflows and in a more efficient manner.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our leading-edge technology platform, massive database,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64" w:lineRule="exact"/>
        <w:rPr>
          <w:sz w:val="20"/>
          <w:szCs w:val="20"/>
          <w:color w:val="auto"/>
        </w:rPr>
      </w:pPr>
    </w:p>
    <w:p>
      <w:pPr>
        <w:ind w:left="300" w:hanging="292"/>
        <w:spacing w:after="0" w:line="26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Transformative and Innovative Cloud-Native, AI/ML-Driven Technology Platform</w:t>
      </w:r>
      <w:r>
        <w:rPr>
          <w:rFonts w:ascii="Times New Roman" w:cs="Times New Roman" w:eastAsia="Times New Roman" w:hAnsi="Times New Roman"/>
          <w:sz w:val="18"/>
          <w:szCs w:val="18"/>
          <w:color w:val="auto"/>
        </w:rPr>
        <w:t>—Through the power of our platform, CORE,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suite of information solutions. Our cloud-native, AI/ML-driven, data and industry agnostic platform enables us to assimilate, structure, and unify billions of disparate records to create the leading core consumer identity graph to provide identity intelligence, and to present these insights in real-time via analytical interfaces. We believe our platform’s speed, power, extensibility, and scalability are key differentiators in the marketplace.</w:t>
      </w:r>
    </w:p>
    <w:p>
      <w:pPr>
        <w:spacing w:after="0" w:line="68" w:lineRule="exact"/>
        <w:rPr>
          <w:rFonts w:ascii="Times New Roman" w:cs="Times New Roman" w:eastAsia="Times New Roman" w:hAnsi="Times New Roman"/>
          <w:sz w:val="18"/>
          <w:szCs w:val="18"/>
          <w:color w:val="auto"/>
        </w:rPr>
      </w:pPr>
    </w:p>
    <w:p>
      <w:pPr>
        <w:ind w:left="300" w:right="20" w:hanging="292"/>
        <w:spacing w:after="0" w:line="254"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Massive Unified Data Asset</w:t>
      </w:r>
      <w:r>
        <w:rPr>
          <w:rFonts w:ascii="Times New Roman" w:cs="Times New Roman" w:eastAsia="Times New Roman" w:hAnsi="Times New Roman"/>
          <w:sz w:val="18"/>
          <w:szCs w:val="18"/>
          <w:color w:val="auto"/>
        </w:rPr>
        <w:t>—Data is the lifeblood of our technology platform, and of modern society. We leverage our CORE platform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massive proprietary datasets and apply analytics in real-time to provide actionable insights from our leading core consumer identity graph. Our data is compiled from a myriad of online and offline sources, both structured and unstructured, including public record, publicly-available, proprietary, and self-reported data. Public record data includes personal information, as well as property, identity, bankruptcy, lien, judgment, automotive, phone, and other information aggregated from companies specializing in data aggregation, public record databases, and publicly-available sources. Proprietary data is internally generated data unified by proprietary algorithms and analytic processes. Through AI/ML-driven technology and proprietary algorithms, we efficiently ingest these datasets, structure them into normalized form, and unify the data to resolve unique identities so as to create an actionable, real-time view of the information for various use cases, delivering greater intelligence to our customers and enhancing their decision-making capabilities across all markets and industries.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Platform and Solutions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Distribution and Marketing</w:t>
      </w:r>
    </w:p>
    <w:p>
      <w:pPr>
        <w:spacing w:after="0" w:line="18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Inside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Our inside sales team cultivates relationships, and ultimately closes business, with their end-user markets. These professionals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relationship-based sellers with experience in identifying customers’ needs and clearly explaining and defining products that provide solutions to those needs.</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While the majority of our direct sales efforts are supported through professional inside sales staff, major accounts within certain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a more personal, face-to-face strategic sales approach. We continue to expand this team to meet the demand of the markets.</w:t>
      </w:r>
    </w:p>
    <w:p>
      <w:pPr>
        <w:spacing w:after="0" w:line="11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Distributors, Resellers, and Strategic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conjunction with direct-to-customer sales efforts, we engage value-added distributors, resellers,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3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Marketing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We have implemented various methods to market our products, including participation in trade shows and seminars, advertising,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 distribution of sales literature and product specifications and ongoing communication with prospective customers, distributors, resellers, strategic partners and our installed base of current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committed to developing innovative technology and using our analytical capabilities to deliver solutions that transform the way organizations interact with information. We are advancing our business through the following strategic approach:</w:t>
      </w:r>
    </w:p>
    <w:p>
      <w:pPr>
        <w:spacing w:after="0" w:line="117" w:lineRule="exact"/>
        <w:rPr>
          <w:sz w:val="20"/>
          <w:szCs w:val="20"/>
          <w:color w:val="auto"/>
        </w:rPr>
      </w:pPr>
    </w:p>
    <w:p>
      <w:pPr>
        <w:ind w:left="300" w:right="160" w:hanging="292"/>
        <w:spacing w:after="0" w:line="259"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Transform Data Into Intelligence</w:t>
      </w:r>
      <w:r>
        <w:rPr>
          <w:rFonts w:ascii="Times New Roman" w:cs="Times New Roman" w:eastAsia="Times New Roman" w:hAnsi="Times New Roman"/>
          <w:sz w:val="18"/>
          <w:szCs w:val="18"/>
          <w:color w:val="auto"/>
        </w:rPr>
        <w:t>—Our core consumer identity graph, integrated with our AI/ML-driven technology platform and solutions, delivers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actionable intelligence to organizations across diverse industries. As the digital transformation accelerates, the data generated therefrom increases rapidly. Derived semantic insight increases exponentially with each new data asset, creating compounded additional value that can be used by supervised and unsupervised machine learning algorithms. As we identify, assimilate, and unify these new data assets, our solutions expand in applicability to larger-sized customers as well as additional industries and uses cases within.</w:t>
      </w:r>
    </w:p>
    <w:p>
      <w:pPr>
        <w:spacing w:after="0" w:line="152" w:lineRule="exact"/>
        <w:rPr>
          <w:rFonts w:ascii="Times New Roman" w:cs="Times New Roman" w:eastAsia="Times New Roman" w:hAnsi="Times New Roman"/>
          <w:sz w:val="18"/>
          <w:szCs w:val="18"/>
          <w:color w:val="auto"/>
        </w:rPr>
      </w:pPr>
    </w:p>
    <w:p>
      <w:pPr>
        <w:ind w:left="300" w:right="60" w:hanging="292"/>
        <w:spacing w:after="0" w:line="259"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Widen Our Technology Lead</w:t>
      </w:r>
      <w:r>
        <w:rPr>
          <w:rFonts w:ascii="Times New Roman" w:cs="Times New Roman" w:eastAsia="Times New Roman" w:hAnsi="Times New Roman"/>
          <w:sz w:val="18"/>
          <w:szCs w:val="18"/>
          <w:color w:val="auto"/>
        </w:rPr>
        <w:t>—Unlike legacy technologies, our platform was built in the cloud from the ground up. Due to its cloud-native construct,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CORE demonstrates increased speed and scalability as compared to legacy constructs. As competitors invest millions of dollars transitioning platforms from dated infrastructures to primarily hybrid-cloud environments, we are advancing and expanding our cloud-native technology and functionality to meet customer need, as customers increasingly rely on the speed, reliability, security, scalability, and efficiencies that only the cloud delivers. We will continue to invest in our technology and people to widen our lead over competitive technologies.</w:t>
      </w:r>
    </w:p>
    <w:p>
      <w:pPr>
        <w:spacing w:after="0" w:line="138" w:lineRule="exact"/>
        <w:rPr>
          <w:rFonts w:ascii="Times New Roman" w:cs="Times New Roman" w:eastAsia="Times New Roman" w:hAnsi="Times New Roman"/>
          <w:sz w:val="18"/>
          <w:szCs w:val="18"/>
          <w:color w:val="auto"/>
        </w:rPr>
      </w:pPr>
    </w:p>
    <w:p>
      <w:pPr>
        <w:ind w:left="300" w:hanging="292"/>
        <w:spacing w:after="0" w:line="257"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Enhance Functionality and Develop New Products</w:t>
      </w:r>
      <w:r>
        <w:rPr>
          <w:rFonts w:ascii="Times New Roman" w:cs="Times New Roman" w:eastAsia="Times New Roman" w:hAnsi="Times New Roman"/>
          <w:sz w:val="18"/>
          <w:szCs w:val="18"/>
          <w:color w:val="auto"/>
        </w:rPr>
        <w:t>—We operate with a relentless focus on innovation and the customer experience. Customers rely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solutions to solve complex problems, to make better data-driven decisions, and to produce greater efficiencies in their workflow. We are devoted to enhancing the functionality of our current solutions and to developing new products, to enable more intelligent interaction with information and to become further engrained in the daily workflows of our customers. As we introduce greater functionality and additional products, it will serve to expand the applications of our solutions, and increase the opportunities whereby our customers can solve for existing and evolving problems generated by disparate and siloed data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0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Competition in the data and analytics sector centers on innovation, product stability, pricing, and customer service. The market for our products and services is highly competitive and is subject to constant change. We compete on the basis of innovative technology, differentiated solutions, analytical capabilities, integration with our customers’ technology, customer relationships, service stability, and price. We believe we are well-positioned to effectively compete on all fronts.</w:t>
      </w:r>
    </w:p>
    <w:p>
      <w:pPr>
        <w:spacing w:after="0" w:line="13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innovative technology, analytical capabilities, robust and unified database, and the intelligent design of our cloud-native infrastructure will allow us to differentiate ourselves from our competition in flexibility, capability, service, and price.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4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Certain companies in the data and analytics sector have expanded their product lines or technologies in recent years as a result of increased investment and acquisitions. We anticipate increased competition from data and analytics suppliers.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Customers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no individual customer accounted for more than 10% of total revenue.</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individual customer accounted for more than 10% of our accounts receivable, net, as of December 31, 2024, and one individual customer accounted for 11% of our accounts receivable, net,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Suppliers</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the major credit bureaus, including our largest data supplier. Our other data suppliers include strategic partners, as well as various government and public record databases. Our largest data supplier, with whom we have expanded our relationship while securing what we believe to be favorable business terms over the years, accounted for 45% and 48% of our total data acquisition costs for the years ended December 31, 2024 and 2023, respectively. The amended and renewed term of the agreement with this supplier ends June 30, 2026. We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us and we may terminate this agreement by providing not less than 24 months’ advance written notice to this supplier. As of December 31, 2024, the remaining minimum purchase commitments through the end of the amended and renewed term is $8.1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While we may hold one or more patents, we do not rely primarily on patents to protect our intellectually property. Through contractual arrangements, robust employee training programs, and other information safeguards, we protect our key proprietary information and databases as trade secrets.</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use data acquired through licensing rights from approximately 30 providers. The loss of any one of these providers could have an immediate near-term impact on our financial position, results of operations, and liquidity. Also see “Concentration of Suppliers”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rules, and regulations, including, without limitation, the Gramm-Leach-Bliley Act (15 U.S.C. §§ 6801- 6809) (the “GLBA”), the Driver’s Privacy Protection Act (18 U.S.C. §§ 2721- 2725) (the “DPPA”) and the Federal Trade Commission Act (the “FTC Act”). Additional requirements may also apply to us when providing services to U.S. federal, state, and local government agencies, including, without limitation, various Federal Acquisition Regulation and associated supplemental contract clauses.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are subject to seasonal fluctuation. Historically, certain products experience seasonal pressure during the fourth quarter.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employ a total of 215 employees, all full-time, as of December 31, 2024. None of our employees are represented by a labor organization, and none are party to any collective bargaining agreement. We have not experienced any work stoppages and consider our relations with our employees to be good. Competition in the recruiting of personnel in the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26, 2018, Cogint, Inc. (“cogint”) (now known as Fluent, Inc.) spun off its risk management business by way of a distribution of all of the shares of common stock of its then wholly-owned subsidiary, red violet, to its stockholders as of the record date and certain warrant holders (the “Spin-off”).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2650 North Military Trail, Suite 300, Boca Raton, Florida 33431 and our telephone number is (561) 757-4000. Our corporate website is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The website address provided in this 2024 Form 10-K is not intended to function as a hyperlink and information obtained on the website is not and should not be considered part of this 2024 Form 10-K and is not incorporated by reference in this 2024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SEC maintains an internet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that contains the information we file or furnish electronically with the SEC.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2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39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executive officers are as follows:</w:t>
            </w:r>
          </w:p>
        </w:tc>
        <w:tc>
          <w:tcPr>
            <w:tcW w:w="12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Dubner</w:t>
            </w:r>
          </w:p>
        </w:tc>
        <w:tc>
          <w:tcPr>
            <w:tcW w:w="12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James Reilly</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Daniel MacLachlan</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Jeff Dell</w:t>
            </w:r>
          </w:p>
        </w:tc>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Information Officer</w:t>
            </w:r>
          </w:p>
        </w:tc>
      </w:tr>
    </w:tbl>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Mr. Derek Dubner</w:t>
      </w:r>
      <w:r>
        <w:rPr>
          <w:rFonts w:ascii="Times New Roman" w:cs="Times New Roman" w:eastAsia="Times New Roman" w:hAnsi="Times New Roman"/>
          <w:sz w:val="18"/>
          <w:szCs w:val="18"/>
          <w:color w:val="auto"/>
        </w:rPr>
        <w:t>, 53, has served as the Chief Executive Officer and a director of the Company since its formation in August 2017 and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Spin-off from cogint on March 26, 2018. Mr. Dubner was appointed as Interim Chairman of our Board of Directors in September 2018 and as Chairman of our Board of Directors in April 2020. Mr. Dubner served as the Chief Executive Officer and a director of cogint, from March 2016 until the Spin-off. Mr. Dubner served as cogint’s Co-Chief Executive Officer from March 2015 until March 2016.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4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Mr. James Reilly</w:t>
      </w:r>
      <w:r>
        <w:rPr>
          <w:rFonts w:ascii="Times New Roman" w:cs="Times New Roman" w:eastAsia="Times New Roman" w:hAnsi="Times New Roman"/>
          <w:sz w:val="18"/>
          <w:szCs w:val="18"/>
          <w:color w:val="auto"/>
        </w:rPr>
        <w:t>, 50, has served as President of the Company since its formation in August 2017 and continuing through its Spin-off from cogint.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Reilly served as President of cogint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Mr. Daniel MacLachlan</w:t>
      </w:r>
      <w:r>
        <w:rPr>
          <w:rFonts w:ascii="Times New Roman" w:cs="Times New Roman" w:eastAsia="Times New Roman" w:hAnsi="Times New Roman"/>
          <w:sz w:val="18"/>
          <w:szCs w:val="18"/>
          <w:color w:val="auto"/>
        </w:rPr>
        <w:t>, 46, has served as the Chief Financial Officer of the Company since its formation in August 2017 and continuing through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Spin-off from cogint. Mr. MacLachlan served as Chief Financial Officer of cogint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TLO in December 2013. Mr. MacLachlan was the Chief Financial Officer of TLO from inception in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8"/>
          <w:szCs w:val="18"/>
          <w:b w:val="1"/>
          <w:bCs w:val="1"/>
          <w:color w:val="auto"/>
        </w:rPr>
        <w:t>Mr. Jeff Dell</w:t>
      </w:r>
      <w:r>
        <w:rPr>
          <w:rFonts w:ascii="Times New Roman" w:cs="Times New Roman" w:eastAsia="Times New Roman" w:hAnsi="Times New Roman"/>
          <w:sz w:val="18"/>
          <w:szCs w:val="18"/>
          <w:color w:val="auto"/>
        </w:rPr>
        <w:t>, 53, has served as the Chief Information Officer of the Company since its formation in August 2017 and continuing through its Spin-off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an information solutions provider in the data fusion industry.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operating results, and cash flows may be impacted by a number of factors, many of which are beyond our control, including those set forth below and elsewhere in this 2024 Form 10-K, the occurrence of any one of which could have a material adverse effect on our actual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Technology Risks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in the data and analytics sector, we may lose customers and/or our products and/or services may become obsolete.</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4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distributors, or strategic partners.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10" w:name="page11"/>
    <w:bookmarkEnd w:id="10"/>
    <w:p>
      <w:pPr>
        <w:ind w:right="100"/>
        <w:spacing w:after="0" w:line="253" w:lineRule="auto"/>
        <w:rPr>
          <w:sz w:val="20"/>
          <w:szCs w:val="20"/>
          <w:color w:val="auto"/>
        </w:rPr>
      </w:pPr>
      <w:r>
        <w:rPr>
          <w:rFonts w:ascii="Times New Roman" w:cs="Times New Roman" w:eastAsia="Times New Roman" w:hAnsi="Times New Roman"/>
          <w:sz w:val="18"/>
          <w:szCs w:val="18"/>
          <w:color w:val="auto"/>
        </w:rPr>
        <w:t>We also rely heavily on large information technology databases and the ability to provide services using that information from those databases.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Hackers may especially target concerns that are known to maintain large repositories of proprietary information or personal information, which can then be exploited for the hacker's personal gain. If we grow and obtain more visibility, we may be more vulnerable to hacking or other attempts to gain unauthorized access to our system. Moreover, the increased use of mobile devices also increases the risk of theft or the intentional and unintentional disclosure of data including proprietary information or personal information. We may be unable to anticipate all of these vulnerabilities and implement adequate preventative measures and, in some cases, we may not be able to immediately detect a security incident. Any security incident could result in legal, regulatory, and financial liability, as well as harm to our reputation.</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or outside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Privacy concerns relating to the collection, use, accuracy, correction and sharing of personal information and any perceived or actual unauthorized disclosure of personal information, whether through breach of our network by an unauthorized party, employee theft, misuse, or error could harm our reputation, impair our ability to attract website visitors and to attract and retain customers, result in a loss of confidence in the security of our products and services, or subject us to claims or litigation arising from damages suffered by consumers, and thereby harm our business and results of operations. In addition, we could incur significant costs which our insurance policies may not adequately cover, and we may need to expend significant resources to protect against security breaches and comply with the multitude of state and federal laws regarding data privacy and data breach notification obligations.</w:t>
      </w:r>
    </w:p>
    <w:p>
      <w:pPr>
        <w:spacing w:after="0" w:line="14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4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a nationwide provider of risk and information solutions, we aggregate, store, and process a large amount of sensitive and confidential consumer information including financial information and personal information. This data is often accessed through secure transmissions over public and private networks, including the internet. We have invested significant resources to implement technical and physical security policies, procedures and systems, as well as contractual precautions, that we believe are reasonably designed to identify, detect, and prevent the unauthorized access to and alteration and disclosure of our data. Despite these investments and precautions,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Due to both the nature and volume of the information we aggregate, store, and process, it is not unusual for efforts to occur (coordinated or otherwise) by unauthorized persons to attempt to obtain access to our systems or data, or to inhibit our ability to deliver products or services to a customer. These efforts are likely becoming more sophisticated over time and may attempt to exploit obscure vulnerabilities. We must regularly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precautions may be inadequate to thwart a cybersecurity incident. Furthermore, 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6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and complexity of our operations and the high volume of transactions that we process;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number of customers, counterparties and third-party service providers with which we do business;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7" w:right="379" w:bottom="1440" w:gutter="0" w:footer="0" w:header="0"/>
        </w:sectPr>
      </w:pPr>
    </w:p>
    <w:bookmarkStart w:id="11" w:name="page12"/>
    <w:bookmarkEnd w:id="11"/>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and increasing sophistication of cyberattacks;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third party, after establishing a foothold on an internal network without being detected, might obtain access to other networks and systems.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and other requirements in the event that a consumer's personal information is accessed by unauthorized persons. It is likely that additional laws pertaining to the use, access, accuracy, and security of personal information will be adopted in the future. In the United States, federal and state laws provide for more than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our systems, our certifications, our technology, and our interfaces with data and customers, demand for our services could be adversely affected.</w:t>
      </w:r>
    </w:p>
    <w:p>
      <w:pPr>
        <w:spacing w:after="0" w:line="1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our industry, there are continuous improvements in computer hardware, network operating systems, programming tools, programming languages, operating systems, data matching, data filtering and other database technologies, as well as the use of the internet and emerging technologies, such as but not limited to, artificial intelligence.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 and implement new and competitive technologies;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customer needs and regulatory requirements, including being able to bring our new products to the market quickly;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customers and data sources successfully to new interfaces or other technologies.</w:t>
      </w:r>
    </w:p>
    <w:p>
      <w:pPr>
        <w:spacing w:after="0" w:line="1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4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Furthermore, we may be required to obtain various industry or technical certifications under our contracts or otherwise to keep pace with our competitors. If we fail to achieve and maintain these key industry or technical certifications, our customers may stop doing business with us and we may not be able to win new business, which would negatively affect our revenue.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may result in reputational harm, liability, or other adverse consequences to our business.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certain machine learning and artificial intelligence technologies in our business, and we are making continuing investments in this area, including ongoing deployment and improvement of existing machine learning and artificial intelligence technologies. These technologies are complex and continually evolving, and we face significant competition from other companies. Also, lawmakers have proposed laws and rulemaking related to the development and use of these technologies. Likewise, regulatory agencies, such as the Federal Trade Commission (FTC), have used their existing authority to bring legal action against organizations who are alleged to have deceived or harmed consumers through their usage of these technologies. We may be required to comply with new laws and regulations, as well as develop additional policies and practices for using certain data within machine learning and artificial intelligence technologies, which may be costly and time consuming. The introduction of machine learning and artificial intelligence technologies into new or existing products may result in increased risks, such as the risk of government scrutiny, lawsuits, security risks, or other issues that could adversely affect our business, our reputation, and/or our financial results.</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Also, artificial intelligence may create content that appears correct but is flawed or erroneous. Any flaws or errors discovered in our products after commercial release could result in loss of revenue or delay in revenue recognition, or loss of customers, any of which could adversely affect our business and results of operations. In addition, we could face claims for product liability.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9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is subject to regulation under the GLBA, the DPPA, the FTC Act, and various other federal, state, and local laws and regulations, as well as - when we provide services to government agencies - applicable government procurement regulations and associated contract clauses. These laws and regulations, which generally are designed to protect consumers and to prevent the misuse of personal information are complex, change frequently, and have tended to become more stringent over time. We have already incurred significant expenses in our endeavors to comply with these laws.</w:t>
      </w:r>
    </w:p>
    <w:p>
      <w:pPr>
        <w:spacing w:after="0" w:line="13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Currently, public concern is high with regard to the collection, use, accuracy, correction, and sharing of personal information, including Social Security numbers, dates of birth, financial information, department of motor vehicle data, and other data which is personally identifiable or may be considered sensitive. In addition, many advocacy groups as well as some legislatures and government regulators believe that existing laws and regulations do not adequately protect privacy, and are otherwise concerned with businesses’ collection, storage, and use of personal information. Relatedly, several U.S. states have introduced and passed legislation to provide consumers with greater transparency and control over their personal information. Laws may allow consumers to request that businesses disclose to them what personal information is collected about them, delete or correct such personal information, and opt-them out of the sale or sharing of their personal information. There are approximately 20 states that have enacted some form of comprehensive data privacy legislation similar to the California Consumer Privacy Act and/or the Virginia Consumer Data Protection Act. While these laws include specific exemptions, including exemptions for practices and activities conducted pursuant to the GLBA and DPPA, they apply to other portions of our business that are not conducted pursuant to these laws. Other states are actively considering privacy and security bills, and may pass laws, either similar or dissimilar to existing state privacy laws in the future. Furthermore, the U.S. Congress is considering legislation and several administrative agencies are considering or have proposed rulemaking, each with respect to data privacy and security. At this time, it is unclear whether Congress will pass a law or whether any administrative agencies will proceed with regulatory action. At this time, it is also unclear whether any federal requirements will supplement or preempt state-level data privacy and security laws. In the absence of additional federal legislation or rulemaking, federal administrative agencies such as the FTC and the Consumer Financial Protection Bureau (CFPB) have increasingly used their existing authority to bring legal action against organizations who are alleged to have violated consumers’ privacy rights or failed to maintain adequate security measures.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3" w:name="page14"/>
    <w:bookmarkEnd w:id="13"/>
    <w:p>
      <w:pPr>
        <w:ind w:right="80"/>
        <w:spacing w:after="0" w:line="255" w:lineRule="auto"/>
        <w:rPr>
          <w:sz w:val="20"/>
          <w:szCs w:val="20"/>
          <w:color w:val="auto"/>
        </w:rPr>
      </w:pPr>
      <w:r>
        <w:rPr>
          <w:rFonts w:ascii="Times New Roman" w:cs="Times New Roman" w:eastAsia="Times New Roman" w:hAnsi="Times New Roman"/>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customers could affect the activities or strategies of such customers and, therefore, lead to reductions in their level of business with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legal and regulatory developments also could have a material adverse effect on our business, financial condition, or results of operations:</w:t>
      </w:r>
    </w:p>
    <w:p>
      <w:pPr>
        <w:spacing w:after="0" w:line="117" w:lineRule="exact"/>
        <w:rPr>
          <w:sz w:val="20"/>
          <w:szCs w:val="20"/>
          <w:color w:val="auto"/>
        </w:rPr>
      </w:pPr>
    </w:p>
    <w:p>
      <w:pPr>
        <w:ind w:left="560" w:right="16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53" w:lineRule="exact"/>
        <w:rPr>
          <w:rFonts w:ascii="Times New Roman" w:cs="Times New Roman" w:eastAsia="Times New Roman" w:hAnsi="Times New Roman"/>
          <w:sz w:val="18"/>
          <w:szCs w:val="18"/>
          <w:color w:val="auto"/>
        </w:rPr>
      </w:pPr>
    </w:p>
    <w:p>
      <w:pPr>
        <w:ind w:left="560" w:right="12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perception or the position of government actors in favor of further restrictions on information collection and sharing, which may lead to regulations that prevent full utilization of our solutions;</w:t>
      </w:r>
    </w:p>
    <w:p>
      <w:pPr>
        <w:spacing w:after="0" w:line="53" w:lineRule="exact"/>
        <w:rPr>
          <w:rFonts w:ascii="Times New Roman" w:cs="Times New Roman" w:eastAsia="Times New Roman" w:hAnsi="Times New Roman"/>
          <w:sz w:val="18"/>
          <w:szCs w:val="18"/>
          <w:color w:val="auto"/>
        </w:rPr>
      </w:pPr>
    </w:p>
    <w:p>
      <w:pPr>
        <w:ind w:left="560" w:right="360" w:hanging="507"/>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customers, resellers, distributors, strategic business partners, or vendors to comply with laws or regulations, where these third parties' failures could reflect negatively on us or require us to cease or limit our business with them;</w:t>
      </w:r>
    </w:p>
    <w:p>
      <w:pPr>
        <w:spacing w:after="0" w:line="53"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comply with current laws and regulations; and</w:t>
      </w:r>
    </w:p>
    <w:p>
      <w:pPr>
        <w:spacing w:after="0" w:line="117"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solutions to adapt to changes in the regulatory environment in an efficient, cost-effective manner.</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4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Legal proceedings arise as part of the normal course of our business. These may include actions between us and a current or former employee, actions between us and a current former customer, individual consumer cases, class action lawsuits and inquiries, investigations, examinations, regulatory proceedings, or other actions brought by federal (e.g., the FTC or CFPB)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While we maintain various insurance policies that we believe provide us with suitable coverage and protection in the event of litigation or other legal proceedings, those policies may contain exclusions or limitations, resulting in some cases in us retaining all or a portion of the risk of loss.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Accounting Standards Codification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5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of 1933, as amended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Operations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operating results remain uncertain.</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need to generate greater revenue from the sale of our products and services if we are to sustain profitability. If we are unable to generate greater revenue, we may not be able to continue to achieve profitability and generate positive cash flow from operations in the future</w:t>
      </w:r>
    </w:p>
    <w:p>
      <w:pPr>
        <w:spacing w:after="0" w:line="13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in part, on strategic alliances and joint ventures to grow our business. If we are unable to develop and maintain these strategic alliances and joint ventures, our growth may be adversely affected.</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important focus of our business is to identify business relationships that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If we consummate any future acquisitions, we will be subject to the risks inherent in identifying, acquiring, and operating a newly acquired business</w:t>
      </w:r>
      <w:r>
        <w:rPr>
          <w:rFonts w:ascii="Times New Roman" w:cs="Times New Roman" w:eastAsia="Times New Roman" w:hAnsi="Times New Roman"/>
          <w:sz w:val="18"/>
          <w:szCs w:val="18"/>
          <w:i w:val="1"/>
          <w:iCs w:val="1"/>
          <w:color w:val="auto"/>
        </w:rPr>
        <w:t>.</w:t>
      </w:r>
    </w:p>
    <w:p>
      <w:pPr>
        <w:spacing w:after="0" w:line="20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84"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existing businesses, including the diversion of management attention and the redeployment of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or industries in which we have limited prior experience;</w:t>
      </w:r>
    </w:p>
    <w:p>
      <w:pPr>
        <w:spacing w:after="0" w:line="117"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hidden, or fraudulent liabilities;</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aligning and coordinating organizations which will likely be geographically separated and may involve diverse business operations and corporate cultures;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and retaining key management, sales, research and development, production, and other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or distribution partners of the acquired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incorporating the acquired business into our organization;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customers, resellers, distributors, strategic business partners, or suppliers;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difficulties in integrating or expanding information technology systems and other business processes to accommodate the acquired business;</w:t>
      </w:r>
    </w:p>
    <w:p>
      <w:pPr>
        <w:spacing w:after="0" w:line="117" w:lineRule="exact"/>
        <w:rPr>
          <w:rFonts w:ascii="Times New Roman" w:cs="Times New Roman" w:eastAsia="Times New Roman" w:hAnsi="Times New Roman"/>
          <w:sz w:val="18"/>
          <w:szCs w:val="18"/>
          <w:color w:val="auto"/>
        </w:rPr>
      </w:pPr>
    </w:p>
    <w:p>
      <w:pPr>
        <w:ind w:left="380" w:right="60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impairments of goodwill and other intangible assets if the acquired business does not perform as expected;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necessary government approvals for the acquisition, if any;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successfully operating the acquired business.</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key customers may be materially diminished or terminated, which could adversely affect our business, financial condition, and results of operations.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key personnel, it could adversely affect our business.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and retain key personnel. Our future also depends on the continued services of Derek Dubner, our Chief Executive Officer and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the FTC and certain other government entities have indicated a desire to limit the allowability of agreements that are designed to prevent employees from competing with their former employers. If the enforceability of these types of “non-compete” agreements is affected by future lawmaking or regulatory action, it may impede our ability to ensure that former employees, who received training and experience through their employment with us, refrain from using their knowledge of our business and operations to compete with us.</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customers, and therefore our business and revenue, sometimes depend on favorable macroeconomic conditions and are impacted by the availability of credit, the level and volatility of interest rates, inflation, tariffs, employment levels, consumer confidence, and housing demand. In addition, a significant amount of our revenue is concentrated in the U.S. market across a broad range of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Recent inflation, and higher interest rates imposed to combat inflation, may reduce the demand for various commercial transactions. The imposition of tariffs by the United States on foreign goods, tensions over the imposition of such tariffs, and (both actual and anticipated) retaliation from other countries may exasperate these issues. This, in turn, may lead to a decline in the volume of services we provide to our customers in the banking or financial industry, or other industries that are affected by these types of disruptions. If businesses in these industries experience economic hardship, we cannot assure you that we will be able to generate future revenue growth and these types of disruptions could negatively impact our revenue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our access to data sources which could prevent us from providing our services.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and services depend extensively upon continued access to and receipt of data from external sources, including data received from strategic partners and various government and public record databases. In some cases, we compete with our data suppliers. Our data suppliers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 Also see “Concentration of Suppliers” above.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adequately protect our intellectual property in order to prevent loss of valuable proprietary information.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4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third parties may independently develop intellectual property similar to ours, but without use of our trade secrets or proprietary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cases, the value of our intellectual property may be diminished but we will lack any enforceable right or remedy.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both start-up and established companies that may have significant advantages over us and our products.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market for our products and services is intensely competitive. There are numerous companies competing with us in various segments of the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principal competitors in the data and analytics sector include RELX Group (LexisNexis), TransUnion, and Thomson Reuters. Current and potential competitors may have one or more of the following significant advantages:</w:t>
      </w:r>
    </w:p>
    <w:p>
      <w:pPr>
        <w:spacing w:after="0" w:line="5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name recognition;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solutions;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or more extensive cooperative relationships;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further consolidation in our end-customer markets, which may adversely affect our revenue.</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3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1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newer products do not achieve market acceptance, revenue growth may suffer.</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products have been in the marketplace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4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data and analytics sector may limit market acceptance of our products and services.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and/or data. Further, business combinations are creating companies with larger market shares, customer bases, sales forces, product offerings and technology and marketing expertise, which may make it more difficult for us to compete.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defending the Company against claims of infringement.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issues, including any future reporting obligations in connection with environmental issues, may adversely impact our business and operations.</w:t>
      </w:r>
    </w:p>
    <w:p>
      <w:pPr>
        <w:spacing w:after="0" w:line="1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Extreme weather events and natural disasters may disrupt our operations or those of our customers and suppliers. These events may become more frequent and more severe as a result of climate change, and the long-term impacts to the economy and our industry are unknown. While we maintain business continuity and disaster recovery plans, we cannot be certain that those plans will be effective. Even if we are unaffected by an extreme weather event or natural disaster, or recover from one quickly, our customers or suppliers may be more severely impacted, thereby affecting their ability to continue to do business with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the value of an investment in our common stock may decline.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5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pandemics, war, and/or events of terrorism.</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5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20" w:name="page21"/>
    <w:bookmarkEnd w:id="2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Since the Spin-off and through December 31, 2024, we issued an aggregate of 3,831,483 shares of our common stock in connection with vesting of awards made under the Red Violet, Inc. 2018 Stock Incentive Plan, as amended (the “2018 Plan”), 857,198 shares of which were retired and cancelled. Also, as of December 31, 2024, 56,984 shares underlying awards made under the 2018 Plan have vested but the delivery has been deferred by the recipients, and an additional 887,268 shares underlying awards made under the 2018 Plan are scheduled to vest and be delivered through 2030. Pursuant to the 2018 Plan, our Board of Directors may grant stock options, restricted stock units (“RSUs”), or other equity awards to our directors and employees. Future stock incentive plans may also allow our Board of Directors to issue these equity awards to our directors and employees. When these awards vest or are exercised, the issuance of shares of common stock underlying these awards will have a dilutive effect on our common stock. Future acquisitions may involve the issuance of our common stock as payment, in part or in full, for the business or assets acquired. The benefits derived by us from an acquisition might not exceed the dilutive effect of the shares issued as part of the acquisition.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may limit individual stockholder ability to influence corporate matters.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December 31, 2024, officers and directors of the Company owned approximately 10% of our common stock (approximately 12% on a fully diluted basis). In addition, one other significant stockholder of the Company owned approximately 11% of our common stock.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5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however, we are still a “smaller reporting company,” and the reduced disclosure requirements applicable to smaller reporting companies may make our common stock less attractive to investors.</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ceased to be an “emerging growth company” on December 31, 2023, as defined in the Jumpstart Our Business Startups Act of 2012, or JOBS Act, we remain a “smaller reporting company.”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a smaller reporting company, we may continue to rely on exemptions from certain disclosure requirements that are available to smaller reporting companies. Specifically, we may choose to present only the two most recent fiscal years of audited financial statements in our Annual Report on Form 10-K and, similar to emerging growth companies, smaller reporting companies have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we may need additional capital in the future, we cannot be certain that it will be available to us on acceptable terms when required, or at all. Disruptions in the global equity and credit markets may limit our ability to access capital. Since the Spin-off and through December 31, 2024, we issued an aggregate of 1,233,915 shares of our common stock in connection with registered direct offerings.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continue to declare or pay dividends on our common stock in the future.</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3, 2024, we declared a special cash dividend on our common stock of $0.30 per share (the "Special Cash Dividend"), payable on or about February 14, 2025, to shareholders of record as of the close of business on January 31, 2025. However, there is no assurance that we will continue to declare or pay cash dividends in the future. Any future dividend payments are within the discretion of our Board of Directors and will depend upon, among other things, our results of operations, working capital requirements, capital expenditure requirements, financial condition, level of indebtedness, any contractual restrictions with respect to payment of dividends, business opportunities, anticipated cash needs, provisions of applicable law, and other factors that our Board of Directors may deem relevant.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a comprehensive information security program designed to protect the confidentiality, integrity, and availability of our critical systems and information, as well as to identify, assess, manage, mitigate, and respond to cybersecurity threats. Our systems and processes are assessed by independent third parties for compliance with: the International Standard Organization (“ISO”) 27001; System and Organization Controls (“SOC”) 2, Type 2; and Payment Card Industry Data Security Standards (“PCI DSS”) Level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information security program includes the following key elements to help identify, manage, mitigate, and respond to cybersecurity threats:</w:t>
      </w:r>
    </w:p>
    <w:p>
      <w:pPr>
        <w:spacing w:after="0" w:line="113" w:lineRule="exact"/>
        <w:rPr>
          <w:sz w:val="20"/>
          <w:szCs w:val="20"/>
          <w:color w:val="auto"/>
        </w:rPr>
      </w:pPr>
    </w:p>
    <w:p>
      <w:pPr>
        <w:ind w:left="300" w:right="28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 assessments</w:t>
      </w:r>
      <w:r>
        <w:rPr>
          <w:rFonts w:ascii="Times New Roman" w:cs="Times New Roman" w:eastAsia="Times New Roman" w:hAnsi="Times New Roman"/>
          <w:sz w:val="18"/>
          <w:szCs w:val="18"/>
          <w:color w:val="auto"/>
        </w:rPr>
        <w:t>—We conduct risk assessments designed to help identify material cybersecurity risks, quantify the impact and probability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develop mitigating controls, and periodically reassess previously identified risks.</w:t>
      </w:r>
    </w:p>
    <w:p>
      <w:pPr>
        <w:spacing w:after="0" w:line="4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Testing</w:t>
      </w:r>
      <w:r>
        <w:rPr>
          <w:rFonts w:ascii="Times New Roman" w:cs="Times New Roman" w:eastAsia="Times New Roman" w:hAnsi="Times New Roman"/>
          <w:sz w:val="18"/>
          <w:szCs w:val="18"/>
          <w:color w:val="auto"/>
        </w:rPr>
        <w:t>—We conduct regular testing of our systems and controls to help identify and address potential vulnerabilities.</w:t>
      </w:r>
    </w:p>
    <w:p>
      <w:pPr>
        <w:spacing w:after="0" w:line="117" w:lineRule="exact"/>
        <w:rPr>
          <w:rFonts w:ascii="Times New Roman" w:cs="Times New Roman" w:eastAsia="Times New Roman" w:hAnsi="Times New Roman"/>
          <w:sz w:val="18"/>
          <w:szCs w:val="18"/>
          <w:color w:val="auto"/>
        </w:rPr>
      </w:pPr>
    </w:p>
    <w:p>
      <w:pPr>
        <w:ind w:left="300" w:right="44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Technical safeguards</w:t>
      </w:r>
      <w:r>
        <w:rPr>
          <w:rFonts w:ascii="Times New Roman" w:cs="Times New Roman" w:eastAsia="Times New Roman" w:hAnsi="Times New Roman"/>
          <w:sz w:val="18"/>
          <w:szCs w:val="18"/>
          <w:color w:val="auto"/>
        </w:rPr>
        <w:t>—We utilize various technical safeguards to help protect our information systems from cybersecurity threats. We regularly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our technical safeguards and update them in accordance with recognized best practices and standards.</w:t>
      </w:r>
    </w:p>
    <w:p>
      <w:pPr>
        <w:spacing w:after="0" w:line="4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continuity and disaster recovery planning</w:t>
      </w:r>
      <w:r>
        <w:rPr>
          <w:rFonts w:ascii="Times New Roman" w:cs="Times New Roman" w:eastAsia="Times New Roman" w:hAnsi="Times New Roman"/>
          <w:sz w:val="18"/>
          <w:szCs w:val="18"/>
          <w:color w:val="auto"/>
        </w:rPr>
        <w:t>—We maintain business continuity and disaster recovery plans and periodically test those plans.</w:t>
      </w:r>
    </w:p>
    <w:p>
      <w:pPr>
        <w:spacing w:after="0" w:line="117" w:lineRule="exact"/>
        <w:rPr>
          <w:rFonts w:ascii="Times New Roman" w:cs="Times New Roman" w:eastAsia="Times New Roman" w:hAnsi="Times New Roman"/>
          <w:sz w:val="18"/>
          <w:szCs w:val="18"/>
          <w:color w:val="auto"/>
        </w:rPr>
      </w:pPr>
    </w:p>
    <w:p>
      <w:pPr>
        <w:ind w:left="300" w:right="260" w:hanging="292"/>
        <w:spacing w:after="0" w:line="268"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cybersecurity incident response plan</w:t>
      </w:r>
      <w:r>
        <w:rPr>
          <w:rFonts w:ascii="Times New Roman" w:cs="Times New Roman" w:eastAsia="Times New Roman" w:hAnsi="Times New Roman"/>
          <w:sz w:val="18"/>
          <w:szCs w:val="18"/>
          <w:color w:val="auto"/>
        </w:rPr>
        <w:t>—We maintain a policy governing actions required for reporting and managing cybersecurity incidents.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designated an Incident Response Team with clearly defined roles and responsibilities for managing all material aspects of our reporting and response plan.</w:t>
      </w:r>
    </w:p>
    <w:p>
      <w:pPr>
        <w:spacing w:after="0" w:line="62" w:lineRule="exact"/>
        <w:rPr>
          <w:rFonts w:ascii="Times New Roman" w:cs="Times New Roman" w:eastAsia="Times New Roman" w:hAnsi="Times New Roman"/>
          <w:sz w:val="18"/>
          <w:szCs w:val="18"/>
          <w:color w:val="auto"/>
        </w:rPr>
      </w:pPr>
    </w:p>
    <w:p>
      <w:pPr>
        <w:ind w:left="300" w:right="18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training and awareness programs</w:t>
      </w:r>
      <w:r>
        <w:rPr>
          <w:rFonts w:ascii="Times New Roman" w:cs="Times New Roman" w:eastAsia="Times New Roman" w:hAnsi="Times New Roman"/>
          <w:sz w:val="18"/>
          <w:szCs w:val="18"/>
          <w:color w:val="auto"/>
        </w:rPr>
        <w:t>—We provide training to our employees to help identify, avoid, and mitigate cybersecurity threats.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participate in annual training, including insider threat awareness, simulated phishing exercises, and other awareness training.</w:t>
      </w:r>
    </w:p>
    <w:p>
      <w:pPr>
        <w:spacing w:after="0" w:line="46" w:lineRule="exact"/>
        <w:rPr>
          <w:rFonts w:ascii="Times New Roman" w:cs="Times New Roman" w:eastAsia="Times New Roman" w:hAnsi="Times New Roman"/>
          <w:sz w:val="18"/>
          <w:szCs w:val="18"/>
          <w:color w:val="auto"/>
        </w:rPr>
      </w:pPr>
    </w:p>
    <w:p>
      <w:pPr>
        <w:ind w:left="300" w:right="200" w:hanging="292"/>
        <w:spacing w:after="0" w:line="286"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Third-party risk management</w:t>
      </w:r>
      <w:r>
        <w:rPr>
          <w:rFonts w:ascii="Times New Roman" w:cs="Times New Roman" w:eastAsia="Times New Roman" w:hAnsi="Times New Roman"/>
          <w:sz w:val="18"/>
          <w:szCs w:val="18"/>
          <w:color w:val="auto"/>
        </w:rPr>
        <w:t>—We maintain a third-party risk management program that is designed to help identify, assess, manage, mitigate,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respond to risks associated with the Company’s suppliers and other third parties.</w:t>
      </w:r>
    </w:p>
    <w:p>
      <w:pPr>
        <w:spacing w:after="0" w:line="15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regularly review our information security program and associated policies, making periodic updates as we deem necessary and appropriate in accordance with recognized best practices and standards.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3"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information security program and cyber risk management program is managed and overseen by Jeff Dell, our Chief Information Officer (“CIO”) and a team of information security personnel reporting to the CIO. Our CIO reports directly to the CEO and is responsible for the assessment and management of material risks for cybersecurity threats. Mr. Dell brings over 30 years of experience in information technology and information security, working as an executive within data-driven companies for the last 20 years, including serving as CIO since our formation in August 2017 and continuing through our Spin-off from cogint. Mr. Dell holds a Bachelor of Science in Business from Arizona State University and has earned GCIA, GCWN, GWAPT and CISSP certifications. For additional information regarding Mr. Dell’s business experience, see Part 1, Item 1 Business – Information About Our Executive Officers included in this Annual Report.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Management holds monthly Information Security Management System (ISMS) meetings which include members of the executive management team as well as the CIO and other key individuals reporting to the CIO. Cybersecurity risks, threats, and vulnerabilities, as well as existing mitigating controls, are discussed in ISMS meetings. Our CIO also provides quarterly reports of our information security program, as well as any material cybersecurity risks, to the Board of Directors.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did not experience a material cybersecurity incident during the year ended December 31, 2024, which has materially affected or is reasonably likely to materially affect us, including our business strategy, results of operations, or financial condition. However, the possibility of future cybersecurity incidents, as well as cybersecurity and technology risks more generally, could have a material adverse effect on our business, financial condition, results of operations, cash flows or reputation. See “Item 1A. Risk Factors – Cybersecurity and Technology Risks”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headquarters are located at 2650 North Military Trail, Suite 300, Boca Raton, Florida 33431, where we lease 21,020 rentable square feet of office space in accordance with an 89-month lease agreement as amended and effective in January 2017. On September 20, 2023, we entered into an amendment to our corporate headquarters lease agreement to exercise an extension option for an additional 60 months through June 30, 2029. Our Seattle office is located at 1111 Third Avenue, Seattle, Washington 98101, where we lease 6,003 rentable square feet of office space in accordance with a 90-month lease agreement entered into in April 2017, which will expire in March 2025.</w:t>
      </w:r>
    </w:p>
    <w:p>
      <w:pPr>
        <w:spacing w:after="0" w:line="1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December 20, 2024, we entered into a new non-cancellable 80-month lease agreement for our new Seattle office space of 6,709 rentable square feet, located at 520 Pike Tower, Seattle, Washington 98101, with the lease term preliminarily set to commence on May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13, “Commitments and contingencies,” included in “Notes to our Consolidated Financial Statements” contained in Part II, Item 8 of this 2024 Form 10-K, and is incorporated herein by reference. For additional discussion of certain risks associated with legal proceedings, see Item 1A, “Risk Factors”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“RDVT,” and began regular-way trading on March 27, 2018.</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December 3, 2024, we declared the Special Cash Dividend on our common stock of $0.30 per share, payable on or about February 14, 2025, to shareholders of record as of the close of business on January 31, 2025. Except for the above-mentioned Special Cash Dividend, we have not declared or paid other dividends or made any other distributions in respect of our common stock since March 27, 2018. There is no assurance that we will continue to declare or pay cash dividends in the future.</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24, 2025, there were 13,938,623 shares of our common stock issued and outstanding. As of February 24, 2025, there were 23 record holders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2, 2022, the Board of Directors of the Company authorized the repurchase of up to $5.0 million of the Company's common stock, and subsequently on December 19, 2023 and March 28, 2024, the Board of Directors authorized the repurchase of an additional $5.0 million each, bringing the total authorization to $15.0 million (the "Stock Repurchase Program"). The Stock Repurchase Program does not obligate the Company to repurchase any shares and may be modified, suspended, or terminated at any time and for any reason at the discretion of the Board of Directors.</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common stock during the three months ended December 31, 2024 pursuant to the Stock Repurchase Program, and the approximate dollar value of shares that may yet be purchased under the Stock Repurchase Program is approximately $4.6 million.</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consolidated financial statements and related notes included in this 2024 Form 10-K. This 2024 Form 10-K contains certain forward-looking statements within the meaning of the Private Securities Litigation Reform Act of 1995 (the “PSLRA”), Section 27A of the Securities Act, and Section 21E of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2024 Form 10-K. We do not undertake any obligation to update forward-looking statements, except as required by law. We intend that all forward-looking statements be subject to the safe harbor provisions of the PSLRA. These forward-looking statements are only predictions and reflect our views as of the date they are made with respect to future events and financial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Organizations are challenged by the structure, volume, velocity,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While our platform powers a vast array of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2024 and 2023, IDI had 8,926 and 7,875 billable customers and FOREWARN had 303,418 and 185,380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right="100"/>
        <w:spacing w:after="0" w:line="256"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2024 and 2023, 77% and 79% of total revenue was attributable to customers with pricing contracts, respectively, versus 23% and 21% attributable to transactional customers, respectively.</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are affected by the following factors that impact the data and analytics sector in the United States:</w:t>
      </w:r>
    </w:p>
    <w:p>
      <w:pPr>
        <w:spacing w:after="0" w:line="185" w:lineRule="exact"/>
        <w:rPr>
          <w:sz w:val="20"/>
          <w:szCs w:val="20"/>
          <w:color w:val="auto"/>
        </w:rPr>
      </w:pPr>
    </w:p>
    <w:p>
      <w:pPr>
        <w:ind w:left="380" w:right="80" w:hanging="320"/>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customers serve could reduce the technology and marketing expenditures of our customers and prospective customers.</w:t>
      </w:r>
    </w:p>
    <w:p>
      <w:pPr>
        <w:spacing w:after="0" w:line="142" w:lineRule="exact"/>
        <w:rPr>
          <w:rFonts w:ascii="Times New Roman" w:cs="Times New Roman" w:eastAsia="Times New Roman" w:hAnsi="Times New Roman"/>
          <w:sz w:val="18"/>
          <w:szCs w:val="18"/>
          <w:color w:val="auto"/>
        </w:rPr>
      </w:pPr>
    </w:p>
    <w:p>
      <w:pPr>
        <w:ind w:left="380" w:right="120" w:hanging="327"/>
        <w:spacing w:after="0" w:line="277" w:lineRule="auto"/>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is also significantly influenced by industry trends, including the demand for business analytics services in the industries we serve. Companies are increasingly relying on business analytics and related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data and analytic sector more challenging.</w:t>
      </w:r>
    </w:p>
    <w:p>
      <w:pPr>
        <w:spacing w:after="0" w:line="140" w:lineRule="exact"/>
        <w:rPr>
          <w:rFonts w:ascii="Times New Roman" w:cs="Times New Roman" w:eastAsia="Times New Roman" w:hAnsi="Times New Roman"/>
          <w:sz w:val="17"/>
          <w:szCs w:val="17"/>
          <w:color w:val="auto"/>
        </w:rPr>
      </w:pPr>
    </w:p>
    <w:p>
      <w:pPr>
        <w:ind w:left="380" w:right="20" w:hanging="327"/>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Company Specific Trends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also directly affected by company-specific factors, including the following:</w:t>
      </w:r>
    </w:p>
    <w:p>
      <w:pPr>
        <w:spacing w:after="0" w:line="185" w:lineRule="exact"/>
        <w:rPr>
          <w:sz w:val="20"/>
          <w:szCs w:val="20"/>
          <w:color w:val="auto"/>
        </w:rPr>
      </w:pPr>
    </w:p>
    <w:p>
      <w:pPr>
        <w:ind w:left="380" w:right="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35" w:lineRule="exact"/>
        <w:rPr>
          <w:rFonts w:ascii="Times New Roman" w:cs="Times New Roman" w:eastAsia="Times New Roman" w:hAnsi="Times New Roman"/>
          <w:sz w:val="18"/>
          <w:szCs w:val="18"/>
          <w:color w:val="auto"/>
        </w:rPr>
      </w:pPr>
    </w:p>
    <w:p>
      <w:pPr>
        <w:ind w:left="380" w:hanging="372"/>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companies in the data and analytics sector have expanded their product lines or technologies in recent years as a result of increased investment and acquisitions. We anticipate increased competition from data and analytics suppliers.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govern our more significant judgments and estimates used in the preparation of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Under this standard, revenue is recognized when control of goods or services is transferred to the Company’s customers, in an amount that reflects the consideration the Company expects to be entitled to in exchange for those goods or services. Our performance obligation is to provide on demand information and identity intelligence solutions to our customers by leveraging our proprietary technology and applying machine learning and advanced analytics to our massive data repository. The pricing for the customer contracts is based on usage, a monthly fee, or a combination of both.</w:t>
      </w:r>
    </w:p>
    <w:p>
      <w:pPr>
        <w:spacing w:after="0" w:line="1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Our revenue is recorded net of applicable sales taxes billed to customers.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t>Revenue is recognized over a period of time. Our customers simultaneously receive and consume the benefits provided by our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In some arrangements, a right to consideration for our performance under the customer contract may occur before invoicing to the customer, resulting in an unbilled accounts receivable. As of December 31, 2024, the current and noncurrent portion unbilled accounts receivable of $0.9 million and $1.1 million, respectively, were included within accounts receivable and other noncurrent assets, respectively, on the consolidated balance sheets. As of December 31, 2023, the current and noncurrent portion unbilled accounts receivable of $0.8 and $0.4, respectively, were included within accounts receivable and other noncurrent assets, respectively, on the consolidated balance sheets. Our revenue arrangements do not contain significant financing components.</w:t>
      </w:r>
    </w:p>
    <w:p>
      <w:pPr>
        <w:spacing w:after="0" w:line="1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77% and 79% of total revenue was attributable to customers with pricing contracts, respectively, versus 23% and 21% attributable to transactional customers, respectively. Pricing contracts are generally annual contracts or longer, with auto renewal.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customer pays consideration before we transfer services to the customer, those amounts are classified as deferred revenue. As of December 31, 2024 and 2023, the balance of deferred revenue was $0.7 million, all of which is expected to be realized in the next 12 months. In relation to the deferred revenue balance as of December 31, 2023, $0.7 million was recognized into revenue during the year ended December 31, 2024.</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December 31, 2024, $22.3 million of revenue is expected to be recognized in the future for performance obligations that are unsatisfied or partially unsatisfied, related to pricing contracts that have a term of more than 12 months, of which $11.3 million of revenue will be recognized in 2025, $6.5 million in 2026, $3.8 million in 2027, $0.6 million in 2028, and $0.1 million in 2029. The actual timing of recognition may vary due to factors outside of our control. We exclude variable consideration related entirely to wholly unsatisfied performance obligations and contracts and recognizes such variable consideration based upon the right to invoice the customer.</w:t>
      </w:r>
    </w:p>
    <w:p>
      <w:pPr>
        <w:spacing w:after="0" w:line="1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21"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 addition, we elected the practical expedient to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Allowances for doubtful accounts</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$0.2 million as of December 31, 2024 and 2023, which was included within accounts receivable, net, in the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Prior to the third quarter of 2023, primarily due to cumulative pre-tax losses, management determined a full valuation allowance was necessary to reduce the deferred tax assets to the amount that is more likely than not to be realized. During the third quarter of 2023, we released the valuation allowance previously recorded on our deferred tax assets. We concluded that, due to our established historical cumulative positive income before income taxes plus permanent differences for the recent years, projections of future taxable income, and the reversal of taxable temporary differences, the realization of the deferred tax assets as of December 31, 2024 and 2023 is more likely than not.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8" w:name="page29"/>
    <w:bookmarkEnd w:id="28"/>
    <w:p>
      <w:pPr>
        <w:ind w:right="6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3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“Software—internal use software,”</w:t>
      </w:r>
      <w:r>
        <w:rPr>
          <w:rFonts w:ascii="Times New Roman" w:cs="Times New Roman" w:eastAsia="Times New Roman" w:hAnsi="Times New Roman"/>
          <w:sz w:val="18"/>
          <w:szCs w:val="18"/>
          <w:color w:val="auto"/>
        </w:rPr>
        <w:t xml:space="preserve"> we capitalize eligible costs, including personnel-related expenses, share-based compensation, and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 We have assessed that we have one operating segment and one reporting unit, and the consolidated net assets, including existing goodwill and other intangible assets, are considered to be the carrying value of the reporting unit.</w:t>
      </w:r>
    </w:p>
    <w:p>
      <w:pPr>
        <w:spacing w:after="0" w:line="14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October 1, 2024 and 2023, we performed qualitative assessments on the reporting unit and, based on this assessment, no events have occurred to indicate that it is more likely than not that the fair value of the reporting unit is less than its carry amount. We did not record a goodwill impairment loss during the years ended December 31, 2024 and 2023, and as of December 31, 2024, there was no accumulated goodwill impairment loss.</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we must make various assumptions regarding estimated future cash flows and other factors in determining the fair value of the reporting unit, including market multiples, discount rates, etc.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 impairment loss of long-lived assets during the years ended December 31, 2024 and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9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 xml:space="preserve">We account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We account for forfeitures as they occur.</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2024, no amortization of share-based compensation expense has been recognized for 95,000 RSUs subject to Criteria Four, as defined in Note 10, “Share-based compensation,” included in “Notes to Consolidated Financial Statements,” because the Company determined that it is not probable that related performance criteria will be met.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9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See Item 8 of Part II, “Financial Statements and Supplementary Data – Note 2. Summary of significant accounting policies - </w:t>
      </w:r>
      <w:r>
        <w:rPr>
          <w:rFonts w:ascii="Times New Roman" w:cs="Times New Roman" w:eastAsia="Times New Roman" w:hAnsi="Times New Roman"/>
          <w:sz w:val="18"/>
          <w:szCs w:val="18"/>
          <w:i w:val="1"/>
          <w:iCs w:val="1"/>
          <w:color w:val="auto"/>
        </w:rPr>
        <w:t>(r) 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2024 as compared to the three months ended December 31, 2023:</w:t>
      </w:r>
    </w:p>
    <w:p>
      <w:pPr>
        <w:spacing w:after="0" w:line="198"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30% to $19.6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43% to $13.7 million. Gross margin increased to 70% from 64%.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37% to $16.1 million. Adjusted gross margin increased to 82% from 78%.</w:t>
      </w:r>
    </w:p>
    <w:p>
      <w:pPr>
        <w:spacing w:after="0" w:line="117"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$0.9 million compared to a net loss of $1.1 million, which resulted in earnings of $0.06 per basic and diluted share. Net income margin was 4% compared to a net loss margin of 7%.</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68% to $4.5 million. Adjusted EBITDA margin increased to 23% from 18%.</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390% to $1.3 million, which resulted in adjusted earnings of $0.10 and $0.09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59% to $6.7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$36.5 million as of December 31,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Full Year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as compared to the year ended December 31, 2023:</w:t>
      </w:r>
    </w:p>
    <w:p>
      <w:pPr>
        <w:spacing w:after="0" w:line="185"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25% to $75.2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33% to $51.8 million. Gross margin increased to 69% from 65%.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30% to $61.2 million. Adjusted gross margin increased to 81% from 78%.</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$7.0 million compared to $13.5 million (inclusive of a one-time deferred income tax benefit of $10.3 million in 2023), which resulted in earnings of $0.51 and $0.50 per basic and diluted share, respectively. Net income margin decreased to 9% from 22%.</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44% to $23.6 million. Adjusted EBITDA margin increased to 31% from 27%.</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42% to $11.5 million, which resulted in adjusted earnings of $0.83 and $0.82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59% to $24.0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(loss), the most directly comparable financial measure based on US GAAP, excluding interest income, income tax (benefit)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(loss),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31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5"/>
                <w:szCs w:val="15"/>
                <w:color w:val="auto"/>
              </w:rPr>
            </w:pPr>
          </w:p>
        </w:tc>
        <w:tc>
          <w:tcPr>
            <w:tcW w:w="28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(1,070 )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(368 )</w:t>
            </w: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(387 )</w:t>
            </w: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(1,400 )</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(124 )</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(9,691 )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3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3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19,565</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15,061</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75,189</w:t>
            </w: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60,204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60" w:type="dxa"/>
            <w:vAlign w:val="bottom"/>
          </w:tcPr>
          <w:p>
            <w:pPr>
              <w:spacing w:after="0"/>
              <w:rPr>
                <w:sz w:val="17"/>
                <w:szCs w:val="17"/>
                <w:color w:val="auto"/>
              </w:rPr>
            </w:pPr>
          </w:p>
        </w:tc>
        <w:tc>
          <w:tcPr>
            <w:tcW w:w="14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23 %</w:t>
            </w:r>
          </w:p>
        </w:tc>
        <w:tc>
          <w:tcPr>
            <w:tcW w:w="300" w:type="dxa"/>
            <w:vAlign w:val="bottom"/>
          </w:tcPr>
          <w:p>
            <w:pPr>
              <w:spacing w:after="0"/>
              <w:rPr>
                <w:sz w:val="17"/>
                <w:szCs w:val="17"/>
                <w:color w:val="auto"/>
              </w:rPr>
            </w:pPr>
          </w:p>
        </w:tc>
        <w:tc>
          <w:tcPr>
            <w:tcW w:w="14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18 %</w:t>
            </w:r>
          </w:p>
        </w:tc>
        <w:tc>
          <w:tcPr>
            <w:tcW w:w="300" w:type="dxa"/>
            <w:vAlign w:val="bottom"/>
          </w:tcPr>
          <w:p>
            <w:pPr>
              <w:spacing w:after="0"/>
              <w:rPr>
                <w:sz w:val="17"/>
                <w:szCs w:val="17"/>
                <w:color w:val="auto"/>
              </w:rPr>
            </w:pPr>
          </w:p>
        </w:tc>
        <w:tc>
          <w:tcPr>
            <w:tcW w:w="13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31 %</w:t>
            </w:r>
          </w:p>
        </w:tc>
        <w:tc>
          <w:tcPr>
            <w:tcW w:w="300" w:type="dxa"/>
            <w:vAlign w:val="bottom"/>
          </w:tcPr>
          <w:p>
            <w:pPr>
              <w:spacing w:after="0"/>
              <w:rPr>
                <w:sz w:val="17"/>
                <w:szCs w:val="17"/>
                <w:color w:val="auto"/>
              </w:rPr>
            </w:pPr>
          </w:p>
        </w:tc>
        <w:tc>
          <w:tcPr>
            <w:tcW w:w="1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-1816735</wp:posOffset>
            </wp:positionV>
            <wp:extent cx="120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-1816735</wp:posOffset>
            </wp:positionV>
            <wp:extent cx="154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-1816735</wp:posOffset>
            </wp:positionV>
            <wp:extent cx="120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-1816735</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-1233805</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-1216660</wp:posOffset>
            </wp:positionV>
            <wp:extent cx="120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-1233805</wp:posOffset>
            </wp:positionV>
            <wp:extent cx="154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-1216660</wp:posOffset>
            </wp:positionV>
            <wp:extent cx="154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-1233805</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120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-1233805</wp:posOffset>
            </wp:positionV>
            <wp:extent cx="120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-1216660</wp:posOffset>
            </wp:positionV>
            <wp:extent cx="120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240" w:type="dxa"/>
            <w:vAlign w:val="bottom"/>
          </w:tcPr>
          <w:p>
            <w:pPr>
              <w:spacing w:after="0"/>
              <w:rPr>
                <w:sz w:val="15"/>
                <w:szCs w:val="15"/>
                <w:color w:val="auto"/>
              </w:rPr>
            </w:pPr>
          </w:p>
        </w:tc>
        <w:tc>
          <w:tcPr>
            <w:tcW w:w="29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5"/>
                <w:szCs w:val="15"/>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(10,272 )</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(1,336 )</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(251 )</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(2,587 )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(1,526 )</w:t>
            </w: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(0.08 )</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13,900,091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13,985,426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13,864,797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FF0FC"/>
            </w:tcBorders>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2"/>
                <w:szCs w:val="22"/>
                <w:color w:val="auto"/>
                <w:vertAlign w:val="superscript"/>
              </w:rPr>
              <w:t>(3)</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14,366,545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14,307,797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14,125,825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14,134,021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-1559560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-1559560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-1559560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-951230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-934085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-951230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-934085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-951230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-934085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-650875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-633730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-650875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-633730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-650875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-633730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380" w:right="320" w:hanging="372"/>
        <w:spacing w:after="0" w:line="266" w:lineRule="auto"/>
        <w:tabs>
          <w:tab w:leader="none" w:pos="3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2023, a one-time income tax benefit of $10.3 million was recognized as a result of the release of the valuation allowance previously recorded on our deferred tax asset and cumulative research and development tax credit, which were excluded to calculate the adjusted net income.</w:t>
      </w:r>
    </w:p>
    <w:p>
      <w:pPr>
        <w:spacing w:after="0" w:line="148"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26.00% for the three and twelve months ended December 31, 2024, and 25.75% for the three and twelve months ended December 31, 2023.</w:t>
      </w:r>
    </w:p>
    <w:p>
      <w:pPr>
        <w:spacing w:after="0" w:line="135" w:lineRule="exact"/>
        <w:rPr>
          <w:rFonts w:ascii="Times New Roman" w:cs="Times New Roman" w:eastAsia="Times New Roman" w:hAnsi="Times New Roman"/>
          <w:sz w:val="18"/>
          <w:szCs w:val="18"/>
          <w:color w:val="auto"/>
        </w:rPr>
      </w:pPr>
    </w:p>
    <w:p>
      <w:pPr>
        <w:ind w:left="380" w:right="100" w:hanging="372"/>
        <w:spacing w:after="0" w:line="266" w:lineRule="auto"/>
        <w:tabs>
          <w:tab w:leader="none" w:pos="3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December 31, 2023, diluted weighted average shares outstanding for adjusted diluted earnings per share are calculated by the inclusion of unvested RSUs, which were not included in US GAAP diluted weighted average shares outstanding due to the Company's net loss position for such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30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5"/>
                <w:szCs w:val="15"/>
                <w:color w:val="auto"/>
              </w:rPr>
            </w:pPr>
          </w:p>
        </w:tc>
        <w:tc>
          <w:tcPr>
            <w:tcW w:w="28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(3,472 )</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(3,337 )</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(13,997 )</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(13,069 )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(2,431 )</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(2,154 )</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(9,349 )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(8,119 )</w:t>
            </w: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3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3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51,843</w:t>
            </w: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34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34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61,192</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82 %</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78 %</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81 %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629"/>
        </w:trPr>
        <w:tc>
          <w:tcPr>
            <w:tcW w:w="47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-1962150</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-1962150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-1962150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-1962150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-1679575</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-1679575</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-1679575</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-1679575</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-1071245</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-1053465</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-1071245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-1071245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-1053465</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-1071245</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measure, to FCF: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5"/>
                <w:szCs w:val="15"/>
                <w:color w:val="auto"/>
              </w:rPr>
            </w:pPr>
          </w:p>
        </w:tc>
        <w:tc>
          <w:tcPr>
            <w:tcW w:w="29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5"/>
                <w:szCs w:val="15"/>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(2,280 )</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(2,103 )</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(9,398 )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(9,024 )</w:t>
            </w:r>
          </w:p>
        </w:tc>
        <w:tc>
          <w:tcPr>
            <w:tcW w:w="0" w:type="dxa"/>
            <w:vAlign w:val="bottom"/>
          </w:tcPr>
          <w:p>
            <w:pPr>
              <w:spacing w:after="0"/>
              <w:rPr>
                <w:sz w:val="1"/>
                <w:szCs w:val="1"/>
                <w:color w:val="auto"/>
              </w:rPr>
            </w:pPr>
          </w:p>
        </w:tc>
      </w:tr>
      <w:tr>
        <w:trPr>
          <w:trHeight w:val="249"/>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(loss),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tables set forth the Company's unaudited quarterly consolidated statements of operations data and reconciliations of certain directly comparable US GAAP financial measures to non-GAAP financial measures, including adjusted EBITDA, adjusted EBITDA margin, adjusted net income, adjusted earnings per share, adjusted gross profit, adjusted gross margin, and FCF for each of the eight quarters in the two-year period ended December 31, 2024. The Company has prepared the quarterly unaudited consolidated statements of operations data on a basis consistent with the audited consolidated financial statements included elsewhere in this 2024 Form 10-K. In the opinion of management, the financial information in these tables reflects all adjustments, consisting only of normal recurring adjustments, which management considers necessary for a fair presentation of this data. This information should be read in conjunction with the audited consolidated financial statements and related notes included elsewhere in this 2024 Form 10-K. The results of historical periods are not necessarily indicative of the results for any future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320" w:type="dxa"/>
            <w:vAlign w:val="bottom"/>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(In thousands, except share data) (Unaudited)</w:t>
            </w: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79"/>
              <w:spacing w:after="0" w:line="75" w:lineRule="exact"/>
              <w:rPr>
                <w:sz w:val="20"/>
                <w:szCs w:val="20"/>
                <w:color w:val="auto"/>
              </w:rPr>
            </w:pPr>
            <w:r>
              <w:rPr>
                <w:rFonts w:ascii="Times New Roman" w:cs="Times New Roman" w:eastAsia="Times New Roman" w:hAnsi="Times New Roman"/>
                <w:sz w:val="8"/>
                <w:szCs w:val="8"/>
                <w:b w:val="1"/>
                <w:bCs w:val="1"/>
                <w:color w:val="auto"/>
              </w:rPr>
              <w:t>3/31/2023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9/30/2023</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12/31/2023</w:t>
            </w: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3/31/2024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179"/>
              <w:spacing w:after="0" w:line="75" w:lineRule="exact"/>
              <w:rPr>
                <w:sz w:val="20"/>
                <w:szCs w:val="20"/>
                <w:color w:val="auto"/>
              </w:rPr>
            </w:pPr>
            <w:r>
              <w:rPr>
                <w:rFonts w:ascii="Times New Roman" w:cs="Times New Roman" w:eastAsia="Times New Roman" w:hAnsi="Times New Roman"/>
                <w:sz w:val="8"/>
                <w:szCs w:val="8"/>
                <w:b w:val="1"/>
                <w:bCs w:val="1"/>
                <w:color w:val="auto"/>
              </w:rPr>
              <w:t>12/31/2024</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3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14,626</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14,680</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15,837</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15,061</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17,511</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19,056</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19,057</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19,565</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Costs and expenses: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Cost of revenue (exclusive of</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3,756</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Sales and marketing expenses</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3,889</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3,078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3,365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3,501</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3,712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5,241</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5,075</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5,223</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6,907</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5,790</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5,994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8,341</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1,916</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2,054</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2,211</w:t>
            </w: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2,270</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2,377</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2,434</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2,481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costs and expenses</w:t>
            </w: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14,225</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13,447</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14,072</w:t>
            </w:r>
          </w:p>
        </w:tc>
        <w:tc>
          <w:tcPr>
            <w:tcW w:w="2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15,956</w:t>
            </w:r>
          </w:p>
        </w:tc>
        <w:tc>
          <w:tcPr>
            <w:tcW w:w="2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15,528</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15,988</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16,559</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19,194</w:t>
            </w:r>
          </w:p>
        </w:tc>
        <w:tc>
          <w:tcPr>
            <w:tcW w:w="1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1,233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1,765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(895 )</w:t>
            </w: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2,498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2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387</w:t>
            </w:r>
          </w:p>
        </w:tc>
        <w:tc>
          <w:tcPr>
            <w:tcW w:w="2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1,548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2,111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(508 )</w:t>
            </w: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2,348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3,382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2,851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739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1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(29 )</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(10,384 )</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562</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(124 )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716</w:t>
            </w:r>
          </w:p>
        </w:tc>
        <w:tc>
          <w:tcPr>
            <w:tcW w:w="24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1,388</w:t>
            </w:r>
          </w:p>
        </w:tc>
        <w:tc>
          <w:tcPr>
            <w:tcW w:w="24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12,495</w:t>
            </w:r>
          </w:p>
        </w:tc>
        <w:tc>
          <w:tcPr>
            <w:tcW w:w="24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(1,070 )</w:t>
            </w: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24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24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1,719</w:t>
            </w:r>
          </w:p>
        </w:tc>
        <w:tc>
          <w:tcPr>
            <w:tcW w:w="240" w:type="dxa"/>
            <w:vAlign w:val="bottom"/>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2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0.05</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0.90</w:t>
            </w:r>
          </w:p>
        </w:tc>
        <w:tc>
          <w:tcPr>
            <w:tcW w:w="24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(0.08 )</w:t>
            </w: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0.13</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0.05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0.87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(0.08 )</w:t>
            </w: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320" w:type="dxa"/>
            <w:vAlign w:val="bottom"/>
            <w:tcBorders>
              <w:top w:val="single" w:sz="8" w:color="CFF0FC"/>
            </w:tcBorders>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Weighted average shares</w:t>
            </w: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13,997,154</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13,961,862</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13,952,426</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13,985,426</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13,997,064</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13,780,074</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13,782,476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13,900,091</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32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14,236,771</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14,172,024</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14,329,878</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13,985,426</w:t>
            </w: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14,164,506</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14,051,466</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14,311,575</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14,366,545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320" w:type="dxa"/>
            <w:vAlign w:val="bottom"/>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(In thousands) (Unaudited)</w:t>
            </w: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79"/>
              <w:spacing w:after="0" w:line="75" w:lineRule="exact"/>
              <w:rPr>
                <w:sz w:val="20"/>
                <w:szCs w:val="20"/>
                <w:color w:val="auto"/>
              </w:rPr>
            </w:pPr>
            <w:r>
              <w:rPr>
                <w:rFonts w:ascii="Times New Roman" w:cs="Times New Roman" w:eastAsia="Times New Roman" w:hAnsi="Times New Roman"/>
                <w:sz w:val="8"/>
                <w:szCs w:val="8"/>
                <w:b w:val="1"/>
                <w:bCs w:val="1"/>
                <w:color w:val="auto"/>
              </w:rPr>
              <w:t>3/31/2023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9/30/2023</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12/31/2023</w:t>
            </w: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3/31/2024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6/30/2024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99"/>
              <w:spacing w:after="0" w:line="75" w:lineRule="exact"/>
              <w:rPr>
                <w:sz w:val="20"/>
                <w:szCs w:val="20"/>
                <w:color w:val="auto"/>
              </w:rPr>
            </w:pPr>
            <w:r>
              <w:rPr>
                <w:rFonts w:ascii="Times New Roman" w:cs="Times New Roman" w:eastAsia="Times New Roman" w:hAnsi="Times New Roman"/>
                <w:sz w:val="8"/>
                <w:szCs w:val="8"/>
                <w:b w:val="1"/>
                <w:bCs w:val="1"/>
                <w:color w:val="auto"/>
              </w:rPr>
              <w:t>9/30/2024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179"/>
              <w:spacing w:after="0" w:line="75" w:lineRule="exact"/>
              <w:rPr>
                <w:sz w:val="20"/>
                <w:szCs w:val="20"/>
                <w:color w:val="auto"/>
              </w:rPr>
            </w:pPr>
            <w:r>
              <w:rPr>
                <w:rFonts w:ascii="Times New Roman" w:cs="Times New Roman" w:eastAsia="Times New Roman" w:hAnsi="Times New Roman"/>
                <w:sz w:val="8"/>
                <w:szCs w:val="8"/>
                <w:b w:val="1"/>
                <w:bCs w:val="1"/>
                <w:color w:val="auto"/>
              </w:rPr>
              <w:t>12/31/2024</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3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716</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1,388</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12,495</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(1,070 )</w:t>
            </w: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1,719</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(286 )</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(315 )</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(346 )</w:t>
            </w:r>
          </w:p>
        </w:tc>
        <w:tc>
          <w:tcPr>
            <w:tcW w:w="16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(387 )</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(365 )</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(314 )</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(353 )</w:t>
            </w:r>
          </w:p>
        </w:tc>
        <w:tc>
          <w:tcPr>
            <w:tcW w:w="1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(368 )</w:t>
            </w: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1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(29 )</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(10,384 )</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562</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(124 )</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2,211</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1,369</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1,496</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Litigation costs</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(27 )</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Write-off of long-lived assets and</w:t>
            </w:r>
          </w:p>
        </w:tc>
        <w:tc>
          <w:tcPr>
            <w:tcW w:w="16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20" w:type="dxa"/>
            <w:vAlign w:val="bottom"/>
            <w:tcBorders>
              <w:bottom w:val="single" w:sz="8" w:color="CFF0FC"/>
            </w:tcBorders>
            <w:shd w:val="clear" w:color="auto" w:fill="CFF0FC"/>
          </w:tcPr>
          <w:p>
            <w:pPr>
              <w:ind w:left="80"/>
              <w:spacing w:after="0" w:line="140" w:lineRule="exact"/>
              <w:rPr>
                <w:sz w:val="20"/>
                <w:szCs w:val="20"/>
                <w:color w:val="auto"/>
              </w:rPr>
            </w:pPr>
            <w:r>
              <w:rPr>
                <w:rFonts w:ascii="Times New Roman" w:cs="Times New Roman" w:eastAsia="Times New Roman" w:hAnsi="Times New Roman"/>
                <w:sz w:val="13"/>
                <w:szCs w:val="13"/>
                <w:color w:val="auto"/>
              </w:rPr>
              <w:t>others</w:t>
            </w:r>
          </w:p>
        </w:tc>
        <w:tc>
          <w:tcPr>
            <w:tcW w:w="1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3,706</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4,637</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5,362</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2,663</w:t>
            </w:r>
          </w:p>
        </w:tc>
        <w:tc>
          <w:tcPr>
            <w:tcW w:w="28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5,689</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6,811</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6,678</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4,468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Revenue</w:t>
            </w:r>
          </w:p>
        </w:tc>
        <w:tc>
          <w:tcPr>
            <w:tcW w:w="16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14,626</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14,680</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15,837</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15,061</w:t>
            </w: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17,511</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19,056</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19,057</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19,565</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income (loss) margin</w:t>
            </w: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9 %</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79 %</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(7 %)</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10 %</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14 %</w:t>
            </w: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9 %</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60" w:type="dxa"/>
            <w:vAlign w:val="bottom"/>
          </w:tcPr>
          <w:p>
            <w:pPr>
              <w:spacing w:after="0"/>
              <w:rPr>
                <w:sz w:val="10"/>
                <w:szCs w:val="10"/>
                <w:color w:val="auto"/>
              </w:rPr>
            </w:pP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25 %</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32 %</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34 %</w:t>
            </w:r>
          </w:p>
        </w:tc>
        <w:tc>
          <w:tcPr>
            <w:tcW w:w="160" w:type="dxa"/>
            <w:vAlign w:val="bottom"/>
          </w:tcPr>
          <w:p>
            <w:pPr>
              <w:spacing w:after="0"/>
              <w:rPr>
                <w:sz w:val="10"/>
                <w:szCs w:val="10"/>
                <w:color w:val="auto"/>
              </w:rPr>
            </w:pPr>
          </w:p>
        </w:tc>
        <w:tc>
          <w:tcPr>
            <w:tcW w:w="10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18 %</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32 %</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36 %</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35 %</w:t>
            </w:r>
          </w:p>
        </w:tc>
        <w:tc>
          <w:tcPr>
            <w:tcW w:w="180" w:type="dxa"/>
            <w:vAlign w:val="bottom"/>
          </w:tcPr>
          <w:p>
            <w:pPr>
              <w:spacing w:after="0"/>
              <w:rPr>
                <w:sz w:val="10"/>
                <w:szCs w:val="10"/>
                <w:color w:val="auto"/>
              </w:rPr>
            </w:pPr>
          </w:p>
        </w:tc>
        <w:tc>
          <w:tcPr>
            <w:tcW w:w="88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23 %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-2596515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-2596515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-2596515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-2596515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-2596515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-2596515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-2596515</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-2596515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-2416810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-2416810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-2416810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-2416810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-2416810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-2416810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-2416810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-2416810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-2236470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-2236470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-2236470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-2236470</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-2236470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-2236470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-2236470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-2236470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-1833880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-1816735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-1833880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-1816735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-1833880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-1816735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-1833880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-1816735</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-1833880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-1816735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-1833880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-1816735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-1833880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-1816735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-1833880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-1816735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-1550670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-1533525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-1550670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-1533525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-1550670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-1533525</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-1550670</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-1533525</wp:posOffset>
            </wp:positionV>
            <wp:extent cx="1111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-1550670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-1533525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-1550670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-1533525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-1550670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-1533525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-1550670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-1533525</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-513715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-513715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-513715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-513715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-513715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-513715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-513715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-136525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-119380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-136525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-119380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-136525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-119380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-136525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-119380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-136525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-119380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-136525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-119380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-136525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-136525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-119380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19"/>
        </w:trPr>
        <w:tc>
          <w:tcPr>
            <w:tcW w:w="2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6"/>
        </w:trPr>
        <w:tc>
          <w:tcPr>
            <w:tcW w:w="2340" w:type="dxa"/>
            <w:vAlign w:val="bottom"/>
          </w:tcPr>
          <w:p>
            <w:pPr>
              <w:ind w:left="20"/>
              <w:spacing w:after="0" w:line="102" w:lineRule="exact"/>
              <w:rPr>
                <w:sz w:val="20"/>
                <w:szCs w:val="20"/>
                <w:color w:val="auto"/>
              </w:rPr>
            </w:pPr>
            <w:r>
              <w:rPr>
                <w:rFonts w:ascii="Times New Roman" w:cs="Times New Roman" w:eastAsia="Times New Roman" w:hAnsi="Times New Roman"/>
                <w:sz w:val="9"/>
                <w:szCs w:val="9"/>
                <w:b w:val="1"/>
                <w:bCs w:val="1"/>
                <w:color w:val="auto"/>
              </w:rPr>
              <w:t>(In thousands, except share data) (Unaudited)</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3/31/2023</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6/30/2023</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9/30/2023</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80"/>
              <w:spacing w:after="0" w:line="102" w:lineRule="exact"/>
              <w:rPr>
                <w:sz w:val="20"/>
                <w:szCs w:val="20"/>
                <w:color w:val="auto"/>
              </w:rPr>
            </w:pPr>
            <w:r>
              <w:rPr>
                <w:rFonts w:ascii="Times New Roman" w:cs="Times New Roman" w:eastAsia="Times New Roman" w:hAnsi="Times New Roman"/>
                <w:sz w:val="9"/>
                <w:szCs w:val="9"/>
                <w:b w:val="1"/>
                <w:bCs w:val="1"/>
                <w:color w:val="auto"/>
              </w:rPr>
              <w:t>12/31/2023</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3/31/2024</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6/30/2024</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Times New Roman" w:cs="Times New Roman" w:eastAsia="Times New Roman" w:hAnsi="Times New Roman"/>
                <w:sz w:val="9"/>
                <w:szCs w:val="9"/>
                <w:b w:val="1"/>
                <w:bCs w:val="1"/>
                <w:color w:val="auto"/>
              </w:rPr>
              <w:t>9/30/2024</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8"/>
              <w:spacing w:after="0" w:line="102" w:lineRule="exact"/>
              <w:rPr>
                <w:sz w:val="20"/>
                <w:szCs w:val="20"/>
                <w:color w:val="auto"/>
              </w:rPr>
            </w:pPr>
            <w:r>
              <w:rPr>
                <w:rFonts w:ascii="Times New Roman" w:cs="Times New Roman" w:eastAsia="Times New Roman" w:hAnsi="Times New Roman"/>
                <w:sz w:val="9"/>
                <w:szCs w:val="9"/>
                <w:b w:val="1"/>
                <w:bCs w:val="1"/>
                <w:color w:val="auto"/>
              </w:rPr>
              <w:t>12/31/2024</w:t>
            </w:r>
          </w:p>
        </w:tc>
        <w:tc>
          <w:tcPr>
            <w:tcW w:w="140" w:type="dxa"/>
            <w:vAlign w:val="bottom"/>
          </w:tcPr>
          <w:p>
            <w:pPr>
              <w:spacing w:after="0"/>
              <w:rPr>
                <w:sz w:val="10"/>
                <w:szCs w:val="10"/>
                <w:color w:val="auto"/>
              </w:rPr>
            </w:pPr>
          </w:p>
        </w:tc>
      </w:tr>
      <w:tr>
        <w:trPr>
          <w:trHeight w:val="128"/>
        </w:trPr>
        <w:tc>
          <w:tcPr>
            <w:tcW w:w="23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716</w:t>
            </w:r>
          </w:p>
        </w:tc>
        <w:tc>
          <w:tcPr>
            <w:tcW w:w="420" w:type="dxa"/>
            <w:vAlign w:val="bottom"/>
            <w:gridSpan w:val="2"/>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1,388</w:t>
            </w:r>
          </w:p>
        </w:tc>
        <w:tc>
          <w:tcPr>
            <w:tcW w:w="420" w:type="dxa"/>
            <w:vAlign w:val="bottom"/>
            <w:gridSpan w:val="2"/>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12,495</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(1,070 )</w:t>
            </w: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1,784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2,637</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1,719</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c>
          <w:tcPr>
            <w:tcW w:w="140" w:type="dxa"/>
            <w:vAlign w:val="bottom"/>
            <w:shd w:val="clear" w:color="auto" w:fill="CFF0FC"/>
          </w:tcPr>
          <w:p>
            <w:pPr>
              <w:spacing w:after="0"/>
              <w:rPr>
                <w:sz w:val="11"/>
                <w:szCs w:val="11"/>
                <w:color w:val="auto"/>
              </w:rPr>
            </w:pPr>
          </w:p>
        </w:tc>
      </w:tr>
      <w:tr>
        <w:trPr>
          <w:trHeight w:val="135"/>
        </w:trPr>
        <w:tc>
          <w:tcPr>
            <w:tcW w:w="23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1,496</w:t>
            </w:r>
          </w:p>
        </w:tc>
        <w:tc>
          <w:tcPr>
            <w:tcW w:w="140" w:type="dxa"/>
            <w:vAlign w:val="bottom"/>
          </w:tcPr>
          <w:p>
            <w:pPr>
              <w:spacing w:after="0"/>
              <w:rPr>
                <w:sz w:val="11"/>
                <w:szCs w:val="11"/>
                <w:color w:val="auto"/>
              </w:rPr>
            </w:pPr>
          </w:p>
        </w:tc>
      </w:tr>
      <w:tr>
        <w:trPr>
          <w:trHeight w:val="117"/>
        </w:trPr>
        <w:tc>
          <w:tcPr>
            <w:tcW w:w="23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Amortization of share-based</w:t>
            </w: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r>
      <w:tr>
        <w:trPr>
          <w:trHeight w:val="135"/>
        </w:trPr>
        <w:tc>
          <w:tcPr>
            <w:tcW w:w="23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compensation capitalized</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53"/>
        </w:trPr>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 intangible assets</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shd w:val="clear" w:color="auto" w:fill="CFF0FC"/>
          </w:tcPr>
          <w:p>
            <w:pPr>
              <w:spacing w:after="0"/>
              <w:rPr>
                <w:sz w:val="13"/>
                <w:szCs w:val="13"/>
                <w:color w:val="auto"/>
              </w:rPr>
            </w:pPr>
          </w:p>
        </w:tc>
      </w:tr>
      <w:tr>
        <w:trPr>
          <w:trHeight w:val="135"/>
        </w:trPr>
        <w:tc>
          <w:tcPr>
            <w:tcW w:w="23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Discrete tax items</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(10,272 )</w:t>
            </w: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r>
      <w:tr>
        <w:trPr>
          <w:trHeight w:val="135"/>
        </w:trPr>
        <w:tc>
          <w:tcPr>
            <w:tcW w:w="23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Tax effect of adjustments</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(1,275 )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(251 )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(308 )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(425 )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(518 )</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(1,336 )</w:t>
            </w:r>
          </w:p>
        </w:tc>
      </w:tr>
      <w:tr>
        <w:trPr>
          <w:trHeight w:val="128"/>
        </w:trPr>
        <w:tc>
          <w:tcPr>
            <w:tcW w:w="23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Adjusted net income</w:t>
            </w: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2,322</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2,928</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2,566</w:t>
            </w: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270</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3,153</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3,891</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3,150</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1,322</w:t>
            </w:r>
          </w:p>
        </w:tc>
        <w:tc>
          <w:tcPr>
            <w:tcW w:w="140" w:type="dxa"/>
            <w:vAlign w:val="bottom"/>
            <w:tcBorders>
              <w:top w:val="single" w:sz="8" w:color="CFF0FC"/>
            </w:tcBorders>
          </w:tcPr>
          <w:p>
            <w:pPr>
              <w:spacing w:after="0"/>
              <w:rPr>
                <w:sz w:val="11"/>
                <w:szCs w:val="1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6"/>
        </w:trPr>
        <w:tc>
          <w:tcPr>
            <w:tcW w:w="23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r>
      <w:tr>
        <w:trPr>
          <w:trHeight w:val="135"/>
        </w:trPr>
        <w:tc>
          <w:tcPr>
            <w:tcW w:w="23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0.05</w:t>
            </w:r>
          </w:p>
        </w:tc>
        <w:tc>
          <w:tcPr>
            <w:tcW w:w="4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4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0.90</w:t>
            </w:r>
          </w:p>
        </w:tc>
        <w:tc>
          <w:tcPr>
            <w:tcW w:w="24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(0.08 )</w:t>
            </w: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0.13</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spacing w:after="0"/>
              <w:rPr>
                <w:sz w:val="11"/>
                <w:szCs w:val="1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5"/>
        </w:trPr>
        <w:tc>
          <w:tcPr>
            <w:tcW w:w="23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0.05</w:t>
            </w:r>
          </w:p>
        </w:tc>
        <w:tc>
          <w:tcPr>
            <w:tcW w:w="420" w:type="dxa"/>
            <w:vAlign w:val="bottom"/>
            <w:gridSpan w:val="2"/>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0.10</w:t>
            </w:r>
          </w:p>
        </w:tc>
        <w:tc>
          <w:tcPr>
            <w:tcW w:w="420" w:type="dxa"/>
            <w:vAlign w:val="bottom"/>
            <w:gridSpan w:val="2"/>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0.87</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FF0FC"/>
          </w:tcPr>
          <w:p>
            <w:pPr>
              <w:jc w:val="right"/>
              <w:ind w:right="180"/>
              <w:spacing w:after="0" w:line="116" w:lineRule="exact"/>
              <w:rPr>
                <w:sz w:val="20"/>
                <w:szCs w:val="20"/>
                <w:color w:val="auto"/>
              </w:rPr>
            </w:pPr>
            <w:r>
              <w:rPr>
                <w:rFonts w:ascii="Times New Roman" w:cs="Times New Roman" w:eastAsia="Times New Roman" w:hAnsi="Times New Roman"/>
                <w:sz w:val="13"/>
                <w:szCs w:val="13"/>
                <w:color w:val="auto"/>
              </w:rPr>
              <w:t>(0.08 )</w:t>
            </w: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0.13</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0.19</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0.12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0.06</w:t>
            </w:r>
          </w:p>
        </w:tc>
        <w:tc>
          <w:tcPr>
            <w:tcW w:w="140" w:type="dxa"/>
            <w:vAlign w:val="bottom"/>
            <w:shd w:val="clear" w:color="auto" w:fill="CFF0FC"/>
          </w:tcPr>
          <w:p>
            <w:pPr>
              <w:spacing w:after="0"/>
              <w:rPr>
                <w:sz w:val="13"/>
                <w:szCs w:val="13"/>
                <w:color w:val="auto"/>
              </w:rPr>
            </w:pPr>
          </w:p>
        </w:tc>
      </w:tr>
      <w:tr>
        <w:trPr>
          <w:trHeight w:val="116"/>
        </w:trPr>
        <w:tc>
          <w:tcPr>
            <w:tcW w:w="2340" w:type="dxa"/>
            <w:vAlign w:val="bottom"/>
            <w:tcBorders>
              <w:top w:val="single" w:sz="8" w:color="CFF0FC"/>
            </w:tcBorders>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Adjusted earnings per share:</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r>
      <w:tr>
        <w:trPr>
          <w:trHeight w:val="175"/>
        </w:trPr>
        <w:tc>
          <w:tcPr>
            <w:tcW w:w="234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0.18</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15"/>
        </w:trPr>
        <w:tc>
          <w:tcPr>
            <w:tcW w:w="23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0.16</w:t>
            </w:r>
          </w:p>
        </w:tc>
        <w:tc>
          <w:tcPr>
            <w:tcW w:w="420" w:type="dxa"/>
            <w:vAlign w:val="bottom"/>
            <w:gridSpan w:val="2"/>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0.21</w:t>
            </w:r>
          </w:p>
        </w:tc>
        <w:tc>
          <w:tcPr>
            <w:tcW w:w="420" w:type="dxa"/>
            <w:vAlign w:val="bottom"/>
            <w:gridSpan w:val="2"/>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0.18</w:t>
            </w:r>
          </w:p>
        </w:tc>
        <w:tc>
          <w:tcPr>
            <w:tcW w:w="240" w:type="dxa"/>
            <w:vAlign w:val="bottom"/>
          </w:tcPr>
          <w:p>
            <w:pPr>
              <w:spacing w:after="0"/>
              <w:rPr>
                <w:sz w:val="10"/>
                <w:szCs w:val="10"/>
                <w:color w:val="auto"/>
              </w:rPr>
            </w:pPr>
          </w:p>
        </w:tc>
        <w:tc>
          <w:tcPr>
            <w:tcW w:w="160" w:type="dxa"/>
            <w:vAlign w:val="bottom"/>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0.02</w:t>
            </w:r>
          </w:p>
        </w:tc>
        <w:tc>
          <w:tcPr>
            <w:tcW w:w="240" w:type="dxa"/>
            <w:vAlign w:val="bottom"/>
          </w:tcPr>
          <w:p>
            <w:pPr>
              <w:spacing w:after="0"/>
              <w:rPr>
                <w:sz w:val="10"/>
                <w:szCs w:val="10"/>
                <w:color w:val="auto"/>
              </w:rPr>
            </w:pPr>
          </w:p>
        </w:tc>
        <w:tc>
          <w:tcPr>
            <w:tcW w:w="18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0.22</w:t>
            </w:r>
          </w:p>
        </w:tc>
        <w:tc>
          <w:tcPr>
            <w:tcW w:w="240" w:type="dxa"/>
            <w:vAlign w:val="bottom"/>
          </w:tcPr>
          <w:p>
            <w:pPr>
              <w:spacing w:after="0"/>
              <w:rPr>
                <w:sz w:val="10"/>
                <w:szCs w:val="10"/>
                <w:color w:val="auto"/>
              </w:rPr>
            </w:pPr>
          </w:p>
        </w:tc>
        <w:tc>
          <w:tcPr>
            <w:tcW w:w="18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0.28</w:t>
            </w:r>
          </w:p>
        </w:tc>
        <w:tc>
          <w:tcPr>
            <w:tcW w:w="240" w:type="dxa"/>
            <w:vAlign w:val="bottom"/>
          </w:tcPr>
          <w:p>
            <w:pPr>
              <w:spacing w:after="0"/>
              <w:rPr>
                <w:sz w:val="10"/>
                <w:szCs w:val="10"/>
                <w:color w:val="auto"/>
              </w:rPr>
            </w:pPr>
          </w:p>
        </w:tc>
        <w:tc>
          <w:tcPr>
            <w:tcW w:w="18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0.22</w:t>
            </w:r>
          </w:p>
        </w:tc>
        <w:tc>
          <w:tcPr>
            <w:tcW w:w="240" w:type="dxa"/>
            <w:vAlign w:val="bottom"/>
          </w:tcPr>
          <w:p>
            <w:pPr>
              <w:spacing w:after="0"/>
              <w:rPr>
                <w:sz w:val="10"/>
                <w:szCs w:val="10"/>
                <w:color w:val="auto"/>
              </w:rPr>
            </w:pPr>
          </w:p>
        </w:tc>
        <w:tc>
          <w:tcPr>
            <w:tcW w:w="18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0.09</w:t>
            </w:r>
          </w:p>
        </w:tc>
        <w:tc>
          <w:tcPr>
            <w:tcW w:w="140" w:type="dxa"/>
            <w:vAlign w:val="bottom"/>
          </w:tcPr>
          <w:p>
            <w:pPr>
              <w:spacing w:after="0"/>
              <w:rPr>
                <w:sz w:val="10"/>
                <w:szCs w:val="10"/>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234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Weighted average shares</w:t>
            </w: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r>
      <w:tr>
        <w:trPr>
          <w:trHeight w:val="155"/>
        </w:trPr>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35"/>
        </w:trPr>
        <w:tc>
          <w:tcPr>
            <w:tcW w:w="23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13,997,154</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13,961,862</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13,952,426</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13,985,426</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13,997,064</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13,780,074</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13,782,476</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13,900,091</w:t>
            </w:r>
          </w:p>
        </w:tc>
        <w:tc>
          <w:tcPr>
            <w:tcW w:w="140" w:type="dxa"/>
            <w:vAlign w:val="bottom"/>
          </w:tcPr>
          <w:p>
            <w:pPr>
              <w:spacing w:after="0"/>
              <w:rPr>
                <w:sz w:val="11"/>
                <w:szCs w:val="1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340" w:type="dxa"/>
            <w:vAlign w:val="bottom"/>
            <w:tcBorders>
              <w:bottom w:val="single" w:sz="8" w:color="CFF0FC"/>
            </w:tcBorders>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14,236,771</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14,172,024</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14,329,878</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14,307,797</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14,164,506</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14,051,466</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14,311,575</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14,366,545</w:t>
            </w:r>
          </w:p>
        </w:tc>
        <w:tc>
          <w:tcPr>
            <w:tcW w:w="14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-1130935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-1130935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-1130935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-1130935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-1130935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-1130935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-1130935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-728345</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-710565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-728345</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-710565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-728345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-710565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-728345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-710565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-728345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-710565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-728345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-710565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-728345</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-710565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-728345</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-710565</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-530860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-513715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-530860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-513715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-530860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-513715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-530860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-513715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-530860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-513715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-530860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-513715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-530860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-513715</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-530860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(In thousands) (Unaudited)</w:t>
      </w:r>
    </w:p>
    <w:p>
      <w:pPr>
        <w:ind w:left="20"/>
        <w:spacing w:after="0" w:line="216" w:lineRule="auto"/>
        <w:rPr>
          <w:sz w:val="20"/>
          <w:szCs w:val="20"/>
          <w:color w:val="auto"/>
        </w:rPr>
      </w:pPr>
      <w:r>
        <w:rPr>
          <w:rFonts w:ascii="Times New Roman" w:cs="Times New Roman" w:eastAsia="Times New Roman" w:hAnsi="Times New Roman"/>
          <w:sz w:val="13"/>
          <w:szCs w:val="13"/>
          <w:color w:val="auto"/>
        </w:rPr>
        <w:t>Revenue</w:t>
      </w:r>
    </w:p>
    <w:p>
      <w:pPr>
        <w:ind w:left="20"/>
        <w:spacing w:after="0" w:line="216" w:lineRule="auto"/>
        <w:rPr>
          <w:sz w:val="20"/>
          <w:szCs w:val="20"/>
          <w:color w:val="auto"/>
        </w:rPr>
      </w:pPr>
      <w:r>
        <w:rPr>
          <w:rFonts w:ascii="Times New Roman" w:cs="Times New Roman" w:eastAsia="Times New Roman" w:hAnsi="Times New Roman"/>
          <w:sz w:val="13"/>
          <w:szCs w:val="13"/>
          <w:color w:val="auto"/>
        </w:rPr>
        <w:t>Cost of revenue (exclusive of depreciation and amortization) Depreciation and amortization of intangible assets</w:t>
      </w:r>
    </w:p>
    <w:p>
      <w:pPr>
        <w:ind w:left="20"/>
        <w:spacing w:after="0" w:line="219" w:lineRule="auto"/>
        <w:rPr>
          <w:sz w:val="20"/>
          <w:szCs w:val="20"/>
          <w:color w:val="auto"/>
        </w:rPr>
      </w:pPr>
      <w:r>
        <w:rPr>
          <w:rFonts w:ascii="Times New Roman" w:cs="Times New Roman" w:eastAsia="Times New Roman" w:hAnsi="Times New Roman"/>
          <w:sz w:val="13"/>
          <w:szCs w:val="13"/>
          <w:b w:val="1"/>
          <w:bCs w:val="1"/>
          <w:color w:val="auto"/>
        </w:rPr>
        <w:t>Gross profit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9"/>
          <w:szCs w:val="9"/>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18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3/31/2023</w:t>
            </w: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6/30/2023</w:t>
            </w: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9/30/2023</w:t>
            </w:r>
          </w:p>
        </w:tc>
        <w:tc>
          <w:tcPr>
            <w:tcW w:w="24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9"/>
                <w:szCs w:val="9"/>
                <w:b w:val="1"/>
                <w:bCs w:val="1"/>
                <w:color w:val="auto"/>
              </w:rPr>
              <w:t>12/31/2023</w:t>
            </w: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3/31/2024</w:t>
            </w: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6/30/2024</w:t>
            </w: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9"/>
                <w:szCs w:val="9"/>
                <w:b w:val="1"/>
                <w:bCs w:val="1"/>
                <w:color w:val="auto"/>
              </w:rPr>
              <w:t>9/30/2024</w:t>
            </w: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9"/>
                <w:szCs w:val="9"/>
                <w:b w:val="1"/>
                <w:bCs w:val="1"/>
                <w:color w:val="auto"/>
              </w:rPr>
              <w:t>12/31/2024</w:t>
            </w:r>
          </w:p>
        </w:tc>
        <w:tc>
          <w:tcPr>
            <w:tcW w:w="60" w:type="dxa"/>
            <w:vAlign w:val="bottom"/>
          </w:tcPr>
          <w:p>
            <w:pPr>
              <w:spacing w:after="0"/>
              <w:rPr>
                <w:sz w:val="7"/>
                <w:szCs w:val="7"/>
                <w:color w:val="auto"/>
              </w:rPr>
            </w:pPr>
          </w:p>
        </w:tc>
      </w:tr>
      <w:tr>
        <w:trPr>
          <w:trHeight w:val="158"/>
        </w:trPr>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14,626</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14,680</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15,837</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15,061</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17,511</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19,056</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19,057</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19,565</w:t>
            </w:r>
          </w:p>
        </w:tc>
        <w:tc>
          <w:tcPr>
            <w:tcW w:w="60" w:type="dxa"/>
            <w:vAlign w:val="bottom"/>
          </w:tcPr>
          <w:p>
            <w:pPr>
              <w:spacing w:after="0"/>
              <w:rPr>
                <w:sz w:val="13"/>
                <w:szCs w:val="13"/>
                <w:color w:val="auto"/>
              </w:rPr>
            </w:pPr>
          </w:p>
        </w:tc>
      </w:tr>
      <w:tr>
        <w:trPr>
          <w:trHeight w:val="252"/>
        </w:trPr>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(3,179 )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(3,240 )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(3,313 )</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(3,337 )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(3,756 )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(3,455 )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(3,314 )</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(3,472 )</w:t>
            </w:r>
          </w:p>
        </w:tc>
      </w:tr>
      <w:tr>
        <w:trPr>
          <w:trHeight w:val="245"/>
        </w:trPr>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(1,858 )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(1,995 )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(2,112 )</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(2,154 )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(2,214 )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(2,322 )</w:t>
            </w: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(2,382 )</w:t>
            </w: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(2,431 )</w:t>
            </w:r>
          </w:p>
        </w:tc>
      </w:tr>
      <w:tr>
        <w:trPr>
          <w:trHeight w:val="124"/>
        </w:trPr>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9,589</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9,445</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10,412</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9,570</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11,541</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13,279</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13,361</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13,662</w:t>
            </w: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-511175</wp:posOffset>
            </wp:positionV>
            <wp:extent cx="713232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-254000</wp:posOffset>
            </wp:positionV>
            <wp:extent cx="713232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640" w:space="700"/>
            <w:col w:w="8900"/>
          </w:cols>
          <w:pgMar w:left="320" w:top="1222"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34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2,112</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2,431</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40" w:type="dxa"/>
            <w:vAlign w:val="bottom"/>
            <w:tcBorders>
              <w:bottom w:val="single" w:sz="8" w:color="CFF0FC"/>
            </w:tcBorders>
            <w:shd w:val="clear" w:color="auto" w:fill="CFF0FC"/>
          </w:tcPr>
          <w:p>
            <w:pPr>
              <w:ind w:left="80"/>
              <w:spacing w:after="0" w:line="140" w:lineRule="exact"/>
              <w:rPr>
                <w:sz w:val="20"/>
                <w:szCs w:val="20"/>
                <w:color w:val="auto"/>
              </w:rPr>
            </w:pPr>
            <w:r>
              <w:rPr>
                <w:rFonts w:ascii="Times New Roman" w:cs="Times New Roman" w:eastAsia="Times New Roman" w:hAnsi="Times New Roman"/>
                <w:sz w:val="13"/>
                <w:szCs w:val="13"/>
                <w:color w:val="auto"/>
              </w:rPr>
              <w:t>of intangible assets</w:t>
            </w: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Adjusted gross profit</w:t>
            </w: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11,447</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11,440</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12,524</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11,724</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13,755</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15,601</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15,743</w:t>
            </w:r>
          </w:p>
        </w:tc>
        <w:tc>
          <w:tcPr>
            <w:tcW w:w="2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16,093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Gross margin</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66</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64</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66</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64</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66</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70</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70</w:t>
            </w:r>
          </w:p>
        </w:tc>
        <w:tc>
          <w:tcPr>
            <w:tcW w:w="2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70</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4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Adjusted gross margin</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82</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83</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82</w:t>
            </w: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737"/>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340" w:type="dxa"/>
            <w:vAlign w:val="bottom"/>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(In thousands) (Unaudited)</w:t>
            </w: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3/31/2023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6/30/2023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9/30/2023</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181"/>
              <w:spacing w:after="0" w:line="75" w:lineRule="exact"/>
              <w:rPr>
                <w:sz w:val="20"/>
                <w:szCs w:val="20"/>
                <w:color w:val="auto"/>
              </w:rPr>
            </w:pPr>
            <w:r>
              <w:rPr>
                <w:rFonts w:ascii="Times New Roman" w:cs="Times New Roman" w:eastAsia="Times New Roman" w:hAnsi="Times New Roman"/>
                <w:sz w:val="8"/>
                <w:szCs w:val="8"/>
                <w:b w:val="1"/>
                <w:bCs w:val="1"/>
                <w:color w:val="auto"/>
              </w:rPr>
              <w:t>12/31/2023</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3/31/2024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6/30/2024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9/30/2024</w:t>
            </w: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12/31/2024</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4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Net cash provided by operating</w:t>
            </w: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4,305</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Less: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(44 )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(7 )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(47 )</w:t>
            </w: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(24 )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(65 )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(52 )</w:t>
            </w: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(35 )</w:t>
            </w:r>
          </w:p>
        </w:tc>
        <w:tc>
          <w:tcPr>
            <w:tcW w:w="1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(17 )</w:t>
            </w:r>
          </w:p>
        </w:tc>
        <w:tc>
          <w:tcPr>
            <w:tcW w:w="0" w:type="dxa"/>
            <w:vAlign w:val="bottom"/>
          </w:tcPr>
          <w:p>
            <w:pPr>
              <w:spacing w:after="0"/>
              <w:rPr>
                <w:sz w:val="1"/>
                <w:szCs w:val="1"/>
                <w:color w:val="auto"/>
              </w:rPr>
            </w:pPr>
          </w:p>
        </w:tc>
      </w:tr>
      <w:tr>
        <w:trPr>
          <w:trHeight w:val="117"/>
        </w:trPr>
        <w:tc>
          <w:tcPr>
            <w:tcW w:w="23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Capitalized costs included in</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(2,273 )</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(2,236 )</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(2,412 )</w:t>
            </w:r>
          </w:p>
        </w:tc>
        <w:tc>
          <w:tcPr>
            <w:tcW w:w="160" w:type="dxa"/>
            <w:vAlign w:val="bottom"/>
          </w:tcPr>
          <w:p>
            <w:pPr>
              <w:spacing w:after="0"/>
              <w:rPr>
                <w:sz w:val="10"/>
                <w:szCs w:val="10"/>
                <w:color w:val="auto"/>
              </w:rPr>
            </w:pPr>
          </w:p>
        </w:tc>
        <w:tc>
          <w:tcPr>
            <w:tcW w:w="9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(2,103 )</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(2,327 )</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(2,411 )</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(2,380 )</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(2,280 )</w:t>
            </w:r>
          </w:p>
        </w:tc>
        <w:tc>
          <w:tcPr>
            <w:tcW w:w="0" w:type="dxa"/>
            <w:vAlign w:val="bottom"/>
          </w:tcPr>
          <w:p>
            <w:pPr>
              <w:spacing w:after="0"/>
              <w:rPr>
                <w:sz w:val="1"/>
                <w:szCs w:val="1"/>
                <w:color w:val="auto"/>
              </w:rPr>
            </w:pPr>
          </w:p>
        </w:tc>
      </w:tr>
      <w:tr>
        <w:trPr>
          <w:trHeight w:val="140"/>
        </w:trPr>
        <w:tc>
          <w:tcPr>
            <w:tcW w:w="23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auto"/>
              </w:rPr>
              <w:t>intangible assets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Free cash flow</w:t>
            </w: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(786 )</w:t>
            </w: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1,304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3,330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2,077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1,913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3,254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4,832</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4,394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-1276350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-1276350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-1276350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-1276350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-1276350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-1276350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-1276350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-1276350</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-873760</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-856615</wp:posOffset>
            </wp:positionV>
            <wp:extent cx="85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-873760</wp:posOffset>
            </wp:positionV>
            <wp:extent cx="85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-856615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-873760</wp:posOffset>
            </wp:positionV>
            <wp:extent cx="85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-856615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-873760</wp:posOffset>
            </wp:positionV>
            <wp:extent cx="857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-856615</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-873760</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-856615</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-873760</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-856615</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-873760</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-856615</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-873760</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-856615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 compared to year ended December 31, 2023</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$15.0 million or 25% to $75.2 million for the year ended December 31, 2024 from $60.2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Revenue from new customers increased $1.0 million or 18%, base revenue from existing customers increased $11.6 million or 25%, and growth revenue from existing customers increased $2.4 million or 33%. Our IDI billable customer base grew from 7,875 customers as of December 31, 2023 to 8,926 customers as of December 31, 2024, and our FOREWARN user base grew from 185,380 users to 303,418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4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(exclusive of depreciation and amortization) increased $0.9 million or 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$14.0 million for the year ended December 31, 2024 from $13.1 million for the year ended December 31, 2023.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45% and 48% of our total data acquisition costs for the years ended December 31, 2024 and 2023, respectively. Other cost of revenue items include expenses related to third-party infrastructure fees.</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19% for the year ended December 31, 2024 from 22% for the year ended December 31, 2023.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3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$4.0 million or 29% to $17.8 million for the year ended December 31, 2024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$13.8 million for the year ended December 31, 2023. Sales and marketing expenses consist of personnel-related expenses, advertising, marketing and agency expenses, travel expenses, and share-based compensation expense, incurred by our sales team, and provision for bad debts. The increase during the year ended December 31, 2024 was primarily attributable to an increase of $4.1 million in personnel-related expenses, $0.3 million in advertising, marketing and agency expenses, and $0.2 million in share-based compensation expense, which was partially offset by the decrease of $0.7 million in provision for bad debts.</w:t>
      </w:r>
    </w:p>
    <w:p>
      <w:pPr>
        <w:spacing w:after="0" w:line="14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$3.5 million or 15% to $25.9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from $22.4 million for the year ended December 31, 2023. For the years ended December 31, 2024 and 2023, our general and administrative expenses consisted primarily of personnel-related expenses of $13.8 million and $11.8 million, share-based compensation expense of $5.3 million and $4.9 million, and professional fees of $4.2 million and $3.2 million, respectively.</w:t>
      </w:r>
    </w:p>
    <w:p>
      <w:pPr>
        <w:spacing w:after="0" w:line="14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$1.2 million or 14% to $9.6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$8.4 million for the year ended December 31, 2023. The increase in depreciation and amortization for the year ended December 31, 2024 resulted primarily from the amortization of software developed for internal use that became ready for its intended use after December 31, 2023.</w:t>
      </w:r>
    </w:p>
    <w:p>
      <w:pPr>
        <w:spacing w:after="0" w:line="13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 net</w:t>
      </w:r>
      <w:r>
        <w:rPr>
          <w:rFonts w:ascii="Times New Roman" w:cs="Times New Roman" w:eastAsia="Times New Roman" w:hAnsi="Times New Roman"/>
          <w:sz w:val="18"/>
          <w:szCs w:val="18"/>
          <w:color w:val="auto"/>
        </w:rPr>
        <w:t>. Interest income increased $0.1 million or 5% to $1.4 million for the year ended December 31, 2024 from $1.3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2023. This was primarily due to interest income earned on investments in certain money market funds.</w:t>
      </w:r>
    </w:p>
    <w:p>
      <w:pPr>
        <w:spacing w:after="0" w:line="1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r>
        <w:rPr>
          <w:rFonts w:ascii="Times New Roman" w:cs="Times New Roman" w:eastAsia="Times New Roman" w:hAnsi="Times New Roman"/>
          <w:sz w:val="18"/>
          <w:szCs w:val="18"/>
          <w:color w:val="auto"/>
        </w:rPr>
        <w:t>. Income before income taxes increased $5.5 million or 143% to $9.3 million for the year ended December 31, 2024 from $3.8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2023. The increase was primarily attributable to the increase in revenue, decrease in our cost of revenue as a percentage of revenue, and decrease in provision for bad debts of $0.7 million, which was partially offset by the increase in personnel-related expenses of $6.1 million, share-based compensation expense of $0.6 million, professional fees of $1.0 million, and depreciation and amortization of $1.2 million.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6" w:name="page37"/>
    <w:bookmarkEnd w:id="36"/>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 Income tax expense of $2.3 million was recognized for the year ended December 31, 2024 compared to income tax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$9.7 million, inclusive of a one-time deferred income tax benefit as a result of the release of the valuation allowance previously recorded on deferred tax asset and the cumulative research and development tax credit, for the year ended December 31, 2023. Beginning from the third quarter of 2023, the Company released the valuation allowance previously recorded against its deferred tax assets as the Company concluded that the realization of the deferred tax assets is more likely than not. See Note 8, “Income Taxes,” included in “Notes to Consolidated Financial Statements.”</w:t>
      </w:r>
    </w:p>
    <w:p>
      <w:pPr>
        <w:spacing w:after="0" w:line="1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$7.0 million for the year ended December 31, 2024 compared to $13.5 million (inclusive of a one-time deferred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of $10.3 million) for the year ended December 31, 2023, as a result of the foregoing.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the persistent inflationary pressure throughout 2024 and 2023 has contributed to deteriorating macroeconomic conditions and increased recession fears, causing businesses to slow their spending, which have resulted in,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For the year ended December 31, 2024, net cash provided by operating activities was $24.0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the net income of $7.0 million, adjusted for certain non-cash items (consisting of share-based compensation expense, depreciation and amortization, write-off of long-lived assets, provision for bad debts, noncash lease expenses, and deferred income tax expense (benefit)) totaling $18.5 million, and the cash used as a result of changes in assets and liabilities of $1.5 million, primarily the result of the increase in accounts receivable, prepaid expenses and other current assets, and other noncurrent assets, and the decrease in operating lease liabilities, which was partially offset by the increase in accounts payable and accrued expenses and other current liabilities. For the year ended December 31, 2023, net cash provided by operating activities was $15.1 million, primarily the result of the net income of $13.5 million, adjusted for certain non-cash items, as mentioned above, totaling $5.6 million, and the cash used as a result of changes in assets and liabilities of $4.1 million, primarily the result of the increase in accounts receivable and prepaid expenses and other current assets, and the decrease in accounts payable and operating lease liabilities.</w:t>
      </w:r>
    </w:p>
    <w:p>
      <w:pPr>
        <w:spacing w:after="0" w:line="14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For the years ended December 31, 2024 and 2023, net cash used in investing activities was $9.6 million and $9.1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primarily as a result of capitalized costs included in intangible assets.</w:t>
      </w:r>
    </w:p>
    <w:p>
      <w:pPr>
        <w:spacing w:after="0" w:line="1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For the year ended December 31, 2024, net cash used in financing activities was $9.9 million,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paid related to the net share settlement of vesting of RSUs of $4.1 million, and the result of $5.9 million paid in aggregate for the repurchase of common stock pursuant to a stock repurchase program that the Board of Directors authorized on May 2, 2022 (the "Stock Repurchase Program"), authorizing the repurchase of up to $5.0 million of our common stock. Subsequently on each of December 19, 2023 and March 28, 2024, the Board of Directors approved the repurchases of an additional $5.0 million of our common stock under the Stock Repurchase Program. For the year ended December 31, 2023, net cash used in financing activities was $5.7 million, the result of $2.0 million in taxes paid related to the net share settlement of vesting of RSUs, and $3.7 million paid in aggregate for the repurchase of common stock pursuant to the Stock Repurchase Program.</w:t>
      </w:r>
    </w:p>
    <w:p>
      <w:pPr>
        <w:spacing w:after="0" w:line="1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we had material commitments under certain data licensing agreements of $13.7 million. We anticipate funding our operations using available cash and cash flow generated from operations within the next twelve months.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reported net income of $7.0 million and $13.5 million (inclusive of a one-time deferred income tax benefit of $10.3 million as a result of the release of valuation allowance previously recorded against our deferred tax assets and the cumulative research and development tax credit) for the years ended December 31, 2024 and 2023, respectively. As of December 31, 2024, we had a total shareholders’ equity balance of $86.6 million.</w:t>
      </w:r>
    </w:p>
    <w:p>
      <w:pPr>
        <w:spacing w:after="0" w:line="1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$36.5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37" w:name="page38"/>
    <w:bookmarkEnd w:id="37"/>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2024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Many factors could cause our actual activities or results to differ materially from the activities and results anticipated in forward-looking statements. These factors include the following:</w:t>
      </w:r>
    </w:p>
    <w:p>
      <w:pPr>
        <w:spacing w:after="0" w:line="121" w:lineRule="exact"/>
        <w:rPr>
          <w:sz w:val="20"/>
          <w:szCs w:val="20"/>
          <w:color w:val="auto"/>
        </w:rPr>
      </w:pPr>
    </w:p>
    <w:p>
      <w:pPr>
        <w:ind w:left="560" w:right="160" w:hanging="507"/>
        <w:spacing w:after="0" w:line="282"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34" w:lineRule="exact"/>
        <w:rPr>
          <w:rFonts w:ascii="Times New Roman" w:cs="Times New Roman" w:eastAsia="Times New Roman" w:hAnsi="Times New Roman"/>
          <w:sz w:val="18"/>
          <w:szCs w:val="18"/>
          <w:color w:val="auto"/>
        </w:rPr>
      </w:pPr>
    </w:p>
    <w:p>
      <w:pPr>
        <w:ind w:left="560" w:hanging="507"/>
        <w:spacing w:after="0" w:line="282"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in the data and analytics sector, we may lose customers and/or our products and/or services may become obsolete.</w:t>
      </w:r>
    </w:p>
    <w:p>
      <w:pPr>
        <w:spacing w:after="0" w:line="121" w:lineRule="exact"/>
        <w:rPr>
          <w:rFonts w:ascii="Times New Roman" w:cs="Times New Roman" w:eastAsia="Times New Roman" w:hAnsi="Times New Roman"/>
          <w:sz w:val="18"/>
          <w:szCs w:val="18"/>
          <w:color w:val="auto"/>
        </w:rPr>
      </w:pPr>
    </w:p>
    <w:p>
      <w:pPr>
        <w:ind w:left="560" w:right="60" w:hanging="507"/>
        <w:spacing w:after="0" w:line="266"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135" w:lineRule="exact"/>
        <w:rPr>
          <w:rFonts w:ascii="Times New Roman" w:cs="Times New Roman" w:eastAsia="Times New Roman" w:hAnsi="Times New Roman"/>
          <w:sz w:val="18"/>
          <w:szCs w:val="18"/>
          <w:color w:val="auto"/>
        </w:rPr>
      </w:pPr>
    </w:p>
    <w:p>
      <w:pPr>
        <w:ind w:left="560" w:right="40" w:hanging="507"/>
        <w:spacing w:after="0" w:line="266"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48" w:lineRule="exact"/>
        <w:rPr>
          <w:rFonts w:ascii="Times New Roman" w:cs="Times New Roman" w:eastAsia="Times New Roman" w:hAnsi="Times New Roman"/>
          <w:sz w:val="18"/>
          <w:szCs w:val="18"/>
          <w:color w:val="auto"/>
        </w:rPr>
      </w:pPr>
    </w:p>
    <w:p>
      <w:pPr>
        <w:ind w:left="560" w:right="440" w:hanging="507"/>
        <w:spacing w:after="0" w:line="282"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our systems, our certifications, our technology, and our interfaces with data and customers, demand for our services could be adversely affected.</w:t>
      </w:r>
    </w:p>
    <w:p>
      <w:pPr>
        <w:spacing w:after="0" w:line="121"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and use of artificial intelligence may result in reputational harm, liability, or other adverse consequences to our business.</w:t>
      </w:r>
    </w:p>
    <w:p>
      <w:pPr>
        <w:spacing w:after="0" w:line="184" w:lineRule="exact"/>
        <w:rPr>
          <w:rFonts w:ascii="Times New Roman" w:cs="Times New Roman" w:eastAsia="Times New Roman" w:hAnsi="Times New Roman"/>
          <w:sz w:val="18"/>
          <w:szCs w:val="18"/>
          <w:color w:val="auto"/>
        </w:rPr>
      </w:pPr>
    </w:p>
    <w:p>
      <w:pPr>
        <w:jc w:val="both"/>
        <w:ind w:left="560" w:right="40" w:hanging="507"/>
        <w:spacing w:after="0" w:line="266"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48" w:lineRule="exact"/>
        <w:rPr>
          <w:rFonts w:ascii="Times New Roman" w:cs="Times New Roman" w:eastAsia="Times New Roman" w:hAnsi="Times New Roman"/>
          <w:sz w:val="18"/>
          <w:szCs w:val="18"/>
          <w:color w:val="auto"/>
        </w:rPr>
      </w:pPr>
    </w:p>
    <w:p>
      <w:pPr>
        <w:jc w:val="both"/>
        <w:ind w:left="560" w:right="160" w:hanging="507"/>
        <w:spacing w:after="0" w:line="266"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38" w:name="page39"/>
    <w:bookmarkEnd w:id="38"/>
    <w:p>
      <w:pPr>
        <w:ind w:left="507" w:right="180" w:hanging="507"/>
        <w:spacing w:after="0" w:line="266"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4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remain uncertain.</w:t>
      </w:r>
    </w:p>
    <w:p>
      <w:pPr>
        <w:spacing w:after="0" w:line="184" w:lineRule="exact"/>
        <w:rPr>
          <w:rFonts w:ascii="Times New Roman" w:cs="Times New Roman" w:eastAsia="Times New Roman" w:hAnsi="Times New Roman"/>
          <w:sz w:val="18"/>
          <w:szCs w:val="18"/>
          <w:color w:val="auto"/>
        </w:rPr>
      </w:pPr>
    </w:p>
    <w:p>
      <w:pPr>
        <w:ind w:left="507"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strategic alliances and joint ventures to grow our business. If we are unable to develop and maintain these strategic alliances and joint ventures, our growth may be adversely affected.</w:t>
      </w:r>
    </w:p>
    <w:p>
      <w:pPr>
        <w:spacing w:after="0" w:line="121" w:lineRule="exact"/>
        <w:rPr>
          <w:rFonts w:ascii="Times New Roman" w:cs="Times New Roman" w:eastAsia="Times New Roman" w:hAnsi="Times New Roman"/>
          <w:sz w:val="18"/>
          <w:szCs w:val="18"/>
          <w:color w:val="auto"/>
        </w:rPr>
      </w:pPr>
    </w:p>
    <w:p>
      <w:pPr>
        <w:ind w:left="507" w:right="60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any future acquisitions, we will be subject to the risks inherent in identifying, acquiring, and operating a newly acquired business.</w:t>
      </w:r>
    </w:p>
    <w:p>
      <w:pPr>
        <w:spacing w:after="0" w:line="134" w:lineRule="exact"/>
        <w:rPr>
          <w:rFonts w:ascii="Times New Roman" w:cs="Times New Roman" w:eastAsia="Times New Roman" w:hAnsi="Times New Roman"/>
          <w:sz w:val="18"/>
          <w:szCs w:val="18"/>
          <w:color w:val="auto"/>
        </w:rPr>
      </w:pPr>
    </w:p>
    <w:p>
      <w:pPr>
        <w:ind w:left="507" w:right="14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key customers may be materially diminished or terminated, which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the services of key personnel, it could adversely affect our business.</w:t>
      </w:r>
    </w:p>
    <w:p>
      <w:pPr>
        <w:spacing w:after="0" w:line="184" w:lineRule="exact"/>
        <w:rPr>
          <w:rFonts w:ascii="Times New Roman" w:cs="Times New Roman" w:eastAsia="Times New Roman" w:hAnsi="Times New Roman"/>
          <w:sz w:val="18"/>
          <w:szCs w:val="18"/>
          <w:color w:val="auto"/>
        </w:rPr>
      </w:pPr>
    </w:p>
    <w:p>
      <w:pPr>
        <w:ind w:left="507" w:right="76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access to data sources which could prevent us from providing our services.</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adequately protect our intellectual property in order to prevent loss of valuable proprietary information.</w:t>
      </w:r>
    </w:p>
    <w:p>
      <w:pPr>
        <w:spacing w:after="0" w:line="184"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from both start-up and established companies that may have significant advantages over us and our products.</w:t>
      </w:r>
    </w:p>
    <w:p>
      <w:pPr>
        <w:spacing w:after="0" w:line="19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further consolidation in our end-customer markets, which may adversely affect our revenue.</w:t>
      </w:r>
    </w:p>
    <w:p>
      <w:pPr>
        <w:spacing w:after="0" w:line="184" w:lineRule="exact"/>
        <w:rPr>
          <w:rFonts w:ascii="Times New Roman" w:cs="Times New Roman" w:eastAsia="Times New Roman" w:hAnsi="Times New Roman"/>
          <w:sz w:val="18"/>
          <w:szCs w:val="18"/>
          <w:color w:val="auto"/>
        </w:rPr>
      </w:pPr>
    </w:p>
    <w:p>
      <w:pPr>
        <w:ind w:left="507"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availability of free or relatively inexpensive consumer and/or business information increases, the demand for some of our services may decrease.</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newer products do not achieve market acceptance, revenue growth may suffer.</w:t>
      </w:r>
    </w:p>
    <w:p>
      <w:pPr>
        <w:spacing w:after="0" w:line="198" w:lineRule="exact"/>
        <w:rPr>
          <w:rFonts w:ascii="Times New Roman" w:cs="Times New Roman" w:eastAsia="Times New Roman" w:hAnsi="Times New Roman"/>
          <w:sz w:val="18"/>
          <w:szCs w:val="18"/>
          <w:color w:val="auto"/>
        </w:rPr>
      </w:pPr>
    </w:p>
    <w:p>
      <w:pPr>
        <w:ind w:left="507" w:right="4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can have long sales and implementation cycles, which may result in substantial expenses before realizing any associated revenue.</w:t>
      </w:r>
    </w:p>
    <w:p>
      <w:pPr>
        <w:spacing w:after="0" w:line="121" w:lineRule="exact"/>
        <w:rPr>
          <w:rFonts w:ascii="Times New Roman" w:cs="Times New Roman" w:eastAsia="Times New Roman" w:hAnsi="Times New Roman"/>
          <w:sz w:val="18"/>
          <w:szCs w:val="18"/>
          <w:color w:val="auto"/>
        </w:rPr>
      </w:pPr>
    </w:p>
    <w:p>
      <w:pPr>
        <w:ind w:left="507" w:right="6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outside service providers and key vendors are not able to or do not fulfill their service obligations, our operations could be disrupted and our operating results could be harmed.</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data and analytics sector may limit market acceptance of our products and services.</w:t>
      </w:r>
    </w:p>
    <w:p>
      <w:pPr>
        <w:spacing w:after="0" w:line="198"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defending against claims of infringement.</w:t>
      </w:r>
    </w:p>
    <w:p>
      <w:pPr>
        <w:spacing w:after="0" w:line="184" w:lineRule="exact"/>
        <w:rPr>
          <w:rFonts w:ascii="Times New Roman" w:cs="Times New Roman" w:eastAsia="Times New Roman" w:hAnsi="Times New Roman"/>
          <w:sz w:val="18"/>
          <w:szCs w:val="18"/>
          <w:color w:val="auto"/>
        </w:rPr>
      </w:pPr>
    </w:p>
    <w:p>
      <w:pPr>
        <w:ind w:left="507" w:right="12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any future reporting obligations in connection with environmental issues, may adversely impact our business and operations.</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 and the value of an investment in our common stock may decline.</w:t>
      </w:r>
    </w:p>
    <w:p>
      <w:pPr>
        <w:spacing w:after="0" w:line="198" w:lineRule="exact"/>
        <w:rPr>
          <w:rFonts w:ascii="Times New Roman" w:cs="Times New Roman" w:eastAsia="Times New Roman" w:hAnsi="Times New Roman"/>
          <w:sz w:val="18"/>
          <w:szCs w:val="18"/>
          <w:color w:val="auto"/>
        </w:rPr>
      </w:pPr>
    </w:p>
    <w:p>
      <w:pPr>
        <w:ind w:left="507" w:right="4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in connection with acquisitions or pursuant to our stock incentive plan could have a dilutive effect on your investment.</w:t>
      </w:r>
    </w:p>
    <w:p>
      <w:pPr>
        <w:spacing w:after="0" w:line="121"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stock ownership may limit individual stockholder ability to influence corporate matters.</w:t>
      </w:r>
    </w:p>
    <w:p>
      <w:pPr>
        <w:spacing w:after="0" w:line="184" w:lineRule="exact"/>
        <w:rPr>
          <w:rFonts w:ascii="Times New Roman" w:cs="Times New Roman" w:eastAsia="Times New Roman" w:hAnsi="Times New Roman"/>
          <w:sz w:val="18"/>
          <w:szCs w:val="18"/>
          <w:color w:val="auto"/>
        </w:rPr>
      </w:pPr>
    </w:p>
    <w:p>
      <w:pPr>
        <w:ind w:left="507" w:right="180" w:hanging="507"/>
        <w:spacing w:after="0" w:line="282" w:lineRule="auto"/>
        <w:tabs>
          <w:tab w:leader="none" w:pos="5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 longer an “emerging growth company,” however, we are still a “smaller reporting company,” and the reduced disclosure requirements applicable to smaller reporting companies may make our common stock less attractive to investors.</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621665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373" w:top="1377" w:right="399" w:bottom="1440" w:gutter="0" w:footer="0" w:header="0"/>
        </w:sectPr>
      </w:pPr>
    </w:p>
    <w:bookmarkStart w:id="39" w:name="page40"/>
    <w:bookmarkEnd w:id="39"/>
    <w:p>
      <w:pPr>
        <w:ind w:left="560" w:right="20" w:hanging="507"/>
        <w:spacing w:after="0" w:line="266"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48" w:lineRule="exact"/>
        <w:rPr>
          <w:rFonts w:ascii="Times New Roman" w:cs="Times New Roman" w:eastAsia="Times New Roman" w:hAnsi="Times New Roman"/>
          <w:sz w:val="18"/>
          <w:szCs w:val="18"/>
          <w:color w:val="auto"/>
        </w:rPr>
      </w:pPr>
    </w:p>
    <w:p>
      <w:pPr>
        <w:ind w:left="560" w:hanging="507"/>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continue to declare or pay dividends on our common stock in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otherwise required by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2024.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(the "COSO") of the Treadway Commission in Internal Control-Integrated Framework (2013).</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Management concluded that the Company’s internal control over financial reporting (as defined in Rules 13a-15(f) and 15d-15(f) of the Exchange Act) was effective as of December 31, 2024, based on criteria in Internal Control-Integrated Framework (2013) issued by the COSO.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last fiscal quarter of 2024 that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or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1" w:name="page42"/>
    <w:bookmarkEnd w:id="41"/>
    <w:p>
      <w:pPr>
        <w:spacing w:after="0" w:line="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certain information required by Item 401 of Regulation S-K with respect to our executive officers, which is provided under Item 1, “Business” of Part I of this 2024 Form 10-K) is incorporated by reference to the definitive proxy statement for our 2025 Annual Meeting of Stockholders to be filed with the SEC within 120 days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to be filed with the SEC within 120 days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to be filed with the SEC within 120 days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to be filed with the SEC within 120 days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to be filed with the SEC within 120 days of December 31, 2024.</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198"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in Item 8 of this 2024 Form 10-K.</w:t>
      </w:r>
    </w:p>
    <w:p>
      <w:pPr>
        <w:spacing w:after="0" w:line="184" w:lineRule="exact"/>
        <w:rPr>
          <w:rFonts w:ascii="Times New Roman" w:cs="Times New Roman" w:eastAsia="Times New Roman" w:hAnsi="Times New Roman"/>
          <w:sz w:val="18"/>
          <w:szCs w:val="18"/>
          <w:color w:val="auto"/>
        </w:rPr>
      </w:pPr>
    </w:p>
    <w:p>
      <w:pPr>
        <w:ind w:right="3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information required by this item is included in the consolidated financial statements contained in Item 8 of this 2024 Form 10-K.</w:t>
      </w:r>
    </w:p>
    <w:p>
      <w:pPr>
        <w:spacing w:after="0" w:line="1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as part of, or incorporated by reference into, this 2024 Form 10-K.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1"/>
                <w:szCs w:val="11"/>
                <w:color w:val="auto"/>
              </w:rPr>
            </w:pPr>
          </w:p>
        </w:tc>
        <w:tc>
          <w:tcPr>
            <w:tcW w:w="4840" w:type="dxa"/>
            <w:vAlign w:val="bottom"/>
            <w:gridSpan w:val="35"/>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02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1"/>
                <w:szCs w:val="11"/>
                <w:color w:val="auto"/>
              </w:rPr>
            </w:pPr>
          </w:p>
        </w:tc>
        <w:tc>
          <w:tcPr>
            <w:tcW w:w="1000" w:type="dxa"/>
            <w:vAlign w:val="bottom"/>
          </w:tcPr>
          <w:p>
            <w:pPr>
              <w:jc w:val="right"/>
              <w:ind w:right="214"/>
              <w:spacing w:after="0" w:line="129" w:lineRule="exact"/>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1"/>
                <w:szCs w:val="11"/>
                <w:color w:val="auto"/>
              </w:rPr>
            </w:pPr>
          </w:p>
        </w:tc>
        <w:tc>
          <w:tcPr>
            <w:tcW w:w="10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1"/>
                <w:szCs w:val="11"/>
                <w:color w:val="auto"/>
              </w:rPr>
            </w:pPr>
          </w:p>
        </w:tc>
        <w:tc>
          <w:tcPr>
            <w:tcW w:w="12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b w:val="1"/>
                <w:bCs w:val="1"/>
                <w:color w:val="auto"/>
              </w:rPr>
              <w:t>Filing Date</w:t>
            </w: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28"/>
        </w:trPr>
        <w:tc>
          <w:tcPr>
            <w:tcW w:w="8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4740" w:type="dxa"/>
            <w:vAlign w:val="bottom"/>
            <w:tcBorders>
              <w:top w:val="single" w:sz="8" w:color="auto"/>
            </w:tcBorders>
            <w:gridSpan w:val="34"/>
          </w:tcPr>
          <w:p>
            <w:pPr>
              <w:spacing w:after="0" w:line="129"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Separation and Distribution Agreement by and between Cogint, Inc. and Red</w:t>
              </w:r>
            </w:hyperlink>
          </w:p>
        </w:tc>
        <w:tc>
          <w:tcPr>
            <w:tcW w:w="100" w:type="dxa"/>
            <w:vAlign w:val="bottom"/>
          </w:tcPr>
          <w:p>
            <w:pPr>
              <w:spacing w:after="0"/>
              <w:rPr>
                <w:sz w:val="11"/>
                <w:szCs w:val="11"/>
                <w:color w:val="auto"/>
              </w:rPr>
            </w:pPr>
          </w:p>
        </w:tc>
        <w:tc>
          <w:tcPr>
            <w:tcW w:w="102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Form 10</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00" w:type="dxa"/>
            <w:vAlign w:val="bottom"/>
          </w:tcPr>
          <w:p>
            <w:pPr>
              <w:spacing w:after="0"/>
              <w:rPr>
                <w:sz w:val="11"/>
                <w:szCs w:val="11"/>
                <w:color w:val="auto"/>
              </w:rPr>
            </w:pPr>
          </w:p>
        </w:tc>
        <w:tc>
          <w:tcPr>
            <w:tcW w:w="10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12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February 28, 2018</w:t>
            </w: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6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Violet, Inc., dated February 27, 2018.</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1"/>
                <w:szCs w:val="11"/>
                <w:color w:val="auto"/>
              </w:rPr>
            </w:pPr>
          </w:p>
        </w:tc>
        <w:tc>
          <w:tcPr>
            <w:tcW w:w="218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303">
              <w:r>
                <w:rPr>
                  <w:rFonts w:ascii="Times New Roman" w:cs="Times New Roman" w:eastAsia="Times New Roman" w:hAnsi="Times New Roman"/>
                  <w:sz w:val="14"/>
                  <w:szCs w:val="14"/>
                  <w:color w:val="0000FF"/>
                </w:rPr>
                <w:t>Amended and Restated Certificate of</w:t>
              </w:r>
            </w:hyperlink>
          </w:p>
        </w:tc>
        <w:tc>
          <w:tcPr>
            <w:tcW w:w="2660" w:type="dxa"/>
            <w:vAlign w:val="bottom"/>
            <w:gridSpan w:val="21"/>
          </w:tcPr>
          <w:p>
            <w:pPr>
              <w:spacing w:after="0" w:line="129" w:lineRule="exact"/>
              <w:rPr>
                <w:rFonts w:ascii="Times New Roman" w:cs="Times New Roman" w:eastAsia="Times New Roman" w:hAnsi="Times New Roman"/>
                <w:sz w:val="14"/>
                <w:szCs w:val="14"/>
                <w:color w:val="0000FF"/>
              </w:rPr>
            </w:pPr>
            <w:hyperlink r:id="rId303">
              <w:r>
                <w:rPr>
                  <w:rFonts w:ascii="Times New Roman" w:cs="Times New Roman" w:eastAsia="Times New Roman" w:hAnsi="Times New Roman"/>
                  <w:sz w:val="14"/>
                  <w:szCs w:val="14"/>
                  <w:color w:val="0000FF"/>
                </w:rPr>
                <w:t>Incorporation of Red Violet, Inc.</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1"/>
                <w:szCs w:val="11"/>
                <w:color w:val="auto"/>
              </w:rPr>
            </w:pPr>
          </w:p>
        </w:tc>
        <w:tc>
          <w:tcPr>
            <w:tcW w:w="406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304">
              <w:r>
                <w:rPr>
                  <w:rFonts w:ascii="Times New Roman" w:cs="Times New Roman" w:eastAsia="Times New Roman" w:hAnsi="Times New Roman"/>
                  <w:sz w:val="14"/>
                  <w:szCs w:val="14"/>
                  <w:color w:val="0000FF"/>
                </w:rPr>
                <w:t>Amended and Restated Bylaws of Red Violet, Inc.</w:t>
              </w:r>
            </w:hyperlink>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1"/>
                <w:szCs w:val="11"/>
                <w:color w:val="auto"/>
              </w:rPr>
            </w:pPr>
          </w:p>
        </w:tc>
        <w:tc>
          <w:tcPr>
            <w:tcW w:w="292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305">
              <w:r>
                <w:rPr>
                  <w:rFonts w:ascii="Times New Roman" w:cs="Times New Roman" w:eastAsia="Times New Roman" w:hAnsi="Times New Roman"/>
                  <w:sz w:val="14"/>
                  <w:szCs w:val="14"/>
                  <w:color w:val="0000FF"/>
                </w:rPr>
                <w:t>Description of Registrant's Securities.</w:t>
              </w:r>
            </w:hyperlink>
          </w:p>
        </w:tc>
        <w:tc>
          <w:tcPr>
            <w:tcW w:w="5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12, 2020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10</w:t>
            </w:r>
          </w:p>
        </w:tc>
        <w:tc>
          <w:tcPr>
            <w:tcW w:w="1100" w:type="dxa"/>
            <w:vAlign w:val="bottom"/>
            <w:gridSpan w:val="2"/>
            <w:vMerge w:val="restart"/>
          </w:tcPr>
          <w:p>
            <w:pPr>
              <w:jc w:val="right"/>
              <w:ind w:right="294"/>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line="20" w:lineRule="exact"/>
              <w:rPr>
                <w:sz w:val="1"/>
                <w:szCs w:val="1"/>
                <w:color w:val="auto"/>
              </w:rPr>
            </w:pPr>
          </w:p>
        </w:tc>
        <w:tc>
          <w:tcPr>
            <w:tcW w:w="128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February 28, 2018</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Form of Restricted Stock Unit Agreement Pursuant to the Red Violet, Inc. 2018</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1"/>
                <w:szCs w:val="11"/>
                <w:color w:val="auto"/>
              </w:rPr>
            </w:pPr>
          </w:p>
        </w:tc>
        <w:tc>
          <w:tcPr>
            <w:tcW w:w="122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Stock Incentive Plan.</w:t>
              </w:r>
            </w:hyperlink>
          </w:p>
        </w:tc>
        <w:tc>
          <w:tcPr>
            <w:tcW w:w="20" w:type="dxa"/>
            <w:vAlign w:val="bottom"/>
            <w:tcBorders>
              <w:top w:val="single" w:sz="8" w:color="0000FF"/>
              <w:bottom w:val="single" w:sz="8" w:color="0000EE"/>
            </w:tcBorders>
          </w:tcPr>
          <w:p>
            <w:pPr>
              <w:spacing w:after="0"/>
              <w:rPr>
                <w:sz w:val="11"/>
                <w:szCs w:val="11"/>
                <w:color w:val="auto"/>
              </w:rPr>
            </w:pPr>
          </w:p>
        </w:tc>
        <w:tc>
          <w:tcPr>
            <w:tcW w:w="340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Employment Agreement, dated March 26, 2018, by and between Red Violet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6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Derek Dubner.</w:t>
              </w:r>
            </w:hyperlink>
          </w:p>
        </w:tc>
        <w:tc>
          <w:tcPr>
            <w:tcW w:w="1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1"/>
                <w:szCs w:val="11"/>
                <w:color w:val="auto"/>
              </w:rPr>
            </w:pPr>
          </w:p>
        </w:tc>
        <w:tc>
          <w:tcPr>
            <w:tcW w:w="840" w:type="dxa"/>
            <w:vAlign w:val="bottom"/>
            <w:tcBorders>
              <w:top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Employment</w:t>
              </w:r>
            </w:hyperlink>
          </w:p>
        </w:tc>
        <w:tc>
          <w:tcPr>
            <w:tcW w:w="20" w:type="dxa"/>
            <w:vAlign w:val="bottom"/>
            <w:tcBorders>
              <w:top w:val="single" w:sz="8" w:color="0000EE"/>
            </w:tcBorders>
          </w:tcPr>
          <w:p>
            <w:pPr>
              <w:spacing w:after="0"/>
              <w:rPr>
                <w:sz w:val="11"/>
                <w:szCs w:val="11"/>
                <w:color w:val="auto"/>
              </w:rPr>
            </w:pPr>
          </w:p>
        </w:tc>
        <w:tc>
          <w:tcPr>
            <w:tcW w:w="3980" w:type="dxa"/>
            <w:vAlign w:val="bottom"/>
            <w:gridSpan w:val="30"/>
          </w:tcPr>
          <w:p>
            <w:pPr>
              <w:jc w:val="right"/>
              <w:ind w:right="220"/>
              <w:spacing w:after="0" w:line="129" w:lineRule="exact"/>
              <w:rPr>
                <w:rFonts w:ascii="Times New Roman" w:cs="Times New Roman" w:eastAsia="Times New Roman" w:hAnsi="Times New Roman"/>
                <w:sz w:val="14"/>
                <w:szCs w:val="14"/>
                <w:color w:val="0000FF"/>
                <w:w w:val="99"/>
              </w:rPr>
            </w:pPr>
            <w:hyperlink r:id="rId308">
              <w:r>
                <w:rPr>
                  <w:rFonts w:ascii="Times New Roman" w:cs="Times New Roman" w:eastAsia="Times New Roman" w:hAnsi="Times New Roman"/>
                  <w:sz w:val="14"/>
                  <w:szCs w:val="14"/>
                  <w:color w:val="0000FF"/>
                  <w:w w:val="99"/>
                </w:rPr>
                <w:t>Agreement, dated March 26, 2018, by and between Red Violet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6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James Reilly.</w:t>
              </w:r>
            </w:hyperlink>
          </w:p>
        </w:tc>
        <w:tc>
          <w:tcPr>
            <w:tcW w:w="1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1"/>
                <w:szCs w:val="11"/>
                <w:color w:val="auto"/>
              </w:rPr>
            </w:pPr>
          </w:p>
        </w:tc>
        <w:tc>
          <w:tcPr>
            <w:tcW w:w="800" w:type="dxa"/>
            <w:vAlign w:val="bottom"/>
            <w:tcBorders>
              <w:top w:val="single" w:sz="8" w:color="0000EE"/>
            </w:tcBorders>
            <w:gridSpan w:val="3"/>
          </w:tcPr>
          <w:p>
            <w:pPr>
              <w:spacing w:after="0" w:line="129"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Employment</w:t>
              </w:r>
            </w:hyperlink>
          </w:p>
        </w:tc>
        <w:tc>
          <w:tcPr>
            <w:tcW w:w="4040" w:type="dxa"/>
            <w:vAlign w:val="bottom"/>
            <w:gridSpan w:val="32"/>
          </w:tcPr>
          <w:p>
            <w:pPr>
              <w:jc w:val="right"/>
              <w:ind w:right="220"/>
              <w:spacing w:after="0" w:line="129"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Agreement, dated March 26, 2018, by and between Red Violet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1"/>
                <w:szCs w:val="11"/>
                <w:color w:val="auto"/>
              </w:rPr>
            </w:pPr>
          </w:p>
        </w:tc>
        <w:tc>
          <w:tcPr>
            <w:tcW w:w="466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Dan MacLachlan.</w:t>
              </w:r>
            </w:hyperlink>
          </w:p>
        </w:tc>
        <w:tc>
          <w:tcPr>
            <w:tcW w:w="180" w:type="dxa"/>
            <w:vAlign w:val="bottom"/>
            <w:gridSpan w:val="2"/>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Red Violet, Inc. 2018 Stock Incentive Plan.</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1"/>
                <w:szCs w:val="11"/>
                <w:color w:val="auto"/>
              </w:rPr>
            </w:pPr>
          </w:p>
        </w:tc>
        <w:tc>
          <w:tcPr>
            <w:tcW w:w="2500" w:type="dxa"/>
            <w:vAlign w:val="bottom"/>
            <w:tcBorders>
              <w:top w:val="single" w:sz="8" w:color="0000EE"/>
            </w:tcBorders>
            <w:gridSpan w:val="16"/>
          </w:tcPr>
          <w:p>
            <w:pPr>
              <w:spacing w:after="0" w:line="129"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Form of Indemnification Agreement.</w:t>
              </w:r>
            </w:hyperlink>
          </w:p>
        </w:tc>
        <w:tc>
          <w:tcPr>
            <w:tcW w:w="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7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1"/>
                <w:szCs w:val="11"/>
                <w:color w:val="auto"/>
              </w:rPr>
            </w:pPr>
          </w:p>
        </w:tc>
        <w:tc>
          <w:tcPr>
            <w:tcW w:w="212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w w:val="98"/>
              </w:rPr>
            </w:pPr>
            <w:hyperlink r:id="rId312">
              <w:r>
                <w:rPr>
                  <w:rFonts w:ascii="Times New Roman" w:cs="Times New Roman" w:eastAsia="Times New Roman" w:hAnsi="Times New Roman"/>
                  <w:sz w:val="14"/>
                  <w:szCs w:val="14"/>
                  <w:color w:val="0000FF"/>
                  <w:w w:val="98"/>
                </w:rPr>
                <w:t>Form of 2018 Time- and Performance</w:t>
              </w:r>
            </w:hyperlink>
          </w:p>
        </w:tc>
        <w:tc>
          <w:tcPr>
            <w:tcW w:w="60" w:type="dxa"/>
            <w:vAlign w:val="bottom"/>
            <w:tcBorders>
              <w:top w:val="single" w:sz="8" w:color="0000EE"/>
            </w:tcBorders>
          </w:tcPr>
          <w:p>
            <w:pPr>
              <w:spacing w:after="0"/>
              <w:rPr>
                <w:sz w:val="11"/>
                <w:szCs w:val="11"/>
                <w:color w:val="auto"/>
              </w:rPr>
            </w:pPr>
          </w:p>
        </w:tc>
        <w:tc>
          <w:tcPr>
            <w:tcW w:w="2660" w:type="dxa"/>
            <w:vAlign w:val="bottom"/>
            <w:gridSpan w:val="21"/>
          </w:tcPr>
          <w:p>
            <w:pPr>
              <w:spacing w:after="0" w:line="129"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-Based Restricted Stock Unit Award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November 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2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1"/>
                <w:szCs w:val="11"/>
                <w:color w:val="auto"/>
              </w:rPr>
            </w:pPr>
          </w:p>
        </w:tc>
        <w:tc>
          <w:tcPr>
            <w:tcW w:w="660" w:type="dxa"/>
            <w:vAlign w:val="bottom"/>
            <w:tcBorders>
              <w:top w:val="single" w:sz="8" w:color="0000FF"/>
            </w:tcBorders>
          </w:tcPr>
          <w:p>
            <w:pPr>
              <w:spacing w:after="0" w:line="129" w:lineRule="exact"/>
              <w:rPr>
                <w:rFonts w:ascii="Times New Roman" w:cs="Times New Roman" w:eastAsia="Times New Roman" w:hAnsi="Times New Roman"/>
                <w:sz w:val="14"/>
                <w:szCs w:val="14"/>
                <w:color w:val="0000FF"/>
                <w:w w:val="88"/>
              </w:rPr>
            </w:pPr>
            <w:hyperlink r:id="rId313">
              <w:r>
                <w:rPr>
                  <w:rFonts w:ascii="Times New Roman" w:cs="Times New Roman" w:eastAsia="Times New Roman" w:hAnsi="Times New Roman"/>
                  <w:sz w:val="14"/>
                  <w:szCs w:val="14"/>
                  <w:color w:val="0000FF"/>
                  <w:w w:val="88"/>
                </w:rPr>
                <w:t>Employment</w:t>
              </w:r>
            </w:hyperlink>
          </w:p>
        </w:tc>
        <w:tc>
          <w:tcPr>
            <w:tcW w:w="20" w:type="dxa"/>
            <w:vAlign w:val="bottom"/>
            <w:tcBorders>
              <w:top w:val="single" w:sz="8" w:color="0000EE"/>
            </w:tcBorders>
          </w:tcPr>
          <w:p>
            <w:pPr>
              <w:spacing w:after="0"/>
              <w:rPr>
                <w:sz w:val="11"/>
                <w:szCs w:val="11"/>
                <w:color w:val="auto"/>
              </w:rPr>
            </w:pPr>
          </w:p>
        </w:tc>
        <w:tc>
          <w:tcPr>
            <w:tcW w:w="4160" w:type="dxa"/>
            <w:vAlign w:val="bottom"/>
            <w:gridSpan w:val="33"/>
          </w:tcPr>
          <w:p>
            <w:pPr>
              <w:ind w:left="100"/>
              <w:spacing w:after="0" w:line="12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Agreement between Red Violet, Inc. and Jeffrey Dell entered into</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August 5, 2019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1"/>
                <w:szCs w:val="11"/>
                <w:color w:val="auto"/>
              </w:rPr>
            </w:pPr>
          </w:p>
        </w:tc>
        <w:tc>
          <w:tcPr>
            <w:tcW w:w="46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on April 9, 2019.</w:t>
              </w:r>
            </w:hyperlink>
          </w:p>
        </w:tc>
        <w:tc>
          <w:tcPr>
            <w:tcW w:w="20" w:type="dxa"/>
            <w:vAlign w:val="bottom"/>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12, 2020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Form of 2019 Time- and Performance-Based Restricted Stock Unit Award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2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1"/>
                <w:szCs w:val="11"/>
                <w:color w:val="auto"/>
              </w:rPr>
            </w:pPr>
          </w:p>
        </w:tc>
        <w:tc>
          <w:tcPr>
            <w:tcW w:w="6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2"/>
              </w:rPr>
            </w:pPr>
            <w:hyperlink r:id="rId315">
              <w:r>
                <w:rPr>
                  <w:rFonts w:ascii="Times New Roman" w:cs="Times New Roman" w:eastAsia="Times New Roman" w:hAnsi="Times New Roman"/>
                  <w:sz w:val="14"/>
                  <w:szCs w:val="14"/>
                  <w:color w:val="0000FF"/>
                  <w:w w:val="92"/>
                </w:rPr>
                <w:t>Amendment</w:t>
              </w:r>
            </w:hyperlink>
          </w:p>
        </w:tc>
        <w:tc>
          <w:tcPr>
            <w:tcW w:w="20" w:type="dxa"/>
            <w:vAlign w:val="bottom"/>
            <w:tcBorders>
              <w:top w:val="single" w:sz="8" w:color="0000EE"/>
              <w:bottom w:val="single" w:sz="8" w:color="0000FF"/>
            </w:tcBorders>
          </w:tcPr>
          <w:p>
            <w:pPr>
              <w:spacing w:after="0"/>
              <w:rPr>
                <w:sz w:val="11"/>
                <w:szCs w:val="11"/>
                <w:color w:val="auto"/>
              </w:rPr>
            </w:pPr>
          </w:p>
        </w:tc>
        <w:tc>
          <w:tcPr>
            <w:tcW w:w="2760" w:type="dxa"/>
            <w:vAlign w:val="bottom"/>
            <w:tcBorders>
              <w:bottom w:val="single" w:sz="8" w:color="0000FF"/>
            </w:tcBorders>
            <w:gridSpan w:val="19"/>
          </w:tcPr>
          <w:p>
            <w:pPr>
              <w:ind w:left="60"/>
              <w:spacing w:after="0" w:line="129" w:lineRule="exact"/>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to Red Violet, Inc. 2018 Stock Incentive Plan.</w:t>
              </w:r>
            </w:hyperlink>
          </w:p>
        </w:tc>
        <w:tc>
          <w:tcPr>
            <w:tcW w:w="1400" w:type="dxa"/>
            <w:vAlign w:val="bottom"/>
            <w:gridSpan w:val="14"/>
          </w:tcPr>
          <w:p>
            <w:pPr>
              <w:spacing w:after="0"/>
              <w:rPr>
                <w:sz w:val="11"/>
                <w:szCs w:val="11"/>
                <w:color w:val="auto"/>
              </w:rPr>
            </w:pPr>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June 4, 2020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First Amendment to Employment Agreement dated November 9, 2020 by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10, 2021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4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between Red Violet, Inc. and Derek Dubner.</w:t>
              </w:r>
            </w:hyperlink>
          </w:p>
        </w:tc>
        <w:tc>
          <w:tcPr>
            <w:tcW w:w="80" w:type="dxa"/>
            <w:vAlign w:val="bottom"/>
            <w:gridSpan w:val="2"/>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11"/>
                <w:szCs w:val="11"/>
                <w:color w:val="auto"/>
              </w:rPr>
            </w:pPr>
          </w:p>
        </w:tc>
        <w:tc>
          <w:tcPr>
            <w:tcW w:w="25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w w:val="99"/>
              </w:rPr>
            </w:pPr>
            <w:hyperlink r:id="rId317">
              <w:r>
                <w:rPr>
                  <w:rFonts w:ascii="Times New Roman" w:cs="Times New Roman" w:eastAsia="Times New Roman" w:hAnsi="Times New Roman"/>
                  <w:sz w:val="14"/>
                  <w:szCs w:val="14"/>
                  <w:color w:val="0000FF"/>
                  <w:w w:val="99"/>
                </w:rPr>
                <w:t>First Amendment to Employment Agreement</w:t>
              </w:r>
            </w:hyperlink>
          </w:p>
        </w:tc>
        <w:tc>
          <w:tcPr>
            <w:tcW w:w="2260" w:type="dxa"/>
            <w:vAlign w:val="bottom"/>
            <w:gridSpan w:val="17"/>
          </w:tcPr>
          <w:p>
            <w:pPr>
              <w:jc w:val="right"/>
              <w:ind w:right="360"/>
              <w:spacing w:after="0" w:line="12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dated November 9, 2020 by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10, 2021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4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between Red Violet, Inc. and James Reilly.</w:t>
              </w:r>
            </w:hyperlink>
          </w:p>
        </w:tc>
        <w:tc>
          <w:tcPr>
            <w:tcW w:w="80" w:type="dxa"/>
            <w:vAlign w:val="bottom"/>
            <w:gridSpan w:val="2"/>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10.13+</w:t>
            </w:r>
          </w:p>
        </w:tc>
        <w:tc>
          <w:tcPr>
            <w:tcW w:w="120" w:type="dxa"/>
            <w:vAlign w:val="bottom"/>
          </w:tcPr>
          <w:p>
            <w:pPr>
              <w:spacing w:after="0"/>
              <w:rPr>
                <w:sz w:val="11"/>
                <w:szCs w:val="11"/>
                <w:color w:val="auto"/>
              </w:rPr>
            </w:pPr>
          </w:p>
        </w:tc>
        <w:tc>
          <w:tcPr>
            <w:tcW w:w="250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w w:val="96"/>
              </w:rPr>
            </w:pPr>
            <w:hyperlink r:id="rId318">
              <w:r>
                <w:rPr>
                  <w:rFonts w:ascii="Times New Roman" w:cs="Times New Roman" w:eastAsia="Times New Roman" w:hAnsi="Times New Roman"/>
                  <w:sz w:val="14"/>
                  <w:szCs w:val="14"/>
                  <w:color w:val="0000FF"/>
                  <w:w w:val="96"/>
                </w:rPr>
                <w:t>First Amendment to Employment Agreement</w:t>
              </w:r>
            </w:hyperlink>
          </w:p>
        </w:tc>
        <w:tc>
          <w:tcPr>
            <w:tcW w:w="2340" w:type="dxa"/>
            <w:vAlign w:val="bottom"/>
            <w:gridSpan w:val="19"/>
          </w:tcPr>
          <w:p>
            <w:pPr>
              <w:jc w:val="right"/>
              <w:ind w:right="360"/>
              <w:spacing w:after="0" w:line="129"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dated November 9, 2020 by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10, 2021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4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between Red Violet, Inc. and Daniel MacLachlan.</w:t>
              </w:r>
            </w:hyperlink>
          </w:p>
        </w:tc>
        <w:tc>
          <w:tcPr>
            <w:tcW w:w="80" w:type="dxa"/>
            <w:vAlign w:val="bottom"/>
            <w:gridSpan w:val="2"/>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1"/>
                <w:szCs w:val="11"/>
                <w:color w:val="auto"/>
              </w:rPr>
            </w:pPr>
          </w:p>
        </w:tc>
        <w:tc>
          <w:tcPr>
            <w:tcW w:w="29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w w:val="99"/>
              </w:rPr>
            </w:pPr>
            <w:hyperlink r:id="rId319">
              <w:r>
                <w:rPr>
                  <w:rFonts w:ascii="Times New Roman" w:cs="Times New Roman" w:eastAsia="Times New Roman" w:hAnsi="Times New Roman"/>
                  <w:sz w:val="14"/>
                  <w:szCs w:val="14"/>
                  <w:color w:val="0000FF"/>
                  <w:w w:val="99"/>
                </w:rPr>
                <w:t>First Amendment to Employment Agreement dated</w:t>
              </w:r>
            </w:hyperlink>
          </w:p>
        </w:tc>
        <w:tc>
          <w:tcPr>
            <w:tcW w:w="1940" w:type="dxa"/>
            <w:vAlign w:val="bottom"/>
            <w:gridSpan w:val="16"/>
          </w:tcPr>
          <w:p>
            <w:pPr>
              <w:jc w:val="right"/>
              <w:ind w:right="360"/>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November 9, 2020 by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March 10, 2021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4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between Red Violet, Inc. and Jeffrey Dell.</w:t>
              </w:r>
            </w:hyperlink>
          </w:p>
        </w:tc>
        <w:tc>
          <w:tcPr>
            <w:tcW w:w="80" w:type="dxa"/>
            <w:vAlign w:val="bottom"/>
            <w:gridSpan w:val="2"/>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11"/>
                <w:szCs w:val="11"/>
                <w:color w:val="auto"/>
              </w:rPr>
            </w:pPr>
          </w:p>
        </w:tc>
        <w:tc>
          <w:tcPr>
            <w:tcW w:w="24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Form of Securities Purchase Agreement,</w:t>
              </w:r>
            </w:hyperlink>
          </w:p>
        </w:tc>
        <w:tc>
          <w:tcPr>
            <w:tcW w:w="2400" w:type="dxa"/>
            <w:vAlign w:val="bottom"/>
            <w:gridSpan w:val="20"/>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dated as of November 19, 2021.</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November 19, 2021</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11"/>
                <w:szCs w:val="11"/>
                <w:color w:val="auto"/>
              </w:rPr>
            </w:pPr>
          </w:p>
        </w:tc>
        <w:tc>
          <w:tcPr>
            <w:tcW w:w="3440" w:type="dxa"/>
            <w:vAlign w:val="bottom"/>
            <w:tcBorders>
              <w:top w:val="single" w:sz="8" w:color="0000FF"/>
              <w:bottom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Amendment to Red Violet, Inc. 2018 Stock Incentive Plan.</w:t>
              </w:r>
            </w:hyperlink>
          </w:p>
        </w:tc>
        <w:tc>
          <w:tcPr>
            <w:tcW w:w="760" w:type="dxa"/>
            <w:vAlign w:val="bottom"/>
            <w:tcBorders>
              <w:top w:val="single" w:sz="8" w:color="0000FF"/>
            </w:tcBorders>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May 26, 2022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11"/>
                <w:szCs w:val="11"/>
                <w:color w:val="auto"/>
              </w:rPr>
            </w:pPr>
          </w:p>
        </w:tc>
        <w:tc>
          <w:tcPr>
            <w:tcW w:w="3440" w:type="dxa"/>
            <w:vAlign w:val="bottom"/>
            <w:gridSpan w:val="21"/>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Second Amendment to Employment Agreement dated May</w:t>
              </w:r>
            </w:hyperlink>
          </w:p>
        </w:tc>
        <w:tc>
          <w:tcPr>
            <w:tcW w:w="1400" w:type="dxa"/>
            <w:vAlign w:val="bottom"/>
            <w:gridSpan w:val="14"/>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8, 2023 by and</w:t>
              </w:r>
            </w:hyperlink>
          </w:p>
        </w:tc>
        <w:tc>
          <w:tcPr>
            <w:tcW w:w="1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tcPr>
          <w:p>
            <w:pPr>
              <w:jc w:val="right"/>
              <w:ind w:right="294"/>
              <w:spacing w:after="0" w:line="129" w:lineRule="exact"/>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August 7, 2023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1"/>
                <w:szCs w:val="11"/>
                <w:color w:val="auto"/>
              </w:rPr>
            </w:pPr>
          </w:p>
        </w:tc>
        <w:tc>
          <w:tcPr>
            <w:tcW w:w="43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between Red Violet, Inc. and Derek Dubner.</w:t>
              </w:r>
            </w:hyperlink>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9"/>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Second Amendment to Employment Agreement dated May 8, 2023 by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11"/>
                <w:szCs w:val="11"/>
                <w:color w:val="auto"/>
              </w:rPr>
            </w:pPr>
          </w:p>
        </w:tc>
        <w:tc>
          <w:tcPr>
            <w:tcW w:w="43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between Red Violet, Inc. and James Reilly.</w:t>
              </w:r>
            </w:hyperlink>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9"/>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4"/>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Second Amendment to Employment Agreement dated May 8, 2023 by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11"/>
                <w:szCs w:val="11"/>
                <w:color w:val="auto"/>
              </w:rPr>
            </w:pPr>
          </w:p>
        </w:tc>
        <w:tc>
          <w:tcPr>
            <w:tcW w:w="43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between Red Violet, Inc. and Daniel MacLachlan.</w:t>
              </w:r>
            </w:hyperlink>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9"/>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7"/>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Second Amendment to Employment Agreement dated May 8, 2023 by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11"/>
                <w:szCs w:val="11"/>
                <w:color w:val="auto"/>
              </w:rPr>
            </w:pPr>
          </w:p>
        </w:tc>
        <w:tc>
          <w:tcPr>
            <w:tcW w:w="43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between Red Violet, Inc. and Jeffrey Dell.</w:t>
              </w:r>
            </w:hyperlink>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10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001-38407</w:t>
            </w: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May 8, 2024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9"/>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Third Amendment to Employment Agreement dated March 5, 2024 by and</w:t>
              </w:r>
            </w:hyperlink>
          </w:p>
        </w:tc>
        <w:tc>
          <w:tcPr>
            <w:tcW w:w="102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1"/>
                <w:szCs w:val="11"/>
                <w:color w:val="auto"/>
              </w:rPr>
            </w:pPr>
          </w:p>
        </w:tc>
        <w:tc>
          <w:tcPr>
            <w:tcW w:w="436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between Red Violet, Inc. and Jeffrey Dell.</w:t>
              </w:r>
            </w:hyperlink>
          </w:p>
        </w:tc>
        <w:tc>
          <w:tcPr>
            <w:tcW w:w="16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Borders>
              <w:top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rPr>
              <w:t>Insider Trading Policy</w:t>
            </w:r>
            <w:r>
              <w:rPr>
                <w:rFonts w:ascii="Times New Roman" w:cs="Times New Roman" w:eastAsia="Times New Roman" w:hAnsi="Times New Roman"/>
                <w:sz w:val="14"/>
                <w:szCs w:val="14"/>
                <w:color w:val="000000"/>
              </w:rPr>
              <w:t>.</w:t>
            </w:r>
          </w:p>
        </w:tc>
        <w:tc>
          <w:tcPr>
            <w:tcW w:w="1000" w:type="dxa"/>
            <w:vAlign w:val="bottom"/>
            <w:gridSpan w:val="6"/>
          </w:tcPr>
          <w:p>
            <w:pPr>
              <w:spacing w:after="0"/>
              <w:rPr>
                <w:sz w:val="11"/>
                <w:szCs w:val="11"/>
                <w:color w:val="auto"/>
              </w:rPr>
            </w:pPr>
          </w:p>
        </w:tc>
        <w:tc>
          <w:tcPr>
            <w:tcW w:w="1080" w:type="dxa"/>
            <w:vAlign w:val="bottom"/>
            <w:gridSpan w:val="7"/>
          </w:tcPr>
          <w:p>
            <w:pPr>
              <w:spacing w:after="0"/>
              <w:rPr>
                <w:sz w:val="11"/>
                <w:szCs w:val="11"/>
                <w:color w:val="auto"/>
              </w:rPr>
            </w:pPr>
          </w:p>
        </w:tc>
        <w:tc>
          <w:tcPr>
            <w:tcW w:w="100" w:type="dxa"/>
            <w:vAlign w:val="bottom"/>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9"/>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Subsidiaries of Red Violet, Inc.</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10"/>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line="20" w:lineRule="exact"/>
              <w:rPr>
                <w:sz w:val="1"/>
                <w:szCs w:val="1"/>
                <w:color w:val="auto"/>
              </w:rPr>
            </w:pPr>
          </w:p>
        </w:tc>
      </w:tr>
      <w:tr>
        <w:trPr>
          <w:trHeight w:val="128"/>
        </w:trPr>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40" w:type="dxa"/>
            <w:vAlign w:val="bottom"/>
            <w:gridSpan w:val="35"/>
          </w:tcPr>
          <w:p>
            <w:pPr>
              <w:spacing w:after="0" w:line="129" w:lineRule="exact"/>
              <w:rPr>
                <w:sz w:val="20"/>
                <w:szCs w:val="20"/>
                <w:color w:val="auto"/>
              </w:rPr>
            </w:pPr>
            <w:r>
              <w:rPr>
                <w:rFonts w:ascii="Times New Roman" w:cs="Times New Roman" w:eastAsia="Times New Roman" w:hAnsi="Times New Roman"/>
                <w:sz w:val="14"/>
                <w:szCs w:val="14"/>
                <w:color w:val="0000FF"/>
              </w:rPr>
              <w:t>Consent of Grant Thornton LLP.</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1"/>
                <w:szCs w:val="11"/>
                <w:color w:val="auto"/>
              </w:rPr>
            </w:pPr>
          </w:p>
        </w:tc>
        <w:tc>
          <w:tcPr>
            <w:tcW w:w="188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Certification of Chief Executive</w:t>
            </w:r>
          </w:p>
        </w:tc>
        <w:tc>
          <w:tcPr>
            <w:tcW w:w="20" w:type="dxa"/>
            <w:vAlign w:val="bottom"/>
            <w:tcBorders>
              <w:top w:val="single" w:sz="8" w:color="0000EE"/>
            </w:tcBorders>
          </w:tcPr>
          <w:p>
            <w:pPr>
              <w:spacing w:after="0"/>
              <w:rPr>
                <w:sz w:val="11"/>
                <w:szCs w:val="11"/>
                <w:color w:val="auto"/>
              </w:rPr>
            </w:pPr>
          </w:p>
        </w:tc>
        <w:tc>
          <w:tcPr>
            <w:tcW w:w="2940" w:type="dxa"/>
            <w:vAlign w:val="bottom"/>
            <w:gridSpan w:val="23"/>
          </w:tcPr>
          <w:p>
            <w:pPr>
              <w:jc w:val="right"/>
              <w:ind w:right="360"/>
              <w:spacing w:after="0" w:line="129" w:lineRule="exact"/>
              <w:rPr>
                <w:sz w:val="20"/>
                <w:szCs w:val="20"/>
                <w:color w:val="auto"/>
              </w:rPr>
            </w:pPr>
            <w:r>
              <w:rPr>
                <w:rFonts w:ascii="Times New Roman" w:cs="Times New Roman" w:eastAsia="Times New Roman" w:hAnsi="Times New Roman"/>
                <w:sz w:val="14"/>
                <w:szCs w:val="14"/>
                <w:color w:val="0000FF"/>
              </w:rPr>
              <w:t>Officer filed pursuant to Exchange Act Rules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20" w:type="dxa"/>
            <w:vAlign w:val="bottom"/>
            <w:tcBorders>
              <w:top w:val="single" w:sz="8" w:color="0000FF"/>
              <w:bottom w:val="single" w:sz="8" w:color="0000FF"/>
            </w:tcBorders>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100" w:type="dxa"/>
            <w:vAlign w:val="bottom"/>
            <w:tcBorders>
              <w:bottom w:val="single" w:sz="8" w:color="0000FF"/>
            </w:tcBorders>
            <w:gridSpan w:val="3"/>
          </w:tcPr>
          <w:p>
            <w:pPr>
              <w:spacing w:after="0"/>
              <w:rPr>
                <w:sz w:val="11"/>
                <w:szCs w:val="11"/>
                <w:color w:val="auto"/>
              </w:rPr>
            </w:pP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20" w:type="dxa"/>
            <w:vAlign w:val="bottom"/>
            <w:gridSpan w:val="31"/>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2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7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80" w:type="dxa"/>
            <w:vAlign w:val="bottom"/>
          </w:tcPr>
          <w:p>
            <w:pPr>
              <w:ind w:left="20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448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w w:val="99"/>
              </w:rPr>
              <w:t>13a-14(a) and 15d-14(a) of the Securities and Exchange Act of 1934 as adopted</w:t>
            </w:r>
          </w:p>
        </w:tc>
        <w:tc>
          <w:tcPr>
            <w:tcW w:w="10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3440" w:type="dxa"/>
            <w:vAlign w:val="bottom"/>
            <w:tcBorders>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bottom w:val="single" w:sz="8" w:color="0000EE"/>
            </w:tcBorders>
          </w:tcPr>
          <w:p>
            <w:pPr>
              <w:spacing w:after="0"/>
              <w:rPr>
                <w:sz w:val="11"/>
                <w:szCs w:val="11"/>
                <w:color w:val="auto"/>
              </w:rPr>
            </w:pPr>
          </w:p>
        </w:tc>
        <w:tc>
          <w:tcPr>
            <w:tcW w:w="1180" w:type="dxa"/>
            <w:vAlign w:val="bottom"/>
            <w:gridSpan w:val="6"/>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76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462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4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5"/>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1350, as</w:t>
            </w: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vMerge w:val="restart"/>
          </w:tcPr>
          <w:p>
            <w:pPr>
              <w:ind w:left="2080"/>
              <w:spacing w:after="0" w:line="14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28"/>
        </w:trPr>
        <w:tc>
          <w:tcPr>
            <w:tcW w:w="980" w:type="dxa"/>
            <w:vAlign w:val="bottom"/>
            <w:vMerge w:val="continue"/>
          </w:tcPr>
          <w:p>
            <w:pPr>
              <w:spacing w:after="0"/>
              <w:rPr>
                <w:sz w:val="11"/>
                <w:szCs w:val="11"/>
                <w:color w:val="auto"/>
              </w:rPr>
            </w:pPr>
          </w:p>
        </w:tc>
        <w:tc>
          <w:tcPr>
            <w:tcW w:w="394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0000FF"/>
                <w:w w:val="99"/>
              </w:rPr>
              <w:t>Certification by Chief Financial Officer pursuant to 18 U.S.C. Section</w:t>
            </w:r>
          </w:p>
        </w:tc>
        <w:tc>
          <w:tcPr>
            <w:tcW w:w="82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97.1</w:t>
            </w:r>
          </w:p>
        </w:tc>
        <w:tc>
          <w:tcPr>
            <w:tcW w:w="458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80" w:type="dxa"/>
            <w:vAlign w:val="bottom"/>
            <w:gridSpan w:val="3"/>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001-38407</w:t>
            </w:r>
          </w:p>
        </w:tc>
        <w:tc>
          <w:tcPr>
            <w:tcW w:w="9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97.1</w:t>
            </w:r>
          </w:p>
        </w:tc>
        <w:tc>
          <w:tcPr>
            <w:tcW w:w="21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March 7, 2024</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40" w:type="dxa"/>
            <w:vAlign w:val="bottom"/>
            <w:gridSpan w:val="6"/>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vMerge w:val="continue"/>
          </w:tcPr>
          <w:p>
            <w:pPr>
              <w:spacing w:after="0"/>
              <w:rPr>
                <w:sz w:val="11"/>
                <w:szCs w:val="11"/>
                <w:color w:val="auto"/>
              </w:rPr>
            </w:pPr>
          </w:p>
        </w:tc>
        <w:tc>
          <w:tcPr>
            <w:tcW w:w="3920" w:type="dxa"/>
            <w:vAlign w:val="bottom"/>
            <w:gridSpan w:val="4"/>
          </w:tcPr>
          <w:p>
            <w:pPr>
              <w:spacing w:after="0" w:line="129" w:lineRule="exact"/>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RedViolet, Inc. Clawback Policy</w:t>
              </w:r>
            </w:hyperlink>
            <w:r>
              <w:rPr>
                <w:rFonts w:ascii="Times New Roman" w:cs="Times New Roman" w:eastAsia="Times New Roman" w:hAnsi="Times New Roman"/>
                <w:sz w:val="14"/>
                <w:szCs w:val="14"/>
                <w:color w:val="000000"/>
              </w:rPr>
              <w:t>.</w:t>
            </w:r>
          </w:p>
        </w:tc>
        <w:tc>
          <w:tcPr>
            <w:tcW w:w="840" w:type="dxa"/>
            <w:vAlign w:val="bottom"/>
            <w:gridSpan w:val="6"/>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39" w:lineRule="exact"/>
              <w:rPr>
                <w:sz w:val="20"/>
                <w:szCs w:val="20"/>
                <w:color w:val="auto"/>
              </w:rPr>
            </w:pPr>
            <w:r>
              <w:rPr>
                <w:rFonts w:ascii="Times New Roman" w:cs="Times New Roman" w:eastAsia="Times New Roman" w:hAnsi="Times New Roman"/>
                <w:sz w:val="14"/>
                <w:szCs w:val="14"/>
                <w:color w:val="auto"/>
              </w:rPr>
              <w:t>101.INS</w:t>
            </w:r>
          </w:p>
        </w:tc>
        <w:tc>
          <w:tcPr>
            <w:tcW w:w="19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840" w:type="dxa"/>
            <w:vAlign w:val="bottom"/>
            <w:gridSpan w:val="9"/>
            <w:vMerge w:val="restart"/>
          </w:tcPr>
          <w:p>
            <w:pPr>
              <w:ind w:left="20"/>
              <w:spacing w:after="0" w:line="139" w:lineRule="exact"/>
              <w:rPr>
                <w:sz w:val="20"/>
                <w:szCs w:val="20"/>
                <w:color w:val="auto"/>
              </w:rPr>
            </w:pPr>
            <w:r>
              <w:rPr>
                <w:rFonts w:ascii="Times New Roman" w:cs="Times New Roman" w:eastAsia="Times New Roman" w:hAnsi="Times New Roman"/>
                <w:sz w:val="14"/>
                <w:szCs w:val="14"/>
                <w:color w:val="auto"/>
              </w:rPr>
              <w:t>– the instance document does not appear in the</w:t>
            </w: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vMerge w:val="restart"/>
          </w:tcPr>
          <w:p>
            <w:pPr>
              <w:ind w:left="2080"/>
              <w:spacing w:after="0" w:line="139" w:lineRule="exact"/>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line="20" w:lineRule="exact"/>
              <w:rPr>
                <w:sz w:val="1"/>
                <w:szCs w:val="1"/>
                <w:color w:val="auto"/>
              </w:rPr>
            </w:pPr>
          </w:p>
        </w:tc>
      </w:tr>
      <w:tr>
        <w:trPr>
          <w:trHeight w:val="119"/>
        </w:trPr>
        <w:tc>
          <w:tcPr>
            <w:tcW w:w="980" w:type="dxa"/>
            <w:vAlign w:val="bottom"/>
            <w:vMerge w:val="continue"/>
          </w:tcPr>
          <w:p>
            <w:pPr>
              <w:spacing w:after="0"/>
              <w:rPr>
                <w:sz w:val="10"/>
                <w:szCs w:val="10"/>
                <w:color w:val="auto"/>
              </w:rPr>
            </w:pPr>
          </w:p>
        </w:tc>
        <w:tc>
          <w:tcPr>
            <w:tcW w:w="19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w:t>
            </w:r>
          </w:p>
        </w:tc>
        <w:tc>
          <w:tcPr>
            <w:tcW w:w="2840" w:type="dxa"/>
            <w:vAlign w:val="bottom"/>
            <w:gridSpan w:val="9"/>
            <w:vMerge w:val="continue"/>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47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101.SCH</w:t>
            </w:r>
          </w:p>
        </w:tc>
        <w:tc>
          <w:tcPr>
            <w:tcW w:w="47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48"/>
        </w:trPr>
        <w:tc>
          <w:tcPr>
            <w:tcW w:w="980" w:type="dxa"/>
            <w:vAlign w:val="bottom"/>
            <w:vMerge w:val="continue"/>
          </w:tcPr>
          <w:p>
            <w:pPr>
              <w:spacing w:after="0"/>
              <w:rPr>
                <w:sz w:val="12"/>
                <w:szCs w:val="12"/>
                <w:color w:val="auto"/>
              </w:rPr>
            </w:pPr>
          </w:p>
        </w:tc>
        <w:tc>
          <w:tcPr>
            <w:tcW w:w="47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47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Documents.</w:t>
            </w:r>
          </w:p>
        </w:tc>
        <w:tc>
          <w:tcPr>
            <w:tcW w:w="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4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96" w:lineRule="exact"/>
        <w:rPr>
          <w:sz w:val="20"/>
          <w:szCs w:val="20"/>
          <w:color w:val="auto"/>
        </w:rPr>
      </w:pPr>
    </w:p>
    <w:p>
      <w:pPr>
        <w:ind w:firstLine="8"/>
        <w:spacing w:after="0" w:line="261" w:lineRule="auto"/>
        <w:tabs>
          <w:tab w:leader="none" w:pos="10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Certain portions of this exhibit (indicated by “####”) have been redacted pursuant to Regulation S-K, Item 601(a)(6).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this Item 16. The Company has elected not to include such summary information.</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94" w:right="5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February 27, 2025</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56"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Derek Dubner</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0" w:type="dxa"/>
            <w:vAlign w:val="bottom"/>
          </w:tcPr>
          <w:p>
            <w:pPr>
              <w:spacing w:after="0"/>
              <w:rPr>
                <w:sz w:val="15"/>
                <w:szCs w:val="15"/>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Derek Dubner</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Derek Dubner</w:t>
            </w:r>
          </w:p>
        </w:tc>
        <w:tc>
          <w:tcPr>
            <w:tcW w:w="6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MacLachlan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MacLachlan</w:t>
            </w:r>
          </w:p>
        </w:tc>
        <w:tc>
          <w:tcPr>
            <w:tcW w:w="6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Benz</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Benz</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D. Rubin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D. Rubin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Lisa Stanton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Stanton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9"/>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Livek</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Livek</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751"/>
        </w:trPr>
        <w:tc>
          <w:tcPr>
            <w:tcW w:w="3760" w:type="dxa"/>
            <w:vAlign w:val="bottom"/>
          </w:tcPr>
          <w:p>
            <w:pPr>
              <w:spacing w:after="0"/>
              <w:rPr>
                <w:sz w:val="24"/>
                <w:szCs w:val="24"/>
                <w:color w:val="auto"/>
              </w:rPr>
            </w:pPr>
          </w:p>
        </w:tc>
        <w:tc>
          <w:tcPr>
            <w:tcW w:w="530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979"/>
        </w:trPr>
        <w:tc>
          <w:tcPr>
            <w:tcW w:w="3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2"/>
        </w:trPr>
        <w:tc>
          <w:tcPr>
            <w:tcW w:w="40" w:type="dxa"/>
            <w:vAlign w:val="bottom"/>
          </w:tcPr>
          <w:p>
            <w:pPr>
              <w:spacing w:after="0"/>
              <w:rPr>
                <w:sz w:val="22"/>
                <w:szCs w:val="22"/>
                <w:color w:val="auto"/>
              </w:rPr>
            </w:pPr>
          </w:p>
        </w:tc>
        <w:tc>
          <w:tcPr>
            <w:tcW w:w="9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number: 248)</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40" w:type="dxa"/>
            <w:vAlign w:val="bottom"/>
          </w:tcPr>
          <w:p>
            <w:pPr>
              <w:spacing w:after="0"/>
              <w:rPr>
                <w:sz w:val="17"/>
                <w:szCs w:val="17"/>
                <w:color w:val="auto"/>
              </w:rPr>
            </w:pPr>
          </w:p>
        </w:tc>
        <w:tc>
          <w:tcPr>
            <w:tcW w:w="6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338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2024 and 2023</w:t>
            </w: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40" w:type="dxa"/>
            <w:vAlign w:val="bottom"/>
          </w:tcPr>
          <w:p>
            <w:pPr>
              <w:spacing w:after="0"/>
              <w:rPr>
                <w:sz w:val="17"/>
                <w:szCs w:val="17"/>
                <w:color w:val="auto"/>
              </w:rPr>
            </w:pPr>
          </w:p>
        </w:tc>
        <w:tc>
          <w:tcPr>
            <w:tcW w:w="78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154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40" w:type="dxa"/>
            <w:vAlign w:val="bottom"/>
          </w:tcPr>
          <w:p>
            <w:pPr>
              <w:spacing w:after="0"/>
              <w:rPr>
                <w:sz w:val="17"/>
                <w:szCs w:val="17"/>
                <w:color w:val="auto"/>
              </w:rPr>
            </w:pPr>
          </w:p>
        </w:tc>
        <w:tc>
          <w:tcPr>
            <w:tcW w:w="634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871"/>
        </w:trPr>
        <w:tc>
          <w:tcPr>
            <w:tcW w:w="40" w:type="dxa"/>
            <w:vAlign w:val="bottom"/>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78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F-1</w:t>
            </w:r>
          </w:p>
        </w:tc>
        <w:tc>
          <w:tcPr>
            <w:tcW w:w="1820" w:type="dxa"/>
            <w:vAlign w:val="bottom"/>
          </w:tcPr>
          <w:p>
            <w:pPr>
              <w:spacing w:after="0"/>
              <w:rPr>
                <w:sz w:val="24"/>
                <w:szCs w:val="24"/>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Red Violet, Inc. (a Delaware corporation) and subsidiaries (the “Company”) as of December 31, 2024 and 2023, the related consolidated statements of operations, changes in shareholders’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20" w:type="dxa"/>
            <w:vAlign w:val="bottom"/>
            <w:shd w:val="clear" w:color="auto" w:fill="CFF0FC"/>
          </w:tcPr>
          <w:p>
            <w:pPr>
              <w:spacing w:after="0"/>
              <w:rPr>
                <w:sz w:val="18"/>
                <w:szCs w:val="18"/>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$188 and $159 as of</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20" w:type="dxa"/>
            <w:vAlign w:val="bottom"/>
          </w:tcPr>
          <w:p>
            <w:pPr>
              <w:spacing w:after="0"/>
              <w:rPr>
                <w:sz w:val="20"/>
                <w:szCs w:val="20"/>
                <w:color w:val="auto"/>
              </w:rPr>
            </w:pPr>
          </w:p>
        </w:tc>
      </w:tr>
      <w:tr>
        <w:trPr>
          <w:trHeight w:val="21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r>
      <w:tr>
        <w:trPr>
          <w:trHeight w:val="25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56"/>
        </w:trPr>
        <w:tc>
          <w:tcPr>
            <w:tcW w:w="77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2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18"/>
                <w:szCs w:val="18"/>
                <w:color w:val="auto"/>
              </w:rPr>
            </w:pPr>
          </w:p>
        </w:tc>
      </w:tr>
      <w:tr>
        <w:trPr>
          <w:trHeight w:val="21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40" w:type="dxa"/>
            <w:vAlign w:val="bottom"/>
            <w:gridSpan w:val="4"/>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20" w:type="dxa"/>
            <w:vAlign w:val="bottom"/>
            <w:shd w:val="clear" w:color="auto" w:fill="CFF0FC"/>
          </w:tcPr>
          <w:p>
            <w:pPr>
              <w:spacing w:after="0"/>
              <w:rPr>
                <w:sz w:val="20"/>
                <w:szCs w:val="20"/>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stock—$0.001 par value, 200,000,000 shares authorized, 13,936,329 and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13,980,274 shares issued, and 13,936,329 and 13,970,846 shares outstanding, as of</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0 and 9,428 shares as of December 31, 2024 and 2023</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16"/>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2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(870 )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(7,873 )</w:t>
            </w:r>
          </w:p>
        </w:tc>
      </w:tr>
      <w:tr>
        <w:trPr>
          <w:trHeight w:val="210"/>
        </w:trPr>
        <w:tc>
          <w:tcPr>
            <w:tcW w:w="774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20" w:type="dxa"/>
            <w:vAlign w:val="bottom"/>
            <w:tcBorders>
              <w:top w:val="single" w:sz="8" w:color="CFF0FC"/>
            </w:tcBorders>
          </w:tcPr>
          <w:p>
            <w:pPr>
              <w:spacing w:after="0"/>
              <w:rPr>
                <w:sz w:val="18"/>
                <w:szCs w:val="18"/>
                <w:color w:val="auto"/>
              </w:rPr>
            </w:pPr>
          </w:p>
        </w:tc>
      </w:tr>
      <w:tr>
        <w:trPr>
          <w:trHeight w:val="25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-4079875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-4079875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-2948305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-2965450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-2948305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96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18"/>
                <w:szCs w:val="18"/>
                <w:color w:val="auto"/>
              </w:rPr>
            </w:pPr>
          </w:p>
        </w:tc>
      </w:tr>
      <w:tr>
        <w:trPr>
          <w:trHeight w:val="210"/>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67,269</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(9,691 )</w:t>
            </w:r>
          </w:p>
        </w:tc>
      </w:tr>
      <w:tr>
        <w:trPr>
          <w:trHeight w:val="209"/>
        </w:trPr>
        <w:tc>
          <w:tcPr>
            <w:tcW w:w="7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30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Borders>
              <w:top w:val="single" w:sz="8" w:color="CFF0FC"/>
            </w:tcBorders>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9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960" w:type="dxa"/>
            <w:vAlign w:val="bottom"/>
            <w:gridSpan w:val="2"/>
            <w:shd w:val="clear" w:color="auto" w:fill="CFF0FC"/>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FF0FC"/>
          </w:tcPr>
          <w:p>
            <w:pPr>
              <w:spacing w:after="0"/>
              <w:rPr>
                <w:sz w:val="20"/>
                <w:szCs w:val="20"/>
                <w:color w:val="auto"/>
              </w:rPr>
            </w:pPr>
          </w:p>
        </w:tc>
      </w:tr>
      <w:tr>
        <w:trPr>
          <w:trHeight w:val="197"/>
        </w:trPr>
        <w:tc>
          <w:tcPr>
            <w:tcW w:w="75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13,864,797</w:t>
            </w:r>
          </w:p>
        </w:tc>
        <w:tc>
          <w:tcPr>
            <w:tcW w:w="3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7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14,125,825</w:t>
            </w:r>
          </w:p>
        </w:tc>
        <w:tc>
          <w:tcPr>
            <w:tcW w:w="3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14,134,021</w:t>
            </w:r>
          </w:p>
        </w:tc>
        <w:tc>
          <w:tcPr>
            <w:tcW w:w="12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-1662430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-1379220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-1096645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-487680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-471170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-487680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20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24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2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13,956,404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(21,402 )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(99,234 )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(1,992 )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(1,992 )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(195,740 )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(3,755 )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(3,755 )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(285,546 )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(5,559 )</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13,980,274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(9,428 )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2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395,690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shares withheld to cover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(137,463 )</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(4,068 )</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(4,068 )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(292,744 )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(5,809 )</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(5,809 )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(439,635 )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439,635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(10,065 )</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 declared on common</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(4,181 )</w:t>
            </w:r>
          </w:p>
        </w:tc>
        <w:tc>
          <w:tcPr>
            <w:tcW w:w="20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(4,181 )</w:t>
            </w:r>
          </w:p>
        </w:tc>
        <w:tc>
          <w:tcPr>
            <w:tcW w:w="0" w:type="dxa"/>
            <w:vAlign w:val="bottom"/>
          </w:tcPr>
          <w:p>
            <w:pPr>
              <w:spacing w:after="0"/>
              <w:rPr>
                <w:sz w:val="1"/>
                <w:szCs w:val="1"/>
                <w:color w:val="auto"/>
              </w:rPr>
            </w:pPr>
          </w:p>
        </w:tc>
      </w:tr>
      <w:tr>
        <w:trPr>
          <w:trHeight w:val="221"/>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$0.30 per share</w:t>
            </w:r>
          </w:p>
        </w:tc>
        <w:tc>
          <w:tcPr>
            <w:tcW w:w="11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13,936,329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2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-1705610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-1705610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-1705610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-1705610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-1705610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-1705610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-1705610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-170815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8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(9,801 )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(1,268 )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(514 )</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(656 )</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(570 )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2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(169 )</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(9,398 )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(9,024 )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(9,567 )</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(9,146 )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(4,068 )</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(5,853 )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(3,711 )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(9,921 )</w:t>
            </w: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(5,703 )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80" w:type="dxa"/>
            <w:vAlign w:val="bottom"/>
            <w:tcBorders>
              <w:top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2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INFORMATION:</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28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 -use assets obtained in exchange of operating lease liabilities</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declared not yet paid</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-2828290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-2828290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-2262505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-1122045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-1105535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-1105535</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Principal activities</w:t>
      </w:r>
    </w:p>
    <w:p>
      <w:pPr>
        <w:spacing w:after="0" w:line="18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Red Violet, Inc. (“red violet,” or the “Company”), a Delaware corporation, is an analytics and information solutions company building proprietary technologies and applying analytical capabilities to deliver identity intelligence. The Company’s technology powers critical solutions, which empower organizations to operate with confidence. The Company’s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The Company’s AI/ML-driven identity intelligence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The Company drives workflow efficiency and enables organizations to make better data-driven decisions.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the Company’s differentiated information and innovative platform and solutions deliver identity intelligence – entities, relationships, affiliations, interactions, and events. The Company’s solutions are used today to enable frictionless commerce, to ensure safety, and to reduce fraud and the concomitant expense borne by society.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liquidity</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red violet in accordance with accounting principles generally accepted in the United States (“US GAAP”).</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reported net income of $7,003 and $13,529 (inclusive of a one-time deferred income tax benefit of $10,272 in 2023 as a result of the release of valuation allowance previously recorded against our deferred tax assets and the cumulative research and development tax credit) for the years ended December 31, 2024 and 2023, respectively. Net cash provided by operating activities was $23,960 and $15,071 for the years ended December 31, 2024 and 2023, respectively. As of December 31, 2024, the Company had an accumulated deficit of $870.</w:t>
      </w:r>
    </w:p>
    <w:p>
      <w:pPr>
        <w:spacing w:after="0" w:line="13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available cash and cash equivalents of $36,504, an increase of $4,472 from $32,032 as of December 31, 2023.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 from the date the financials are issued.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0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revenue recognition, allowance for doubtful accounts, useful lives of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bank deposits with original maturities of three months or less, which are unrestricted as to withdrawal and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$36,504 and $32,032 as of December 31, 2024 and 2023, respectively.</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Accounts receivable are due from customers and are generally unsecured, which consist of amounts earned but not yet collected. None of the Company’s accounts receivable bear interest. In some arrangements, a right to consideration for the Company's performance under the customer contract may occur before invoicing to the customer, resulting in an unbilled accounts receivable. As of December 31, 2024, the current and noncurrent portion unbilled accounts receivable of $937 and $1,080, respectively, were included within accounts receivable and other noncurrent assets, respectively, on the consolidated balance sheets. As of December 31, 2023, the current and noncurrent portion unbilled accounts receivable of $829 and $371, respectively, were included within accounts receivable and other noncurrent assets, respectively, on the consolidated balance sheets.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management’s best estimate of the amount of probable credit losses in the Company’s existing accounts receivable. Management determines the allowance based on reviews of various factors, including historical experience, the age of the accounts receivable balance, customer-specific facts, economic conditions, and other factors that may affect the Company's ability to collect from customers.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$188 and $159 as of December 31, 2024 and 2023, respectively, which was included within accounts receivable, net,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items of property and equipment are retired or otherwise disposed of, loss/income is charged or credited for the difference between the net book value and proceeds received thereon.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Intangible assets other than goodwill</w:t>
      </w:r>
    </w:p>
    <w:p>
      <w:pPr>
        <w:spacing w:after="0" w:line="18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3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350-40, </w:t>
      </w:r>
      <w:r>
        <w:rPr>
          <w:rFonts w:ascii="Times New Roman" w:cs="Times New Roman" w:eastAsia="Times New Roman" w:hAnsi="Times New Roman"/>
          <w:sz w:val="18"/>
          <w:szCs w:val="18"/>
          <w:i w:val="1"/>
          <w:iCs w:val="1"/>
          <w:color w:val="auto"/>
        </w:rPr>
        <w:t>“Software — Internal use software,”</w:t>
      </w:r>
      <w:r>
        <w:rPr>
          <w:rFonts w:ascii="Times New Roman" w:cs="Times New Roman" w:eastAsia="Times New Roman" w:hAnsi="Times New Roman"/>
          <w:sz w:val="18"/>
          <w:szCs w:val="18"/>
          <w:color w:val="auto"/>
        </w:rPr>
        <w:t xml:space="preserve"> the Company capitalizes eligible costs, including personnel-related expenses, share-based compensation, and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Goodwill</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December 31, 2024 and 2023, the balance of goodwill of $5,227 was as a result of the acquisition of Interactive Data, LLC (“Interactive Data”), a wholly-owned subsidiary of red violet, effective on October 2, 2014.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3" w:name="page54"/>
    <w:bookmarkEnd w:id="53"/>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 The Company has assessed that it has one operating segment and one reporting unit, and the consolidated net assets, including existing goodwill and other intangible assets, are considered to be the carrying value of the reporting unit.</w:t>
      </w:r>
    </w:p>
    <w:p>
      <w:pPr>
        <w:spacing w:after="0" w:line="15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measurement date of the Company’s annual goodwill impairment test is October 1. On October 1, 2024 and 2023, the Company performed qualitative assessments on the reporting unit and, based on this assessment, no events have occurred to indicate that it is more likely than not that the fair value of the reporting unit is less than its carry amount. The Company did not record a goodwill impairment loss during the years ended December 31, 2024 and 2023, and as of December 31, 2024, there was no accumulated goodwill impairment loss.</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Impairment of long-lived assets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 impairment loss of long-lived assets during the years ended December 31, 2024 and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Fair value of financial instruments</w:t>
      </w:r>
    </w:p>
    <w:p>
      <w:pPr>
        <w:spacing w:after="0" w:line="187"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tiers include:</w:t>
      </w:r>
    </w:p>
    <w:p>
      <w:pPr>
        <w:spacing w:after="0" w:line="11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and cash equivalents, receivables, and payables approximate their carrying amount because of the short-term nature of these instruments. The fair value of the noncurrent portion of unbilled accounts receivable included in other noncurrent assets approximates its carrying amount.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The Company’s revenue is recorded net of applicable sales taxes billed to customers.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The Company's revenue arrangements do not contain significant financing components.</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77% and 79% of total revenue was attributable to customers with pricing contracts, respectively, versus 23% and 21% attributable to transactional customers, respectively. Pricing contracts are generally annual contracts or longer, with auto renewal.</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If a customer pays consideration before the Company transfers services to the customer, those amounts are classified as deferred revenue. As of December 31, 2024 and 2023, the balance of deferred revenue was $712 and $690, respectively, all of which is expected to be realized in the next 12 months. In relation to the deferred revenue balance as of December 31, 2023, $690 was recognized into revenue during the year ended December 31, 2024.</w:t>
      </w:r>
    </w:p>
    <w:p>
      <w:pPr>
        <w:spacing w:after="0" w:line="13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2024, $22,250 of revenue is expected to be recognized in the future for performance obligations that are unsatisfied or partially unsatisfied, related to pricing contracts that have a term of more than 12 months, of which $11,260 of revenue will be recognized in 2025, $6,494 in 2026, $3,832 in 2027, $604 in 2028, and $60 in 2029.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Cost of revenue (exclusive of depreciation and amortization)</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(l) Advertising and promotion costs</w:t>
      </w:r>
    </w:p>
    <w:p>
      <w:pPr>
        <w:spacing w:after="0" w:line="20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charged to operations as incurred. Advertising and promotion costs, included in sales and marketing expenses amounted to $761 and $541 for the years ended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Share-based compensation</w:t>
      </w:r>
    </w:p>
    <w:p>
      <w:pPr>
        <w:spacing w:after="0" w:line="18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to employees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 The Company accounts for forfeitures as they occur.</w:t>
      </w:r>
    </w:p>
    <w:p>
      <w:pPr>
        <w:spacing w:after="0" w:line="15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2024, no amortization of share-based compensation expense has been recognized for 95,000 RSUs subject to Criteria Four, as defined in Note 10.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18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 Prior to the third quarter of 2023, primarily due to cumulative pre-tax losses, management determined a full valuation allowance was necessary to reduce the deferred tax assets to the amount that is more likely than not to be realized. Since the third quarter of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December 31, 2024 was more likely than not.</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Earnings per share</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periods. Diluted earnings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(p) Contingencies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35" w:lineRule="exact"/>
        <w:rPr>
          <w:sz w:val="20"/>
          <w:szCs w:val="20"/>
          <w:color w:val="auto"/>
        </w:rPr>
      </w:pPr>
    </w:p>
    <w:p>
      <w:pPr>
        <w:ind w:right="8300" w:firstLine="8"/>
        <w:spacing w:after="0" w:line="464" w:lineRule="auto"/>
        <w:tabs>
          <w:tab w:leader="none" w:pos="2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concentrations and risks Concentration of credit risk</w:t>
      </w:r>
    </w:p>
    <w:p>
      <w:pPr>
        <w:ind w:right="360"/>
        <w:spacing w:after="0" w:line="258"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concentration of credit risk primarily consist of cash and cash equivalents, and accounts receivable. As of December 31, 2024 and 2023,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no individual customer accounted for more than 10% of the total revenue.</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 individual customer accounted for more than 10% of the Company’s accounts receivable, net, as of December 31, 2024, and one individual customer accounted for 11% of the Company’s accounts receivable, net,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products and services depend extensively upon continued access to and receipt of data from external sources, including data received from the major credit bureaus, including the Company’s largest data supplier. The Company’s other data suppliers include strategic partners, as well as various government and public records databases. The Company’s largest data supplier, with whom the Company has expanded its relationship while securing what it believes to be favorable business terms over the years, accounted for 45% and 48% of the Company’s total data acquisition costs for the years ended December 31, 2024 and 2023, respectively. The amended and renewed term of the agreement with this supplier ends June 30, 2026. The Company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the Company and the Company may terminate this agreement by providing not less than 24 months’ advance written notice to this supplier. As of December 31, 2024, the remaining minimum purchase commitments through the end of the amended and renewed term is $8.1 million. If the Company is unable to maintain its relationship with its largest data supplier, its ability to provide products and services could be negatively impacted, as it would need to secure comparable data on similar terms, which would require significant time, expense, and resources, and may in the short-term adversely affect its reputation, business, financial condition and results of operations and, if it is unable to establish a similar relationship with other data suppliers over time, could have a long-term material impact on its business and financial condition.</w:t>
      </w:r>
    </w:p>
    <w:p>
      <w:pPr>
        <w:spacing w:after="0" w:line="17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among data suppliers, one data supplier accounted for 37% and 27% of the Company’s total accounts payable,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In November 2023, the Financial Accounting Standard Board (the “FASB”) issued Accounting Standard Updates (“ASU”) No. 2023-07, "</w:t>
      </w:r>
      <w:r>
        <w:rPr>
          <w:rFonts w:ascii="Times New Roman" w:cs="Times New Roman" w:eastAsia="Times New Roman" w:hAnsi="Times New Roman"/>
          <w:sz w:val="18"/>
          <w:szCs w:val="18"/>
          <w:i w:val="1"/>
          <w:iCs w:val="1"/>
          <w:color w:val="231F20"/>
        </w:rPr>
        <w:t>Segment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Reporting (Topic 280): Improvements to Reportable Segment Disclosures ("ASU 2023-07")</w:t>
      </w:r>
      <w:r>
        <w:rPr>
          <w:rFonts w:ascii="Times New Roman" w:cs="Times New Roman" w:eastAsia="Times New Roman" w:hAnsi="Times New Roman"/>
          <w:sz w:val="18"/>
          <w:szCs w:val="18"/>
          <w:color w:val="231F20"/>
        </w:rPr>
        <w:t>," which requires a public entity to disclose significant segment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expenses that are regularly provided to the chief operating decision maker ("CODM"), a description of other segment items by reportable segment, and an explanation of any additional measures the CODM uses in deciding how to allocate resources, and extend nearly all annual segment reporting requirements to quarterly reporting requirements. In addition, entities with a single reportable segment must now provide all segment disclosures required in ASC 280, including the new disclosures for reportable segments under the amendments in ASU 2023-07. The new guidance is effective for fiscal years beginning after December 15, 2023 and interim periods within fiscal years beginning after December 15, 2024. The Company has assessed the impact of this guidance and concluded that it would not have a material impact on its consolidated financial statement and disclosure requirements. The Company has adopted this guidance as of December 31, 2024 on a retrospective basis, as presented in Note 12.</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7" w:name="page58"/>
    <w:bookmarkEnd w:id="57"/>
    <w:p>
      <w:pPr>
        <w:ind w:right="240"/>
        <w:spacing w:after="0" w:line="257" w:lineRule="auto"/>
        <w:rPr>
          <w:sz w:val="20"/>
          <w:szCs w:val="20"/>
          <w:color w:val="auto"/>
        </w:rPr>
      </w:pPr>
      <w:r>
        <w:rPr>
          <w:rFonts w:ascii="Times New Roman" w:cs="Times New Roman" w:eastAsia="Times New Roman" w:hAnsi="Times New Roman"/>
          <w:sz w:val="18"/>
          <w:szCs w:val="18"/>
          <w:color w:val="231F20"/>
        </w:rPr>
        <w:t>In December 2023, the FASB issued ASU No. 2023-09, "</w:t>
      </w:r>
      <w:r>
        <w:rPr>
          <w:rFonts w:ascii="Times New Roman" w:cs="Times New Roman" w:eastAsia="Times New Roman" w:hAnsi="Times New Roman"/>
          <w:sz w:val="18"/>
          <w:szCs w:val="18"/>
          <w:i w:val="1"/>
          <w:iCs w:val="1"/>
          <w:color w:val="231F20"/>
        </w:rPr>
        <w:t>Income Taxes (Topic 740): Improvements to Income Tax Disclosures (ASU 2023-09)</w:t>
      </w:r>
      <w:r>
        <w:rPr>
          <w:rFonts w:ascii="Times New Roman" w:cs="Times New Roman" w:eastAsia="Times New Roman" w:hAnsi="Times New Roman"/>
          <w:sz w:val="18"/>
          <w:szCs w:val="18"/>
          <w:color w:val="231F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its impact on our condensed consolidated financial statements and related disclosures.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the basic and diluted earnings per share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4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9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13,864,797</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14,125,825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9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380" w:right="1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diluted weighted average shares outstanding are calculated by the inclusion of unvested restricted stock units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Borders>
              <w:top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(188 )</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49"/>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500" w:type="dxa"/>
            <w:vAlign w:val="bottom"/>
            <w:tcBorders>
              <w:top w:val="single" w:sz="8" w:color="auto"/>
              <w:bottom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allowance for doubtful accounts is shown below:</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7"/>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8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500" w:type="dxa"/>
            <w:vAlign w:val="bottom"/>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(313 )</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(989 )</w:t>
            </w:r>
          </w:p>
        </w:tc>
        <w:tc>
          <w:tcPr>
            <w:tcW w:w="0" w:type="dxa"/>
            <w:vAlign w:val="bottom"/>
          </w:tcPr>
          <w:p>
            <w:pPr>
              <w:spacing w:after="0"/>
              <w:rPr>
                <w:sz w:val="1"/>
                <w:szCs w:val="1"/>
                <w:color w:val="auto"/>
              </w:rPr>
            </w:pPr>
          </w:p>
        </w:tc>
      </w:tr>
      <w:tr>
        <w:trPr>
          <w:trHeight w:val="210"/>
        </w:trPr>
        <w:tc>
          <w:tcPr>
            <w:tcW w:w="6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7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1,263</w:t>
            </w:r>
          </w:p>
        </w:tc>
        <w:tc>
          <w:tcPr>
            <w:tcW w:w="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gridSpan w:val="4"/>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(1,585 )</w:t>
            </w:r>
          </w:p>
        </w:tc>
        <w:tc>
          <w:tcPr>
            <w:tcW w:w="1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(1,375 )</w:t>
            </w:r>
          </w:p>
        </w:tc>
        <w:tc>
          <w:tcPr>
            <w:tcW w:w="0" w:type="dxa"/>
            <w:vAlign w:val="bottom"/>
          </w:tcPr>
          <w:p>
            <w:pPr>
              <w:spacing w:after="0"/>
              <w:rPr>
                <w:sz w:val="1"/>
                <w:szCs w:val="1"/>
                <w:color w:val="auto"/>
              </w:rPr>
            </w:pPr>
          </w:p>
        </w:tc>
      </w:tr>
      <w:tr>
        <w:trPr>
          <w:trHeight w:val="209"/>
        </w:trPr>
        <w:tc>
          <w:tcPr>
            <w:tcW w:w="6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-2853690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-2836545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-1799590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-453390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property and equipment of $213 and $233 was recorded for the years ended December 31,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4"/>
          </w:tcPr>
          <w:p>
            <w:pPr>
              <w:jc w:val="center"/>
              <w:ind w:right="4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4"/>
          </w:tcPr>
          <w:p>
            <w:pPr>
              <w:jc w:val="center"/>
              <w:ind w:right="48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2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1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7"/>
              </w:rPr>
              <w:t>5-10 years</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(38,412 )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(29,142 )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 gross amount associated with software developed for internal use represents capitalized costs of internally-developed software, including eligible personnel-related expenses, share-based compensation, and travel expenses incurred by relevant employees, and other relevant costs.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Amortization expenses of $9,349 and $8,119 were included in depreciation and amortization expense for the years ended December 31, 2024 and 2023, respectively. As of December 31, 2024, intangible assets of $6,284, included in the gross amounts of software developed for internal use, have not started amortization, as they are not ready for their intended use.</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software developed for internal use of $11,025 and $10,875 during the years ended December 31, 2024 and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estimated amortization expenses related to the Company’s intangible assets for 2025 through 2030 and thereafter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personnel-related expenses</w:t>
            </w:r>
          </w:p>
        </w:tc>
        <w:tc>
          <w:tcPr>
            <w:tcW w:w="17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7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data acquisition costs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payables</w:t>
            </w:r>
          </w:p>
        </w:tc>
        <w:tc>
          <w:tcPr>
            <w:tcW w:w="1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280" w:type="dxa"/>
            <w:vAlign w:val="bottom"/>
          </w:tcPr>
          <w:p>
            <w:pPr>
              <w:spacing w:after="0"/>
              <w:rPr>
                <w:sz w:val="24"/>
                <w:szCs w:val="24"/>
                <w:color w:val="auto"/>
              </w:rPr>
            </w:pPr>
          </w:p>
        </w:tc>
        <w:tc>
          <w:tcPr>
            <w:tcW w:w="17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F-14</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-1079500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income taxes on income before income taxes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80" w:type="dxa"/>
            <w:vAlign w:val="bottom"/>
            <w:shd w:val="clear" w:color="auto" w:fill="CEF0FC"/>
          </w:tcPr>
          <w:p>
            <w:pPr>
              <w:spacing w:after="0"/>
              <w:rPr>
                <w:sz w:val="18"/>
                <w:szCs w:val="18"/>
                <w:color w:val="auto"/>
              </w:rPr>
            </w:pPr>
          </w:p>
        </w:tc>
        <w:tc>
          <w:tcPr>
            <w:tcW w:w="1540" w:type="dxa"/>
            <w:vAlign w:val="bottom"/>
            <w:shd w:val="clear" w:color="auto" w:fill="CEF0FC"/>
          </w:tcPr>
          <w:p>
            <w:pPr>
              <w:spacing w:after="0"/>
              <w:rPr>
                <w:sz w:val="18"/>
                <w:szCs w:val="18"/>
                <w:color w:val="auto"/>
              </w:rPr>
            </w:pPr>
          </w:p>
        </w:tc>
        <w:tc>
          <w:tcPr>
            <w:tcW w:w="34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1280" w:type="dxa"/>
            <w:vAlign w:val="bottom"/>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EF0FC"/>
            </w:tcBorders>
            <w:shd w:val="clear" w:color="auto" w:fill="CE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tcBorders>
              <w:bottom w:val="single" w:sz="8" w:color="auto"/>
            </w:tcBorders>
            <w:shd w:val="clear" w:color="auto" w:fill="CEF0FC"/>
          </w:tcPr>
          <w:p>
            <w:pPr>
              <w:spacing w:after="0"/>
              <w:rPr>
                <w:sz w:val="18"/>
                <w:szCs w:val="18"/>
                <w:color w:val="auto"/>
              </w:rPr>
            </w:pPr>
          </w:p>
        </w:tc>
        <w:tc>
          <w:tcPr>
            <w:tcW w:w="154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Borders>
              <w:bottom w:val="single" w:sz="8" w:color="CEF0FC"/>
            </w:tcBorders>
            <w:shd w:val="clear" w:color="auto" w:fill="CEF0FC"/>
          </w:tcPr>
          <w:p>
            <w:pPr>
              <w:spacing w:after="0"/>
              <w:rPr>
                <w:sz w:val="18"/>
                <w:szCs w:val="18"/>
                <w:color w:val="auto"/>
              </w:rPr>
            </w:pPr>
          </w:p>
        </w:tc>
        <w:tc>
          <w:tcPr>
            <w:tcW w:w="760" w:type="dxa"/>
            <w:vAlign w:val="bottom"/>
            <w:tcBorders>
              <w:bottom w:val="single" w:sz="8" w:color="auto"/>
            </w:tcBorders>
            <w:shd w:val="clear" w:color="auto" w:fill="CEF0FC"/>
          </w:tcPr>
          <w:p>
            <w:pPr>
              <w:spacing w:after="0"/>
              <w:rPr>
                <w:sz w:val="18"/>
                <w:szCs w:val="18"/>
                <w:color w:val="auto"/>
              </w:rPr>
            </w:pPr>
          </w:p>
        </w:tc>
        <w:tc>
          <w:tcPr>
            <w:tcW w:w="1280" w:type="dxa"/>
            <w:vAlign w:val="bottom"/>
            <w:tcBorders>
              <w:bottom w:val="single" w:sz="8" w:color="auto"/>
            </w:tcBorders>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EF0FC"/>
            </w:tcBorders>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80" w:type="dxa"/>
            <w:vAlign w:val="bottom"/>
            <w:shd w:val="clear" w:color="auto" w:fill="CEF0FC"/>
          </w:tcPr>
          <w:p>
            <w:pPr>
              <w:spacing w:after="0"/>
              <w:rPr>
                <w:sz w:val="18"/>
                <w:szCs w:val="18"/>
                <w:color w:val="auto"/>
              </w:rPr>
            </w:pPr>
          </w:p>
        </w:tc>
        <w:tc>
          <w:tcPr>
            <w:tcW w:w="1540" w:type="dxa"/>
            <w:vAlign w:val="bottom"/>
            <w:shd w:val="clear" w:color="auto" w:fill="CEF0FC"/>
          </w:tcPr>
          <w:p>
            <w:pPr>
              <w:spacing w:after="0"/>
              <w:rPr>
                <w:sz w:val="18"/>
                <w:szCs w:val="18"/>
                <w:color w:val="auto"/>
              </w:rPr>
            </w:pPr>
          </w:p>
        </w:tc>
        <w:tc>
          <w:tcPr>
            <w:tcW w:w="34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1280" w:type="dxa"/>
            <w:vAlign w:val="bottom"/>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(2,139 )</w:t>
            </w:r>
          </w:p>
        </w:tc>
        <w:tc>
          <w:tcPr>
            <w:tcW w:w="0" w:type="dxa"/>
            <w:vAlign w:val="bottom"/>
          </w:tcPr>
          <w:p>
            <w:pPr>
              <w:spacing w:after="0"/>
              <w:rPr>
                <w:sz w:val="1"/>
                <w:szCs w:val="1"/>
                <w:color w:val="auto"/>
              </w:rPr>
            </w:pPr>
          </w:p>
        </w:tc>
      </w:tr>
      <w:tr>
        <w:trPr>
          <w:trHeight w:val="216"/>
        </w:trPr>
        <w:tc>
          <w:tcPr>
            <w:tcW w:w="6740" w:type="dxa"/>
            <w:vAlign w:val="bottom"/>
            <w:shd w:val="clear" w:color="auto" w:fill="CE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shd w:val="clear" w:color="auto" w:fill="CEF0FC"/>
          </w:tcPr>
          <w:p>
            <w:pPr>
              <w:spacing w:after="0"/>
              <w:rPr>
                <w:sz w:val="18"/>
                <w:szCs w:val="18"/>
                <w:color w:val="auto"/>
              </w:rPr>
            </w:pPr>
          </w:p>
        </w:tc>
        <w:tc>
          <w:tcPr>
            <w:tcW w:w="1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4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12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(8,033 )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EF0FC"/>
          </w:tcPr>
          <w:p>
            <w:pPr>
              <w:spacing w:after="0"/>
              <w:rPr>
                <w:sz w:val="18"/>
                <w:szCs w:val="18"/>
                <w:color w:val="auto"/>
              </w:rPr>
            </w:pPr>
          </w:p>
        </w:tc>
        <w:tc>
          <w:tcPr>
            <w:tcW w:w="480" w:type="dxa"/>
            <w:vAlign w:val="bottom"/>
            <w:shd w:val="clear" w:color="auto" w:fill="CEF0FC"/>
          </w:tcPr>
          <w:p>
            <w:pPr>
              <w:spacing w:after="0"/>
              <w:rPr>
                <w:sz w:val="18"/>
                <w:szCs w:val="18"/>
                <w:color w:val="auto"/>
              </w:rPr>
            </w:pPr>
          </w:p>
        </w:tc>
        <w:tc>
          <w:tcPr>
            <w:tcW w:w="15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shd w:val="clear" w:color="auto" w:fill="CEF0FC"/>
          </w:tcPr>
          <w:p>
            <w:pPr>
              <w:spacing w:after="0"/>
              <w:rPr>
                <w:sz w:val="18"/>
                <w:szCs w:val="18"/>
                <w:color w:val="auto"/>
              </w:rPr>
            </w:pPr>
          </w:p>
        </w:tc>
        <w:tc>
          <w:tcPr>
            <w:tcW w:w="760" w:type="dxa"/>
            <w:vAlign w:val="bottom"/>
            <w:shd w:val="clear" w:color="auto" w:fill="CEF0FC"/>
          </w:tcPr>
          <w:p>
            <w:pPr>
              <w:spacing w:after="0"/>
              <w:rPr>
                <w:sz w:val="18"/>
                <w:szCs w:val="18"/>
                <w:color w:val="auto"/>
              </w:rPr>
            </w:pPr>
          </w:p>
        </w:tc>
        <w:tc>
          <w:tcPr>
            <w:tcW w:w="1380" w:type="dxa"/>
            <w:vAlign w:val="bottom"/>
            <w:gridSpan w:val="2"/>
            <w:shd w:val="clear" w:color="auto" w:fill="CEF0FC"/>
          </w:tcPr>
          <w:p>
            <w:pPr>
              <w:jc w:val="right"/>
              <w:ind w:right="40"/>
              <w:spacing w:after="0"/>
              <w:rPr>
                <w:sz w:val="20"/>
                <w:szCs w:val="20"/>
                <w:color w:val="auto"/>
              </w:rPr>
            </w:pPr>
            <w:r>
              <w:rPr>
                <w:rFonts w:ascii="Times New Roman" w:cs="Times New Roman" w:eastAsia="Times New Roman" w:hAnsi="Times New Roman"/>
                <w:sz w:val="18"/>
                <w:szCs w:val="18"/>
                <w:color w:val="auto"/>
              </w:rPr>
              <w:t>(9,801 )</w:t>
            </w:r>
          </w:p>
        </w:tc>
        <w:tc>
          <w:tcPr>
            <w:tcW w:w="0" w:type="dxa"/>
            <w:vAlign w:val="bottom"/>
          </w:tcPr>
          <w:p>
            <w:pPr>
              <w:spacing w:after="0"/>
              <w:rPr>
                <w:sz w:val="1"/>
                <w:szCs w:val="1"/>
                <w:color w:val="auto"/>
              </w:rPr>
            </w:pPr>
          </w:p>
        </w:tc>
      </w:tr>
      <w:tr>
        <w:trPr>
          <w:trHeight w:val="20"/>
        </w:trPr>
        <w:tc>
          <w:tcPr>
            <w:tcW w:w="6740" w:type="dxa"/>
            <w:vAlign w:val="bottom"/>
            <w:shd w:val="clear" w:color="auto" w:fill="CE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CE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E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4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(9,691 )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-1010920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expense (benefit) differed from the U.S. corporate statutory income tax rate for the years ended December 31, 2024 and 2023. A reconciliation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on income before income taxes</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state taxes (net of federal income tax effect)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7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(3,213 )</w:t>
            </w:r>
          </w:p>
        </w:tc>
        <w:tc>
          <w:tcPr>
            <w:tcW w:w="5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(573 )</w:t>
            </w: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7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5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rate change</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(86 )</w:t>
            </w:r>
          </w:p>
        </w:tc>
        <w:tc>
          <w:tcPr>
            <w:tcW w:w="5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(8,033 )</w:t>
            </w:r>
          </w:p>
        </w:tc>
        <w:tc>
          <w:tcPr>
            <w:tcW w:w="5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(9,691 )</w:t>
            </w: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1200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200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deferred tax assets and liabilities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7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20" w:type="dxa"/>
            <w:vAlign w:val="bottom"/>
            <w:shd w:val="clear" w:color="auto" w:fill="CFF0FC"/>
          </w:tcPr>
          <w:p>
            <w:pPr>
              <w:spacing w:after="0"/>
              <w:rPr>
                <w:sz w:val="14"/>
                <w:szCs w:val="14"/>
                <w:color w:val="auto"/>
              </w:rPr>
            </w:pPr>
          </w:p>
        </w:tc>
        <w:tc>
          <w:tcPr>
            <w:tcW w:w="672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top w:val="single" w:sz="8" w:color="auto"/>
            </w:tcBorders>
            <w:shd w:val="clear" w:color="auto" w:fill="CFF0FC"/>
          </w:tcPr>
          <w:p>
            <w:pPr>
              <w:spacing w:after="0"/>
              <w:rPr>
                <w:sz w:val="14"/>
                <w:szCs w:val="14"/>
                <w:color w:val="auto"/>
              </w:rPr>
            </w:pPr>
          </w:p>
        </w:tc>
        <w:tc>
          <w:tcPr>
            <w:tcW w:w="176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tcPr>
          <w:p>
            <w:pPr>
              <w:spacing w:after="0"/>
              <w:rPr>
                <w:sz w:val="18"/>
                <w:szCs w:val="18"/>
                <w:color w:val="auto"/>
              </w:rPr>
            </w:pPr>
          </w:p>
        </w:tc>
      </w:tr>
      <w:tr>
        <w:trPr>
          <w:trHeight w:val="216"/>
        </w:trPr>
        <w:tc>
          <w:tcPr>
            <w:tcW w:w="6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8"/>
                <w:szCs w:val="18"/>
                <w:color w:val="auto"/>
              </w:rPr>
            </w:pPr>
          </w:p>
        </w:tc>
      </w:tr>
      <w:tr>
        <w:trPr>
          <w:trHeight w:val="216"/>
        </w:trPr>
        <w:tc>
          <w:tcPr>
            <w:tcW w:w="6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r>
      <w:tr>
        <w:trPr>
          <w:trHeight w:val="216"/>
        </w:trPr>
        <w:tc>
          <w:tcPr>
            <w:tcW w:w="6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and others</w:t>
            </w:r>
          </w:p>
        </w:tc>
        <w:tc>
          <w:tcPr>
            <w:tcW w:w="2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tcPr>
          <w:p>
            <w:pPr>
              <w:spacing w:after="0"/>
              <w:rPr>
                <w:sz w:val="18"/>
                <w:szCs w:val="18"/>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9"/>
              </w:rPr>
              <w:t>Deferred tax liabilities:</w:t>
            </w:r>
          </w:p>
        </w:tc>
        <w:tc>
          <w:tcPr>
            <w:tcW w:w="50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18"/>
                <w:szCs w:val="18"/>
                <w:color w:val="auto"/>
              </w:rPr>
            </w:pPr>
          </w:p>
        </w:tc>
      </w:tr>
      <w:tr>
        <w:trPr>
          <w:trHeight w:val="216"/>
        </w:trPr>
        <w:tc>
          <w:tcPr>
            <w:tcW w:w="6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-1010920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gross federal and state net operating loss carryforwards of $27,043 and $18,820, respectively. Federal net operating losses have an indefinite life and do not expire. Certain state net operating losses of approximate $6,235 expire beginning in 2029 and the remaining could be carried forward indefinitely. As of December 31, 2024, the Company has $3,329 of research and development tax credits which begin to expire in 2040. The Company’s federal and state net operating losses, and research and development tax credits, are not subject to annual Section 382 limitations due to ownership changes that could impact the future realization.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ind w:right="20"/>
        <w:spacing w:after="0" w:line="255"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Prior to the third quarter of 2023, primarily due to cumulative pre-tax losses, management determined a full valuation allowance was necessary to reduce the deferred tax assets to the amount that is more likely than not to be realized. Since the third quarter of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December 31, 2024 was more likely than not.</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unrecognized tax benefits as of December 31, 2024 and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treasury stock</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number of authorized shares of common stock was 200,000,000, with a par value of $0.001 per share, of which, 13,936,329 and 13,980,274 shares of common stock were issued, respectively, which included shares of treasury stock of 0 and 9,428, respectively.</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changes in the number of issued shares of common stock and treasury stock was due to the following factors:</w:t>
      </w:r>
    </w:p>
    <w:p>
      <w:pPr>
        <w:spacing w:after="0" w:line="121" w:lineRule="exact"/>
        <w:rPr>
          <w:sz w:val="20"/>
          <w:szCs w:val="20"/>
          <w:color w:val="auto"/>
        </w:rPr>
      </w:pPr>
    </w:p>
    <w:p>
      <w:pPr>
        <w:jc w:val="both"/>
        <w:ind w:left="380" w:right="44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309,416 shares of common stock were issued as a result of the vesting of RSUs, of which, 99,234 shares of common stock were withheld to pay withholding taxes upon such vesting, which were reflected in treasury stock, with a cost of $1,992. The treasury stock of 99,234 shares was then retired during the year ended December 31, 2023.</w:t>
      </w:r>
    </w:p>
    <w:p>
      <w:pPr>
        <w:spacing w:after="0" w:line="135" w:lineRule="exact"/>
        <w:rPr>
          <w:rFonts w:ascii="Times New Roman" w:cs="Times New Roman" w:eastAsia="Times New Roman" w:hAnsi="Times New Roman"/>
          <w:sz w:val="18"/>
          <w:szCs w:val="18"/>
          <w:color w:val="auto"/>
        </w:rPr>
      </w:pPr>
    </w:p>
    <w:p>
      <w:pPr>
        <w:ind w:left="380" w:hanging="372"/>
        <w:spacing w:after="0" w:line="254"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2022, the Board of Directors of the Company authorized the repurchase of up to $5.0 million of the Company's common stock from time to time, and subsequently on December 19, 2023 and March 28, 2024, the Board of Directors authorized the repurchase of an additional $5.0 million each, bringing the total authorization to $15.0 million (the "Stock Repurchase Program"). The Stock Repurchase Program does not obligate the Company to repurchase any shares and may be modified, suspended, or terminated at any time and for any reason at the discretion of the Board of Directors. During the year ended December 31, 2023, the Company repurchased 195,740 shares of common stock under the Stock Repurchase Program, which was reflected in treasury stock, with a cost of $3,755. Related treasury stock of 186,312 shares, with a cost of $3,567, was retired during the year ended December 31, 2023, which resulted in a treasury stock balance of $188 as of December 31, 2023. Among the total 195,740 shares of common stock repurchased, there were 49,600 shares of common stock repurchased by the Company on November 15, 2023 from Nantahala Capital Management, LLC, a greater than 5% stockholder of the Company, at a price of $20.00 per share.</w:t>
      </w:r>
    </w:p>
    <w:p>
      <w:pPr>
        <w:spacing w:after="0" w:line="16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changes in the number of issued shares of common stock and treasury stock was due to the following factors:</w:t>
      </w:r>
    </w:p>
    <w:p>
      <w:pPr>
        <w:spacing w:after="0" w:line="121" w:lineRule="exact"/>
        <w:rPr>
          <w:sz w:val="20"/>
          <w:szCs w:val="20"/>
          <w:color w:val="auto"/>
        </w:rPr>
      </w:pPr>
    </w:p>
    <w:p>
      <w:pPr>
        <w:ind w:left="380" w:right="12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395,690 shares of common stock were issued as a result of the vesting of RSUs, of which, 137,463 shares of common stock were withheld to pay withholding taxes upon such vesting, which were reflected in treasury stock, with a cost of $4,068. Related treasury stock of 137,463 shares was then retired during the year ended December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ind w:left="380" w:right="120" w:hanging="372"/>
        <w:spacing w:after="0" w:line="258"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repurchased 292,744 shares of common stock under the Stock Repurchase Program, which was reflected in treasury stock, with a cost of $5,809. Related treasury stock of 302,172 shares, with a cost of $5,997, was retired during the year ended December 31, 2024, resulting in no treasury stock balance as of December 31, 2024. Among the total 292,744 shares of common stock repurchased, there were 200,000 shares of common stock repurchase by the Company from the Greater Miami Jewish Federation, Inc., a greater than 5% stockholder of the Company, at a price of $20.50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10,000,000 shares of preferred stock with par value of $0.001 per share authorized, and there were no shares of preferred stock issued or outstanding.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3, 2024 (the "Declaration Date"), the Company declared a special cash dividend on its common stock of $0.30 per share (the “Special Cash Dividend”), payable on or about February 14, 2025, to shareholders of record as of January 31, 2025. The aggregate amount of payment to be made in connection with the Special Cash Dividend will be approximately $4.2 million. Due to the existence of accumulated deficit as of the Declaration Date, the dividend was charged to additional paid-in capital, on the consolidated balance sheet.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were 1,724,265 shares of common stock available for future issuance under the 2018 Plan, as amended.</w:t>
      </w:r>
    </w:p>
    <w:p>
      <w:pPr>
        <w:spacing w:after="0" w:line="18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RSUs activity during the years ended December 31, 2024 and 2023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3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5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1,044,132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5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399,900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5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(210,182 )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5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(99,234 )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5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334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1,017,718</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5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453,184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delivered</w:t>
            </w:r>
          </w:p>
        </w:tc>
        <w:tc>
          <w:tcPr>
            <w:tcW w:w="5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(258,227 )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5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(137,463 )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Vested not delivered</w:t>
            </w:r>
            <w:r>
              <w:rPr>
                <w:rFonts w:ascii="Times New Roman" w:cs="Times New Roman" w:eastAsia="Times New Roman" w:hAnsi="Times New Roman"/>
                <w:sz w:val="24"/>
                <w:szCs w:val="24"/>
                <w:color w:val="auto"/>
                <w:vertAlign w:val="superscript"/>
              </w:rPr>
              <w:t>(3)</w:t>
            </w:r>
          </w:p>
        </w:tc>
        <w:tc>
          <w:tcPr>
            <w:tcW w:w="5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34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(179,994 )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3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887,268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000" w:type="dxa"/>
            <w:vAlign w:val="bottom"/>
          </w:tcPr>
          <w:p>
            <w:pPr>
              <w:spacing w:after="0"/>
              <w:rPr>
                <w:sz w:val="24"/>
                <w:szCs w:val="24"/>
                <w:color w:val="auto"/>
              </w:rPr>
            </w:pPr>
          </w:p>
        </w:tc>
        <w:tc>
          <w:tcPr>
            <w:tcW w:w="5420" w:type="dxa"/>
            <w:vAlign w:val="bottom"/>
            <w:gridSpan w:val="3"/>
          </w:tcPr>
          <w:p>
            <w:pPr>
              <w:jc w:val="right"/>
              <w:ind w:right="3620"/>
              <w:spacing w:after="0"/>
              <w:rPr>
                <w:sz w:val="20"/>
                <w:szCs w:val="20"/>
                <w:color w:val="auto"/>
              </w:rPr>
            </w:pPr>
            <w:r>
              <w:rPr>
                <w:rFonts w:ascii="Times New Roman" w:cs="Times New Roman" w:eastAsia="Times New Roman" w:hAnsi="Times New Roman"/>
                <w:sz w:val="18"/>
                <w:szCs w:val="18"/>
                <w:color w:val="auto"/>
              </w:rPr>
              <w:t>F-17</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-933450</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-916305</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jc w:val="both"/>
        <w:ind w:left="380" w:right="320" w:hanging="372"/>
        <w:spacing w:after="0" w:line="312"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2023, the Company granted an aggregate of 399,900 RSUs to certain employees and members of the Company's Board of Directors at grant date fair values ranging from $16.17 to $20.92 per share, with a vesting period ranging from four months to four years.</w:t>
      </w:r>
    </w:p>
    <w:p>
      <w:pPr>
        <w:spacing w:after="0" w:line="112" w:lineRule="exact"/>
        <w:rPr>
          <w:rFonts w:ascii="Times New Roman" w:cs="Times New Roman" w:eastAsia="Times New Roman" w:hAnsi="Times New Roman"/>
          <w:sz w:val="17"/>
          <w:szCs w:val="17"/>
          <w:color w:val="auto"/>
        </w:rPr>
      </w:pPr>
    </w:p>
    <w:p>
      <w:pPr>
        <w:ind w:left="380" w:right="1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March 18, 2024, the Company granted 130,000 RSUs, subject to performance-based requirements, to one non-executive employee at a grant date fair value of $18.30 per share, as detailed in Criteria Four below. In addition to such 130,000 RSUs subject to performance-based requirements, the Company granted, during the year ended December 31, 2024, an aggregate of 323,184 RSUs to certain employees and directors at grant date fair values ranging from $17.00 to $37.97 per share, with a vesting period ranging from one to four years.</w:t>
      </w:r>
    </w:p>
    <w:p>
      <w:pPr>
        <w:spacing w:after="0" w:line="139"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as treasury stock represents shares withheld to pay statutory taxes upon the vesting of RSUs. Refer to Note 9 for details.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not delivered represents RSUs that have been vested but the delivery of the common stock underlying such RSUs were deferred.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certain grants of RSUs with both time- and performance-based conditions. Details of such grants of RSUs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Amortization of share-based compensation</w:t>
            </w:r>
          </w:p>
        </w:tc>
      </w:tr>
      <w:tr>
        <w:trPr>
          <w:trHeight w:val="128"/>
        </w:trPr>
        <w:tc>
          <w:tcPr>
            <w:tcW w:w="15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RSU grants with</w:t>
            </w:r>
          </w:p>
        </w:tc>
        <w:tc>
          <w:tcPr>
            <w:tcW w:w="1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348"/>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7"/>
              <w:spacing w:after="0" w:line="129" w:lineRule="exact"/>
              <w:rPr>
                <w:sz w:val="20"/>
                <w:szCs w:val="20"/>
                <w:color w:val="auto"/>
              </w:rPr>
            </w:pPr>
            <w:r>
              <w:rPr>
                <w:rFonts w:ascii="Times New Roman" w:cs="Times New Roman" w:eastAsia="Times New Roman" w:hAnsi="Times New Roman"/>
                <w:sz w:val="13"/>
                <w:szCs w:val="13"/>
                <w:b w:val="1"/>
                <w:bCs w:val="1"/>
                <w:color w:val="auto"/>
                <w:w w:val="95"/>
              </w:rPr>
              <w:t>grant-date</w:t>
            </w: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540" w:type="dxa"/>
            <w:vAlign w:val="bottom"/>
            <w:tcBorders>
              <w:top w:val="single" w:sz="8" w:color="auto"/>
              <w:bottom w:val="single" w:sz="8" w:color="auto"/>
            </w:tcBorders>
            <w:gridSpan w:val="4"/>
          </w:tcPr>
          <w:p>
            <w:pPr>
              <w:jc w:val="right"/>
              <w:ind w:right="562"/>
              <w:spacing w:after="0" w:line="129"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 w:type="dxa"/>
            <w:vAlign w:val="bottom"/>
          </w:tcPr>
          <w:p>
            <w:pPr>
              <w:spacing w:after="0"/>
              <w:rPr>
                <w:sz w:val="11"/>
                <w:szCs w:val="11"/>
                <w:color w:val="auto"/>
              </w:rPr>
            </w:pPr>
          </w:p>
        </w:tc>
      </w:tr>
      <w:tr>
        <w:trPr>
          <w:trHeight w:val="129"/>
        </w:trPr>
        <w:tc>
          <w:tcPr>
            <w:tcW w:w="15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performance criteria</w:t>
            </w:r>
          </w:p>
        </w:tc>
        <w:tc>
          <w:tcPr>
            <w:tcW w:w="160" w:type="dxa"/>
            <w:vAlign w:val="bottom"/>
          </w:tcPr>
          <w:p>
            <w:pPr>
              <w:spacing w:after="0"/>
              <w:rPr>
                <w:sz w:val="11"/>
                <w:szCs w:val="11"/>
                <w:color w:val="auto"/>
              </w:rPr>
            </w:pPr>
          </w:p>
        </w:tc>
        <w:tc>
          <w:tcPr>
            <w:tcW w:w="2000" w:type="dxa"/>
            <w:vAlign w:val="bottom"/>
            <w:tcBorders>
              <w:bottom w:val="single" w:sz="8" w:color="auto"/>
            </w:tcBorders>
          </w:tcPr>
          <w:p>
            <w:pPr>
              <w:jc w:val="right"/>
              <w:ind w:right="617"/>
              <w:spacing w:after="0" w:line="129" w:lineRule="exact"/>
              <w:rPr>
                <w:sz w:val="20"/>
                <w:szCs w:val="20"/>
                <w:color w:val="auto"/>
              </w:rPr>
            </w:pPr>
            <w:r>
              <w:rPr>
                <w:rFonts w:ascii="Times New Roman" w:cs="Times New Roman" w:eastAsia="Times New Roman" w:hAnsi="Times New Roman"/>
                <w:sz w:val="13"/>
                <w:szCs w:val="13"/>
                <w:b w:val="1"/>
                <w:bCs w:val="1"/>
                <w:color w:val="auto"/>
              </w:rPr>
              <w:t>Grant dates</w:t>
            </w:r>
          </w:p>
        </w:tc>
        <w:tc>
          <w:tcPr>
            <w:tcW w:w="120" w:type="dxa"/>
            <w:vAlign w:val="bottom"/>
          </w:tcPr>
          <w:p>
            <w:pPr>
              <w:spacing w:after="0"/>
              <w:rPr>
                <w:sz w:val="11"/>
                <w:szCs w:val="11"/>
                <w:color w:val="auto"/>
              </w:rPr>
            </w:pPr>
          </w:p>
        </w:tc>
        <w:tc>
          <w:tcPr>
            <w:tcW w:w="1300" w:type="dxa"/>
            <w:vAlign w:val="bottom"/>
            <w:tcBorders>
              <w:bottom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3"/>
                <w:szCs w:val="13"/>
                <w:b w:val="1"/>
                <w:bCs w:val="1"/>
                <w:color w:val="auto"/>
              </w:rPr>
              <w:t>of units</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87"/>
              <w:spacing w:after="0" w:line="129"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240" w:type="dxa"/>
            <w:vAlign w:val="bottom"/>
          </w:tcPr>
          <w:p>
            <w:pPr>
              <w:spacing w:after="0"/>
              <w:rPr>
                <w:sz w:val="11"/>
                <w:szCs w:val="11"/>
                <w:color w:val="auto"/>
              </w:rPr>
            </w:pPr>
          </w:p>
        </w:tc>
        <w:tc>
          <w:tcPr>
            <w:tcW w:w="1340" w:type="dxa"/>
            <w:vAlign w:val="bottom"/>
            <w:tcBorders>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Vesting period</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0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02"/>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r>
      <w:tr>
        <w:trPr>
          <w:trHeight w:val="196"/>
        </w:trPr>
        <w:tc>
          <w:tcPr>
            <w:tcW w:w="15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Criteria One</w:t>
            </w:r>
            <w:r>
              <w:rPr>
                <w:rFonts w:ascii="Times New Roman" w:cs="Times New Roman" w:eastAsia="Times New Roman" w:hAnsi="Times New Roman"/>
                <w:sz w:val="21"/>
                <w:szCs w:val="21"/>
                <w:color w:val="auto"/>
                <w:vertAlign w:val="superscript"/>
              </w:rPr>
              <w:t>(1)</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8/28/2019 - 9/8/2020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4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years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03"/>
        </w:trPr>
        <w:tc>
          <w:tcPr>
            <w:tcW w:w="150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Criteria Two</w:t>
            </w:r>
            <w:r>
              <w:rPr>
                <w:rFonts w:ascii="Times New Roman" w:cs="Times New Roman" w:eastAsia="Times New Roman" w:hAnsi="Times New Roman"/>
                <w:sz w:val="21"/>
                <w:szCs w:val="21"/>
                <w:color w:val="auto"/>
                <w:vertAlign w:val="superscript"/>
              </w:rPr>
              <w:t>(2)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7/30/2021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40" w:type="dxa"/>
            <w:vAlign w:val="bottom"/>
          </w:tcPr>
          <w:p>
            <w:pPr>
              <w:spacing w:after="0"/>
              <w:rPr>
                <w:sz w:val="17"/>
                <w:szCs w:val="17"/>
                <w:color w:val="auto"/>
              </w:rPr>
            </w:pPr>
          </w:p>
        </w:tc>
        <w:tc>
          <w:tcPr>
            <w:tcW w:w="15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5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150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Criteria Three</w:t>
            </w:r>
            <w:r>
              <w:rPr>
                <w:rFonts w:ascii="Times New Roman" w:cs="Times New Roman" w:eastAsia="Times New Roman" w:hAnsi="Times New Roman"/>
                <w:sz w:val="21"/>
                <w:szCs w:val="21"/>
                <w:color w:val="auto"/>
                <w:vertAlign w:val="superscript"/>
              </w:rPr>
              <w:t>(3)</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4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0.3 years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150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Criteria Four</w:t>
            </w:r>
            <w:r>
              <w:rPr>
                <w:rFonts w:ascii="Times New Roman" w:cs="Times New Roman" w:eastAsia="Times New Roman" w:hAnsi="Times New Roman"/>
                <w:sz w:val="21"/>
                <w:szCs w:val="21"/>
                <w:color w:val="auto"/>
                <w:vertAlign w:val="superscript"/>
              </w:rPr>
              <w:t>(4)</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3/18/2024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2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539,500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60" w:hanging="372"/>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RSU grants shall not vest unless and until the Company has, for any fiscal quarter in which the RSUs are outstanding, achieved certain performance criteria in gross revenue and positive adjusted EBITDA. Provided the performance criteria are met, the RSUs will vest in accordance with the time-based requirements contained in the award agreement over three or four years. The Company determined that Criteria Two was met as of March 31, 2021. As of December 31, 2023, all shares underlying such awards vested and were issued in accordance with their time-based vesting requirement.</w:t>
      </w:r>
    </w:p>
    <w:p>
      <w:pPr>
        <w:spacing w:after="0" w:line="142" w:lineRule="exact"/>
        <w:rPr>
          <w:rFonts w:ascii="Times New Roman" w:cs="Times New Roman" w:eastAsia="Times New Roman" w:hAnsi="Times New Roman"/>
          <w:sz w:val="18"/>
          <w:szCs w:val="18"/>
          <w:color w:val="auto"/>
        </w:rPr>
      </w:pPr>
    </w:p>
    <w:p>
      <w:pPr>
        <w:ind w:left="380" w:hanging="372"/>
        <w:spacing w:after="0" w:line="254"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Company granted 120,000 RSUs, subject to performance-based requirements, to one non-executive employee, which was subsequently modified on November 7, 2022, with a fair value of $15.13 per share as of the modification date. Such RSU grants shall not vest unless and until the Company has achieved certain revenue for a portion of its business prior to the achievement date deadline for each performance milestone. As of December 31, 2023, the Company determined that a total of 24,000 RSUs have forfeited as related performance milestones were not met, unless there is a change in control on or prior to June 30, 2026. The remaining 96,000 RSUs, which were forfeited as a result of the termination of employment of the non-executive employee on February 2, 2024, were included in "Unvested as of December 31, 2023," and "Forfeited" during the year ended December 31, 2024, with a fair value of $15.13 per share. No amortization of share-based compensation expense has ever been recognized for such RSUs.</w:t>
      </w:r>
    </w:p>
    <w:p>
      <w:pPr>
        <w:spacing w:after="0" w:line="164"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2023, the Company granted 12,000 RSUs, subject to performance-based requirements, to one non-executive employee, with a grant date fair value of $20.93 per share. Such RSU grants shall not vest unless and until the Company has achieved certain revenue for a portion of its business for the period from July 1, 2023 to December 31, 2023. No amortization of share-based compensation expense has been recognized for these RSUs, because, as of December 31, 2023, the Company determined that such performance criteria were not met. The 12,000 RSUs were included in "Forfeited" during the year ended December 31, 2023.</w:t>
      </w:r>
    </w:p>
    <w:p>
      <w:pPr>
        <w:spacing w:after="0" w:line="142" w:lineRule="exact"/>
        <w:rPr>
          <w:rFonts w:ascii="Times New Roman" w:cs="Times New Roman" w:eastAsia="Times New Roman" w:hAnsi="Times New Roman"/>
          <w:sz w:val="18"/>
          <w:szCs w:val="18"/>
          <w:color w:val="auto"/>
        </w:rPr>
      </w:pPr>
    </w:p>
    <w:p>
      <w:pPr>
        <w:ind w:left="380" w:right="120" w:hanging="372"/>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2024, the Company granted 130,000 RSUs, subject to performance-based requirements, to one non-executive employee at a grant date fair value of $18.30 per share. Such RSU grant shall not vest unless and until the Company has achieved certain revenue for a portion of its business prior to December 31, 2030, the last achievement date deadline. No amortization of share-based compensation expense has been recognized for 95,000 RSUs among the above-mentioned grant, because, as of December 31, 2024, the Company determined that it is not probable that related performance criteria will be met in the future.</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unrecognized share-based compensation expense associated with the granted RSUs amounted to $16,527, which is expected to be recognized over a weighted average period of 2.8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ind w:right="360"/>
        <w:spacing w:after="0" w:line="282" w:lineRule="auto"/>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consolidated financial statements for the years ended December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96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non-cancellable 89-month operating lease agreement as amended and effective in January 2017, with an option to extend for an additional 60 months. On September 20, 2023, the Company entered into an amendment to its corporate headquarters lease agreement to exercise the extension option for an additional 60 months through June 30, 2029 (the "Amended Headquarters Lease"), with an option to further extend for an additional 60 months. The extension option is not included in the determination of the lease term of the Amended Headquarters Lease as it is not reasonably certain to be exercised. The Company also leases an additional office space of 6,003 rentable square feet, located in Seattle, Washington, in accordance with a non-cancellable 90-month operating lease agreement entered into in April 2017 (the "Original Seattle Lease Agreement"), with an option to extend for an additional 60 months, and the Company has decided not to exercise the option to extend.</w:t>
      </w:r>
    </w:p>
    <w:p>
      <w:pPr>
        <w:spacing w:after="0" w:line="15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December 20, 2024, the Company entered into a new non-cancellable 80-month operating lease agreement for its new Seattle office space of 6,709 rentable square feet (the "New Seattle Lease Agreement"), with the lease term preliminarily set to commence on May 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a summary of the Company’s lease information is shown below:</w:t>
      </w:r>
    </w:p>
    <w:p>
      <w:pPr>
        <w:sectPr>
          <w:pgSz w:w="11900" w:h="16838" w:orient="portrait"/>
          <w:cols w:equalWidth="0" w:num="1">
            <w:col w:w="11240"/>
          </w:cols>
          <w:pgMar w:left="320" w:top="1161" w:right="339" w:bottom="1440" w:gutter="0" w:footer="0" w:header="0"/>
        </w:sect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9" w:lineRule="exact"/>
        <w:rPr>
          <w:sz w:val="20"/>
          <w:szCs w:val="20"/>
          <w:color w:val="auto"/>
        </w:rPr>
      </w:pPr>
    </w:p>
    <w:p>
      <w:pPr>
        <w:ind w:left="120" w:right="2380" w:hanging="89"/>
        <w:spacing w:after="0" w:line="194"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r>
        <w:rPr>
          <w:rFonts w:ascii="Times New Roman" w:cs="Times New Roman" w:eastAsia="Times New Roman" w:hAnsi="Times New Roman"/>
          <w:sz w:val="24"/>
          <w:szCs w:val="24"/>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425"/>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Pr>
          <w:p>
            <w:pPr>
              <w:spacing w:after="0"/>
              <w:rPr>
                <w:sz w:val="24"/>
                <w:szCs w:val="24"/>
                <w:color w:val="auto"/>
              </w:rPr>
            </w:pPr>
          </w:p>
        </w:tc>
      </w:tr>
      <w:tr>
        <w:trPr>
          <w:trHeight w:val="432"/>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Pr>
          <w:p>
            <w:pPr>
              <w:spacing w:after="0"/>
              <w:rPr>
                <w:sz w:val="24"/>
                <w:szCs w:val="24"/>
                <w:color w:val="auto"/>
              </w:rPr>
            </w:pPr>
          </w:p>
        </w:tc>
      </w:tr>
      <w:tr>
        <w:trPr>
          <w:trHeight w:val="324"/>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6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-959485</wp:posOffset>
            </wp:positionV>
            <wp:extent cx="713232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-685165</wp:posOffset>
            </wp:positionV>
            <wp:extent cx="713232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-410845</wp:posOffset>
            </wp:positionV>
            <wp:extent cx="7132320" cy="2743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320" w:space="720"/>
            <w:col w:w="4200"/>
          </w:cols>
          <w:pgMar w:left="320" w:top="1161" w:right="339" w:bottom="1440" w:gutter="0" w:footer="0" w:header="0"/>
          <w:type w:val="continuous"/>
        </w:sectPr>
      </w:pPr>
    </w:p>
    <w:p>
      <w:pPr>
        <w:ind w:left="380" w:right="4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Headquarters Lease resulted in an addition of $1,919 to right-of-use assets and operating lease liabilities, as of September 20, 2023 (the "Remeasurement Date").</w:t>
      </w:r>
    </w:p>
    <w:p>
      <w:pPr>
        <w:spacing w:after="0" w:line="161" w:lineRule="exact"/>
        <w:rPr>
          <w:rFonts w:ascii="Times New Roman" w:cs="Times New Roman" w:eastAsia="Times New Roman" w:hAnsi="Times New Roman"/>
          <w:sz w:val="18"/>
          <w:szCs w:val="18"/>
          <w:color w:val="auto"/>
        </w:rPr>
      </w:pPr>
    </w:p>
    <w:p>
      <w:pPr>
        <w:ind w:left="380" w:right="6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10.0%, its estimated incremental borrowing rate for similar secured assets, as the discount rate for the Amended Headquarters Lease to determine the present value of the lease payments because the implicit rate is not readily determinable. The discount rate was calculated on the basis of information available as of the Remeasurement Date. The Company used 8.0%, its estimated incremental borrowing rate for similar secured assets calculated on the basis of information available as of January 1, 2019, the initial application date, as the discount rate for the leases that existed prior to the Remeasurement Date, to determine the present value of the lease payments.</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weighted average remaining operating lease term, excluding lease not yet commenced, was 4.3 years and 4.9 years,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As of December 31, 2024, scheduled future maturities and present value of the operating lease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0"/>
        </w:trPr>
        <w:tc>
          <w:tcPr>
            <w:tcW w:w="95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Less: Lease not yet commenced</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excluding lease not yet commenced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Present value included in consolidated balance sheet:</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952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Difference between the maturities, excluding lease not yet commenced,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related present value of operating lease liabilities</w:t>
            </w:r>
          </w:p>
        </w:tc>
        <w:tc>
          <w:tcPr>
            <w:tcW w:w="1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0" w:hanging="372"/>
        <w:spacing w:after="0" w:line="258" w:lineRule="auto"/>
        <w:tabs>
          <w:tab w:leader="none" w:pos="3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the Company entered into the New Seattle Lease Agreement, with the lease term preliminarily set to commence on May 1, 2025, at which point the Company will recognize a right-of-use asset and a corresponding lease liability on its consolidated balance sheet under ASC 842. The right-of-use asset and lease liability will be determined based on the pertinent information available as of the commencement date. As of December 31, 2024, the total undiscounted future lease payments for this lease are included into total maturities as presented in the table above, but its lease liability has not been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currently has one single operating and reporting segment, identity and information solutions, as defined by ASC 280, “Segment Reporting.” The Company has adopted ASU 2023-07 as of December 31, 2024. The Company builds proprietary technologies and applies analytical capabilities to deliver identity intelligence. The solutions enable the real-time identification and location of people, businesses, assets, and their interrelationships, and are used for purposes including identity verification, risk mitigation, due diligence, fraud detection and prevention, regulatory compliance, and customer acquisition. The Company’s AI/ML-driven identity intelligence platform, CORE, is purpose-built for the enterprise, yet flexible enough for organizations of all sizes, bringing clarity to massive datasets by transforming data into intelligence. The Company generates substantially all of its revenue from licensing its solutions. Customers access the Company’s solutions through a hosted environment using an online interface, batch processing, API, and custom integrations. Revenue is generally recognized on (a) a transactional basis determined by the customers’ usage, (b) a monthly fee, or (c) a combination of both. The Company derives revenue all in the United States and manages the business activities on a consolidated basis. The technology used in the customer arrangements is based on a single software platform that is deployed to and implemented by customers in a similar manner.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operating decision maker (the “CODM”) is a group consisting of its Chief Executive Officer, President, and Chief Financial Officer.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of the identity and information solutions segment are the same as those described in the Summary of Significant Accounting Policies in Note 2. The CODM assesses performance for the identity and information solutions segment and decides how to allocate resources based on net income that also is reported on the statements of operations as consolidated net income. The measure of segment assets is reported on the balance sheet as total consolidated assets.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entity, to pursue acquisitions, or to pay dividends. Net income is used to monitor budget versus actual results. The monitoring of budgeted versus actual results is also used in assessing performance of the segment.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net income as the measure of segment profit, the CODM evaluates the financial performance of its business on a variety of key indicators, including non-GAAP metrics of adjusted EBITDA. Adjusted EBITDA is a non-GAAP financial measure equal to net income, the most directly comparable financial measure based on US GAAP, excluding interest income, income tax expense (benefit), depreciation and amortization, share-based compensation expense, litigation costs, and write-off of long-lived assets and others.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Information about reported segment revenue, segment net income, and significant segment expenses is shown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Advertising, marketing and agency expenses</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expenses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(1,400 )</w:t>
            </w:r>
          </w:p>
        </w:tc>
        <w:tc>
          <w:tcPr>
            <w:tcW w:w="7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(1,334 )</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(9,691 )</w:t>
            </w:r>
          </w:p>
        </w:tc>
        <w:tc>
          <w:tcPr>
            <w:tcW w:w="0" w:type="dxa"/>
            <w:vAlign w:val="bottom"/>
          </w:tcPr>
          <w:p>
            <w:pPr>
              <w:spacing w:after="0"/>
              <w:rPr>
                <w:sz w:val="1"/>
                <w:szCs w:val="1"/>
                <w:color w:val="auto"/>
              </w:rPr>
            </w:pPr>
          </w:p>
        </w:tc>
      </w:tr>
      <w:tr>
        <w:trPr>
          <w:trHeight w:val="210"/>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32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7,003</w:t>
            </w:r>
          </w:p>
        </w:tc>
        <w:tc>
          <w:tcPr>
            <w:tcW w:w="3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-334010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20" w:hanging="372"/>
        <w:spacing w:after="0" w:line="282" w:lineRule="auto"/>
        <w:tabs>
          <w:tab w:leader="none" w:pos="3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income includes primarily travel and entertainments, acquisition costs, write-off of long-lived assets, and other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20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incurred data costs of $9,649 and $9,531 for the years ended December 31, 2024 and 2023, respectively, under certain data licensing agreements. As of December 31, 2024, future material capital commitments under certain data licensing agreements were $13,668, shown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Employment agreements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executives, mainly including its Chief Executive Officer, President, Chief Financial Officer and Chief Information Officer, which provide for compensation and certain other benefits and for severance payments under certain circumstances.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Contingency</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60"/>
        <w:spacing w:after="0" w:line="256" w:lineRule="auto"/>
        <w:rPr>
          <w:sz w:val="20"/>
          <w:szCs w:val="20"/>
          <w:color w:val="auto"/>
        </w:rPr>
      </w:pPr>
      <w:r>
        <w:rPr>
          <w:rFonts w:ascii="Times New Roman" w:cs="Times New Roman" w:eastAsia="Times New Roman" w:hAnsi="Times New Roman"/>
          <w:sz w:val="18"/>
          <w:szCs w:val="18"/>
          <w:color w:val="auto"/>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the matter was remanded back to the Superior Court of New Jersey, Law Division, Monmouth County by order dated November 21, 2024, where the Action is pending.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spacing w:after="0" w:line="15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portions of this exhibit (indicated by “####”) have been omitted pursuant to Regulation S-K, Item 601(a)(6).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Red Violet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(Revised August 24,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Need for a Policy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Securities Exchange Commission (“SEC”) and the Justice Department have been vigorously pursuing violations of insider trading laws. Traditionally, their efforts have concentrated on individuals directly involved in trading abuses. However, to further deter insider trading violations, Congress expanded the authority of the SEC and the Justice Department, adopting the Insider Trading and Securities Fraud Enforcement Act (the “Act”). In addition to increasing the penalties for insider trading, the Act puts the onus on companies and possibly other “controlling persons” for violations by Company personnel.</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If companies like ours do not take active steps to adopt preventive policies and procedures covering securities trades by Company personnel, the consequences could be severe.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to responding to the Act, we have adopted this Policy to avoid even the appearance of improper conduct on the part of anyone employed by or associated with our Company (not just so-called insiders).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Consequences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consequences of insider trading violations can be staggering. Individuals who trade on inside information (or tip information to others) may be liable for:</w:t>
      </w:r>
    </w:p>
    <w:p>
      <w:pPr>
        <w:spacing w:after="0" w:line="162"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times the profit gained or loss avoided;</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(no matter how small the profit) of up to $1 million; and</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jail term of up to ten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company (as well as possibly any supervisory person) that fails to take appropriate steps to prevent illegal trading:</w:t>
      </w:r>
    </w:p>
    <w:p>
      <w:pPr>
        <w:spacing w:after="0" w:line="225"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the greater of $1 million or three times the profit gained or loss avoided as a result of the employee’s violation; and</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$2.5 million.</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Moreover, if an employee violates the Company’s insider trading policy, Company imposed sanctions, including dismissal for cause, could result from failing to comply with the Company’s policy or procedures. Needless to say, any of the above consequences, and even an SEC investigation that does not result in prosecution, can tarnish one’s reputation and irreparably damage a career.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Policy</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 director, officer or any employee has material non-public information relating to our Company, it is our policy that neither that person nor any related person may buy or sell securities of the Company or engage in any other action to take advantage of, or pass on to others, that information. This policy also applies to information relating to any other company, including our customers or suppliers, obtained in the course of employment.</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 xml:space="preserve">Transactions that may be necessary or justifiable for independent reasons (such as the need to raise money for an emergency expenditure) </w:t>
      </w:r>
      <w:r>
        <w:rPr>
          <w:rFonts w:ascii="Times New Roman" w:cs="Times New Roman" w:eastAsia="Times New Roman" w:hAnsi="Times New Roman"/>
          <w:sz w:val="18"/>
          <w:szCs w:val="18"/>
          <w:b w:val="1"/>
          <w:bCs w:val="1"/>
          <w:u w:val="single" w:color="auto"/>
          <w:color w:val="auto"/>
        </w:rPr>
        <w:t>are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exception</w:t>
      </w:r>
      <w:r>
        <w:rPr>
          <w:rFonts w:ascii="Times New Roman" w:cs="Times New Roman" w:eastAsia="Times New Roman" w:hAnsi="Times New Roman"/>
          <w:sz w:val="18"/>
          <w:szCs w:val="18"/>
          <w:color w:val="auto"/>
        </w:rPr>
        <w:t>. Even the appearance of an improper transaction must be avoided to preserve our reputation for adhering to the highest standards of conduct.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Material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information is any information that a reasonable investor would consider important in a decision to buy, hold or sell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short, any information which could reasonably affect the price of the stock is </w:t>
      </w:r>
      <w:r>
        <w:rPr>
          <w:rFonts w:ascii="Times New Roman" w:cs="Times New Roman" w:eastAsia="Times New Roman" w:hAnsi="Times New Roman"/>
          <w:sz w:val="18"/>
          <w:szCs w:val="18"/>
          <w:b w:val="1"/>
          <w:bCs w:val="1"/>
          <w:color w:val="auto"/>
        </w:rPr>
        <w:t>material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 Violet, Inc. Insider Trading Policy by Company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Examples. </w:t>
      </w:r>
      <w:r>
        <w:rPr>
          <w:rFonts w:ascii="Times New Roman" w:cs="Times New Roman" w:eastAsia="Times New Roman" w:hAnsi="Times New Roman"/>
          <w:sz w:val="18"/>
          <w:szCs w:val="18"/>
          <w:color w:val="auto"/>
        </w:rPr>
        <w:t>Common examples of information that will frequently be regarded as material are: earnings information, including projections of future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losses; sale of assets or the disposition of a subsidiary; changes in dividend policies or the declaration of a stock split or the offering of additional securities; changes in management; significant new services, impending bankruptcy or financial liquidity problems; and the gain or loss of a substantial customer or supplier. Either positive or negative information may be material.</w:t>
      </w:r>
    </w:p>
    <w:p>
      <w:pPr>
        <w:spacing w:after="0" w:line="18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Twenty-Twenty Hindsight. </w:t>
      </w:r>
      <w:r>
        <w:rPr>
          <w:rFonts w:ascii="Times New Roman" w:cs="Times New Roman" w:eastAsia="Times New Roman" w:hAnsi="Times New Roman"/>
          <w:sz w:val="18"/>
          <w:szCs w:val="18"/>
          <w:color w:val="auto"/>
        </w:rPr>
        <w:t>Remember, if your securities transactions become the subject of scrutiny, they will be viewed after-the-fact with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hindsight. As a result, before engaging in any transaction you should carefully consider how regulators and others might view your transaction in hindsight.</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Transactions by Family Members. </w:t>
      </w:r>
      <w:r>
        <w:rPr>
          <w:rFonts w:ascii="Times New Roman" w:cs="Times New Roman" w:eastAsia="Times New Roman" w:hAnsi="Times New Roman"/>
          <w:sz w:val="18"/>
          <w:szCs w:val="18"/>
          <w:color w:val="auto"/>
        </w:rPr>
        <w:t>The very same restrictions apply to your family members and others living in your household. Employees are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responsible for the compliance of their immediate family and personal household.</w:t>
      </w:r>
    </w:p>
    <w:p>
      <w:pPr>
        <w:spacing w:after="0" w:line="158"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Tipping Information to Others. </w:t>
      </w:r>
      <w:r>
        <w:rPr>
          <w:rFonts w:ascii="Times New Roman" w:cs="Times New Roman" w:eastAsia="Times New Roman" w:hAnsi="Times New Roman"/>
          <w:sz w:val="18"/>
          <w:szCs w:val="18"/>
          <w:color w:val="auto"/>
        </w:rPr>
        <w:t>Whether the information is proprietary information about our Company or information that could have an impact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price, employees must not pass the information on to others. In fact, the SEC has imposed monetary penalties on tippers even though they did not profit from trading.</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When Information is Public. </w:t>
      </w:r>
      <w:r>
        <w:rPr>
          <w:rFonts w:ascii="Times New Roman" w:cs="Times New Roman" w:eastAsia="Times New Roman" w:hAnsi="Times New Roman"/>
          <w:sz w:val="18"/>
          <w:szCs w:val="18"/>
          <w:color w:val="auto"/>
        </w:rPr>
        <w:t>As you can appreciate, it is also improper for an officer, director or employee to enter a trade immediately after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made a public announcement of material information, including quarterly earnings releases. Because the Company’s shareholders and the investing public should be afforded the time to receive the information, as a general rule you should not engage in any transactions until at least one business day after the information has been released.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All Trades by Directors, Officers and Employees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All transactions in Company stock (acquisitions, dispositions, transfers, etc.) by directors, officers or any employee must be pre-cleared by the Company’s Chief Financial Officer or his designee. If you contemplate a transaction, you should contact the Company’s Chief Financial Officer in advance at ####. In the absence of the Company’s Chief Financial Officer, the Company’s CEO shall have the authority to approve securities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Prohibited Transactions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Because we believe it is improper and inappropriate for any Company personnel to engage in short-term or speculative transactions involving Company stock, it is the Company’s policy that directors, officers and employees with access to confidential business or financial information should not engage in any of the following activities with respect to securities of the Company:</w:t>
      </w:r>
    </w:p>
    <w:p>
      <w:pPr>
        <w:spacing w:after="0" w:line="176"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Company securities on a short-term basis.</w:t>
      </w:r>
    </w:p>
    <w:p>
      <w:pPr>
        <w:spacing w:after="0" w:line="225" w:lineRule="exact"/>
        <w:rPr>
          <w:rFonts w:ascii="Times New Roman" w:cs="Times New Roman" w:eastAsia="Times New Roman" w:hAnsi="Times New Roman"/>
          <w:sz w:val="18"/>
          <w:szCs w:val="18"/>
          <w:color w:val="auto"/>
        </w:rPr>
      </w:pPr>
    </w:p>
    <w:p>
      <w:pPr>
        <w:ind w:left="760" w:right="240" w:hanging="378"/>
        <w:spacing w:after="0" w:line="261"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stock purchased in the open market must be held for a minimum of six months and ideally longer. (Note that the SEC’s short-swing rule already prevents officers and directors from selling any Company stock within six months of a purchase. We are simply expanding this rule to all employees with access to confidential business or financial information. However, the rule does not apply to stock option exercises, except to the extent required for officers and directors.)</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Company stock on margin.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stock in a margin account.</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short sales.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puts or calls.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no director, officer or employee may trade in the Company’s securities during any period which the Company has designated as a limited or restricted trading period, whether or not such person possesses any material information about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Assistance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person who has any questions about specific transactions may obtain additional guidance from the Company’s Chief Financial Officer at #### (email: ####). Remember, however, the ultimate responsibility for adhering to the Insider Trading Policy and avoiding improper transactions rests with you. In this regard, it is imperative that you use your best judgment.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 Violet, Inc. Insider Trading Policy by Company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Employees will be required to certify their understanding of and intent to comply with this Insider Trading Policy. Officers and directors and other key employees may be required to certify their compliance on an annual basis.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 Violet, Inc. Insider Trading Policy by Company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97" w:right="659" w:bottom="1440" w:gutter="0" w:footer="0" w:header="0"/>
        </w:sectPr>
      </w:pPr>
    </w:p>
    <w:bookmarkStart w:id="70" w:name="page71"/>
    <w:bookmarkEnd w:id="70"/>
    <w:p>
      <w:pPr>
        <w:ind w:left="1980"/>
        <w:spacing w:after="0"/>
        <w:rPr>
          <w:sz w:val="20"/>
          <w:szCs w:val="20"/>
          <w:color w:val="auto"/>
        </w:rPr>
      </w:pPr>
      <w:r>
        <w:rPr>
          <w:rFonts w:ascii="Times New Roman" w:cs="Times New Roman" w:eastAsia="Times New Roman" w:hAnsi="Times New Roman"/>
          <w:sz w:val="18"/>
          <w:szCs w:val="18"/>
          <w:b w:val="1"/>
          <w:bCs w:val="1"/>
          <w:u w:val="single" w:color="auto"/>
          <w:color w:val="auto"/>
        </w:rPr>
        <w:t>EMPLOYEE AND DIRECTOR ACKNOWLEDGEMENT OF INSIDER TRADING POLICY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Certification of the Company’s Insider Trading Policy by Company Personnel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Employee, Officer or Director: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Enclosed is a copy of the Company’s Insider Trading Policy covering securities trades by Company personnel. As you will see from the Statement, the consequences of an insider trading violation can be devastating to both the individual involved and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take a few minutes right now to read the enclosed Insider Trading Policy, and then sign and return the attached copy of this letter.</w:t>
      </w:r>
    </w:p>
    <w:p>
      <w:pPr>
        <w:spacing w:after="0" w:line="2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Red Violet, Inc.</w:t>
      </w:r>
    </w:p>
    <w:p>
      <w:pPr>
        <w:spacing w:after="0" w:line="200" w:lineRule="exact"/>
        <w:rPr>
          <w:sz w:val="20"/>
          <w:szCs w:val="20"/>
          <w:color w:val="auto"/>
        </w:rPr>
      </w:pPr>
    </w:p>
    <w:p>
      <w:pPr>
        <w:spacing w:after="0" w:line="2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Name:_________________________</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Title:__________________________</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he/she has read and understands, and agrees to comply with, the Company’s Insider Trading Policy by Company Personnel, a copy of which was distributed with this letter.</w:t>
      </w:r>
    </w:p>
    <w:p>
      <w:pPr>
        <w:spacing w:after="0" w:line="18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Date:_____________________</w:t>
      </w:r>
      <w:r>
        <w:rPr>
          <w:sz w:val="20"/>
          <w:szCs w:val="20"/>
          <w:color w:val="auto"/>
        </w:rPr>
        <w:tab/>
      </w:r>
      <w:r>
        <w:rPr>
          <w:rFonts w:ascii="Times New Roman" w:cs="Times New Roman" w:eastAsia="Times New Roman" w:hAnsi="Times New Roman"/>
          <w:sz w:val="18"/>
          <w:szCs w:val="18"/>
          <w:color w:val="auto"/>
        </w:rPr>
        <w:t>Signature:__________________________</w:t>
      </w:r>
    </w:p>
    <w:p>
      <w:pPr>
        <w:spacing w:after="0" w:line="200" w:lineRule="exact"/>
        <w:rPr>
          <w:sz w:val="20"/>
          <w:szCs w:val="20"/>
          <w:color w:val="auto"/>
        </w:rPr>
      </w:pPr>
    </w:p>
    <w:p>
      <w:pPr>
        <w:spacing w:after="0" w:line="29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Name:_____________________________</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Please Print</w:t>
      </w:r>
    </w:p>
    <w:p>
      <w:pPr>
        <w:spacing w:after="0" w:line="200" w:lineRule="exact"/>
        <w:rPr>
          <w:sz w:val="20"/>
          <w:szCs w:val="20"/>
          <w:color w:val="auto"/>
        </w:rPr>
      </w:pPr>
    </w:p>
    <w:p>
      <w:pPr>
        <w:spacing w:after="0" w:line="2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Department:_________________________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 Violet, Inc. Insider Trading Policy by Company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81" w:right="6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678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36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91"/>
        </w:trPr>
        <w:tc>
          <w:tcPr>
            <w:tcW w:w="4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IDI Holdings,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LLC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 Violet Technologies, LLC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IDI Verified, LLC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Forewarn, LLC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 Violet Blockchain and Analytical Solutions, LLC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Whoodle, LLC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HolSol, LLC</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1627"/>
        </w:trPr>
        <w:tc>
          <w:tcPr>
            <w:tcW w:w="4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February 27, 2025, with respect to the consolidated financial statements included in the Annual Report of Red Violet, Inc. on Form 10-K for the year ended December 31, 2024. We consent to the incorporation by reference of said report in the Registration Statements of Red Violet, Inc. on Form S-8 (File No. 333-224147, File No. 333-238947 and File No. 333-265289).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25" w:lineRule="exact"/>
        <w:rPr>
          <w:sz w:val="20"/>
          <w:szCs w:val="20"/>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3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3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380" w:hanging="514"/>
        <w:spacing w:after="0" w:line="312" w:lineRule="auto"/>
        <w:tabs>
          <w:tab w:leader="none" w:pos="139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71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16"/>
        </w:trPr>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11"/>
        </w:trPr>
        <w:tc>
          <w:tcPr>
            <w:tcW w:w="40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25" w:lineRule="exact"/>
        <w:rPr>
          <w:sz w:val="20"/>
          <w:szCs w:val="20"/>
          <w:color w:val="auto"/>
        </w:rPr>
      </w:pPr>
    </w:p>
    <w:p>
      <w:pPr>
        <w:ind w:left="900" w:hanging="35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Red Violet, Inc.;</w:t>
      </w:r>
    </w:p>
    <w:p>
      <w:pPr>
        <w:spacing w:after="0" w:line="225"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100" w:hanging="479"/>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3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40" w:hanging="514"/>
        <w:spacing w:after="0" w:line="266" w:lineRule="auto"/>
        <w:tabs>
          <w:tab w:leader="none" w:pos="13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3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3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380" w:hanging="514"/>
        <w:spacing w:after="0" w:line="312" w:lineRule="auto"/>
        <w:tabs>
          <w:tab w:leader="none" w:pos="139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540" w:right="60" w:hanging="514"/>
        <w:spacing w:after="0" w:line="282" w:lineRule="auto"/>
        <w:tabs>
          <w:tab w:leader="none" w:pos="13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2025</w:t>
            </w:r>
          </w:p>
        </w:tc>
        <w:tc>
          <w:tcPr>
            <w:tcW w:w="71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11"/>
        </w:trPr>
        <w:tc>
          <w:tcPr>
            <w:tcW w:w="40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2024,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20" w:hanging="479"/>
        <w:spacing w:after="0" w:line="282" w:lineRule="auto"/>
        <w:tabs>
          <w:tab w:leader="none" w:pos="8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71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Derek Dubner</w:t>
            </w:r>
          </w:p>
        </w:tc>
      </w:tr>
      <w:tr>
        <w:trPr>
          <w:trHeight w:val="191"/>
        </w:trPr>
        <w:tc>
          <w:tcPr>
            <w:tcW w:w="4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Derek Dubner</w:t>
            </w:r>
          </w:p>
        </w:tc>
      </w:tr>
      <w:tr>
        <w:trPr>
          <w:trHeight w:val="229"/>
        </w:trPr>
        <w:tc>
          <w:tcPr>
            <w:tcW w:w="40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6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Red Violet, Inc. for the fiscal year ended December 31, 2024, as filed with the U.S. Securities and Exchange Commission (the “Report”), the undersigned hereby certifies pursuant to 18 U.S.C. Section 1350, as adopted pursuant to Section 906 of the Sarbanes-Oxley Act of 2002, to my knowledge and belief, that:</w:t>
      </w:r>
    </w:p>
    <w:p>
      <w:pPr>
        <w:spacing w:after="0" w:line="176" w:lineRule="exact"/>
        <w:rPr>
          <w:sz w:val="20"/>
          <w:szCs w:val="20"/>
          <w:color w:val="auto"/>
        </w:rPr>
      </w:pPr>
    </w:p>
    <w:p>
      <w:pPr>
        <w:ind w:left="900" w:hanging="35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120" w:hanging="479"/>
        <w:spacing w:after="0" w:line="282" w:lineRule="auto"/>
        <w:tabs>
          <w:tab w:leader="none" w:pos="8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71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Daniel MacLachlan</w:t>
            </w:r>
          </w:p>
        </w:tc>
      </w:tr>
      <w:tr>
        <w:trPr>
          <w:trHeight w:val="191"/>
        </w:trPr>
        <w:tc>
          <w:tcPr>
            <w:tcW w:w="4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Daniel MacLachlan</w:t>
            </w:r>
          </w:p>
        </w:tc>
      </w:tr>
      <w:tr>
        <w:trPr>
          <w:trHeight w:val="216"/>
        </w:trPr>
        <w:tc>
          <w:tcPr>
            <w:tcW w:w="4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5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Letter"/>
      <w:start w:val="17"/>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27"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302" Type="http://schemas.openxmlformats.org/officeDocument/2006/relationships/hyperlink" Target="https://www.sec.gov/Archives/edgar/data/1720116/000119312518062230/d528710dex21.htm" TargetMode="External"/><Relationship Id="rId303" Type="http://schemas.openxmlformats.org/officeDocument/2006/relationships/hyperlink" Target="https://www.sec.gov/Archives/edgar/data/1720116/000119312518097860/d559011dex31.htm" TargetMode="External"/><Relationship Id="rId304" Type="http://schemas.openxmlformats.org/officeDocument/2006/relationships/hyperlink" Target="https://www.sec.gov/Archives/edgar/data/1720116/000119312518097860/d559011dex32.htm" TargetMode="External"/><Relationship Id="rId305" Type="http://schemas.openxmlformats.org/officeDocument/2006/relationships/hyperlink" Target="https://www.sec.gov/Archives/edgar/data/0001720116/000156459020010508/rdvt-ex41_144.htm" TargetMode="External"/><Relationship Id="rId306" Type="http://schemas.openxmlformats.org/officeDocument/2006/relationships/hyperlink" Target="https://www.sec.gov/Archives/edgar/data/1720116/000119312518062230/d528710dex102.htm" TargetMode="External"/><Relationship Id="rId307" Type="http://schemas.openxmlformats.org/officeDocument/2006/relationships/hyperlink" Target="https://www.sec.gov/Archives/edgar/data/1720116/000119312518097860/d559011dex102.htm" TargetMode="External"/><Relationship Id="rId308" Type="http://schemas.openxmlformats.org/officeDocument/2006/relationships/hyperlink" Target="https://www.sec.gov/Archives/edgar/data/1720116/000119312518097860/d559011dex103.htm" TargetMode="External"/><Relationship Id="rId309" Type="http://schemas.openxmlformats.org/officeDocument/2006/relationships/hyperlink" Target="https://www.sec.gov/Archives/edgar/data/1720116/000119312518097860/d559011dex104.htm" TargetMode="External"/><Relationship Id="rId310" Type="http://schemas.openxmlformats.org/officeDocument/2006/relationships/hyperlink" Target="https://www.sec.gov/Archives/edgar/data/1720116/000119312518097860/d559011dex105.htm" TargetMode="External"/><Relationship Id="rId311" Type="http://schemas.openxmlformats.org/officeDocument/2006/relationships/hyperlink" Target="https://www.sec.gov/Archives/edgar/data/1720116/000119312518097860/d559011dex106.htm" TargetMode="External"/><Relationship Id="rId312" Type="http://schemas.openxmlformats.org/officeDocument/2006/relationships/hyperlink" Target="https://www.sec.gov/Archives/edgar/data/1720116/000156459018028035/rdvt-ex102_85.htm" TargetMode="External"/><Relationship Id="rId313" Type="http://schemas.openxmlformats.org/officeDocument/2006/relationships/hyperlink" Target="https://www.sec.gov/Archives/edgar/data/1720116/000156459019028779/rdvt-ex101_12.htm" TargetMode="External"/><Relationship Id="rId314" Type="http://schemas.openxmlformats.org/officeDocument/2006/relationships/hyperlink" Target="https://www.sec.gov/Archives/edgar/data/1720116/000156459020010508/rdvt-ex1013_193.htm" TargetMode="External"/><Relationship Id="rId315" Type="http://schemas.openxmlformats.org/officeDocument/2006/relationships/hyperlink" Target="https://www.sec.gov/Archives/edgar/data/1720116/000156459020028399/rdvt-ex101_6.htm" TargetMode="External"/><Relationship Id="rId316" Type="http://schemas.openxmlformats.org/officeDocument/2006/relationships/hyperlink" Target="https://www.sec.gov/Archives/edgar/data/0001720116/000156459021012098/rdvt-ex1015_19.htm" TargetMode="External"/><Relationship Id="rId317" Type="http://schemas.openxmlformats.org/officeDocument/2006/relationships/hyperlink" Target="https://www.sec.gov/Archives/edgar/data/0001720116/000156459021012098/rdvt-ex1016_18.htm" TargetMode="External"/><Relationship Id="rId318" Type="http://schemas.openxmlformats.org/officeDocument/2006/relationships/hyperlink" Target="https://www.sec.gov/Archives/edgar/data/0001720116/000156459021012098/rdvt-ex1017_16.htm" TargetMode="External"/><Relationship Id="rId319" Type="http://schemas.openxmlformats.org/officeDocument/2006/relationships/hyperlink" Target="https://www.sec.gov/Archives/edgar/data/0001720116/000156459021012098/rdvt-ex1018_17.htm" TargetMode="External"/><Relationship Id="rId320" Type="http://schemas.openxmlformats.org/officeDocument/2006/relationships/hyperlink" Target="https://www.sec.gov/Archives/edgar/data/0001720116/000095017021004778/rdvt-ex10_1.htm" TargetMode="External"/><Relationship Id="rId321" Type="http://schemas.openxmlformats.org/officeDocument/2006/relationships/hyperlink" Target="https://www.sec.gov/Archives/edgar/data/1720116/000095017022010778/rdvt-ex10_1.htm" TargetMode="External"/><Relationship Id="rId322" Type="http://schemas.openxmlformats.org/officeDocument/2006/relationships/hyperlink" Target="https://www.sec.gov/Archives/edgar/data/1720116/000095017023039142/rdvt-ex10_1.htm" TargetMode="External"/><Relationship Id="rId323" Type="http://schemas.openxmlformats.org/officeDocument/2006/relationships/hyperlink" Target="https://www.sec.gov/Archives/edgar/data/1720116/000095017023039142/rdvt-ex10_2.htm" TargetMode="External"/><Relationship Id="rId324" Type="http://schemas.openxmlformats.org/officeDocument/2006/relationships/hyperlink" Target="https://www.sec.gov/Archives/edgar/data/1720116/000095017023039142/rdvt-ex10_3.htm" TargetMode="External"/><Relationship Id="rId325" Type="http://schemas.openxmlformats.org/officeDocument/2006/relationships/hyperlink" Target="https://www.sec.gov/Archives/edgar/data/1720116/000095017023039142/rdvt-ex10_4.htm" TargetMode="External"/><Relationship Id="rId326" Type="http://schemas.openxmlformats.org/officeDocument/2006/relationships/hyperlink" Target="https://www.sec.gov/Archives/edgar/data/1720116/000095017024055855/rdvt-ex10_1.htm" TargetMode="External"/><Relationship Id="rId328" Type="http://schemas.openxmlformats.org/officeDocument/2006/relationships/hyperlink" Target="https://www.sec.gov/Archives/edgar/data/1720116/000095017024028115/rdv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2025-02-27T17:14:52Z</dcterms:created>
  <dcterms:modified xsi:type="dcterms:W3CDTF">2025-02-27T17:14:52Z</dcterms:modified>
</cp:coreProperties>
</file>