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72"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Arial" w:cs="Arial" w:eastAsia="Arial" w:hAnsi="Arial"/>
          <w:sz w:val="18"/>
          <w:szCs w:val="18"/>
          <w:b w:val="1"/>
          <w:bCs w:val="1"/>
          <w:color w:val="auto"/>
        </w:rPr>
        <w:t>For the quarterly period ended June 30, 2021</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r>
        <w:trPr>
          <w:trHeight w:val="345"/>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2"/>
          </w:tcPr>
          <w:p>
            <w:pPr>
              <w:ind w:left="780"/>
              <w:spacing w:after="0"/>
              <w:rPr>
                <w:sz w:val="20"/>
                <w:szCs w:val="20"/>
                <w:color w:val="auto"/>
              </w:rPr>
            </w:pPr>
            <w:r>
              <w:rPr>
                <w:rFonts w:ascii="Arial" w:cs="Arial" w:eastAsia="Arial" w:hAnsi="Arial"/>
                <w:sz w:val="18"/>
                <w:szCs w:val="18"/>
                <w:b w:val="1"/>
                <w:bCs w:val="1"/>
                <w:color w:val="auto"/>
                <w:w w:val="8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RED VIOLET, INC.</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sectPr>
      </w:pPr>
    </w:p>
    <w:p>
      <w:pPr>
        <w:spacing w:after="0" w:line="19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82-2408531</w:t>
      </w:r>
    </w:p>
    <w:p>
      <w:pPr>
        <w:spacing w:after="0" w:line="82" w:lineRule="exact"/>
        <w:rPr>
          <w:sz w:val="24"/>
          <w:szCs w:val="24"/>
          <w:color w:val="auto"/>
        </w:rPr>
      </w:pPr>
    </w:p>
    <w:p>
      <w:pPr>
        <w:sectPr>
          <w:pgSz w:w="11900" w:h="16838" w:orient="portrait"/>
          <w:cols w:equalWidth="0" w:num="2">
            <w:col w:w="7340" w:space="720"/>
            <w:col w:w="3060"/>
          </w:cols>
          <w:pgMar w:left="320" w:top="373" w:right="45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98" w:lineRule="exact"/>
        <w:rPr>
          <w:sz w:val="24"/>
          <w:szCs w:val="24"/>
          <w:color w:val="auto"/>
        </w:rPr>
      </w:pPr>
    </w:p>
    <w:p>
      <w:pPr>
        <w:sectPr>
          <w:pgSz w:w="11900" w:h="16838" w:orient="portrait"/>
          <w:cols w:equalWidth="0" w:num="2">
            <w:col w:w="6680" w:space="720"/>
            <w:col w:w="3720"/>
          </w:cols>
          <w:pgMar w:left="320" w:top="373"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2650 North Military Trail, Suite 300, Boca Raton, Florida 33431</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(561) 757-4000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56515</wp:posOffset>
            </wp:positionV>
            <wp:extent cx="226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2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3"/>
                <w:szCs w:val="13"/>
                <w:color w:val="auto"/>
              </w:rPr>
              <w:t>Name of each exchange on which registered</w:t>
            </w:r>
          </w:p>
        </w:tc>
      </w:tr>
      <w:tr>
        <w:trPr>
          <w:trHeight w:val="196"/>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2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The NASDAQ Stock Market LLC</w:t>
            </w:r>
          </w:p>
        </w:tc>
      </w:tr>
    </w:tbl>
    <w:p>
      <w:pPr>
        <w:spacing w:after="0" w:line="94"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2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4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6, 2021, the registrant had 12,775,415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4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440" w:type="dxa"/>
            <w:vAlign w:val="bottom"/>
            <w:gridSpan w:val="21"/>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02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June 30, 2021 and December 31, 2020</w:t>
              </w:r>
            </w:hyperlink>
          </w:p>
        </w:tc>
        <w:tc>
          <w:tcPr>
            <w:tcW w:w="3360" w:type="dxa"/>
            <w:vAlign w:val="bottom"/>
            <w:gridSpan w:val="5"/>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2021 and 2020</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19"/>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changes in shareholders' equity for the three and six months ended June 30, 2021 and</w:t>
              </w:r>
            </w:hyperlink>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0" w:type="dxa"/>
            <w:vAlign w:val="bottom"/>
            <w:gridSpan w:val="2"/>
          </w:tcPr>
          <w:p>
            <w:pPr>
              <w:ind w:left="20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2021 and 2020</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280" w:type="dxa"/>
            <w:vAlign w:val="bottom"/>
            <w:tcBorders>
              <w:top w:val="single" w:sz="8" w:color="0000EE"/>
            </w:tcBorders>
            <w:gridSpan w:val="5"/>
          </w:tcPr>
          <w:p>
            <w:pPr>
              <w:spacing w:after="0"/>
              <w:rPr>
                <w:sz w:val="20"/>
                <w:szCs w:val="20"/>
                <w:color w:val="auto"/>
              </w:rPr>
            </w:pPr>
          </w:p>
        </w:tc>
        <w:tc>
          <w:tcPr>
            <w:tcW w:w="2280" w:type="dxa"/>
            <w:vAlign w:val="bottom"/>
            <w:gridSpan w:val="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260" w:type="dxa"/>
            <w:vAlign w:val="bottom"/>
          </w:tcPr>
          <w:p>
            <w:pPr>
              <w:spacing w:after="0"/>
              <w:rPr>
                <w:sz w:val="20"/>
                <w:szCs w:val="20"/>
                <w:color w:val="auto"/>
              </w:rPr>
            </w:pPr>
          </w:p>
        </w:tc>
        <w:tc>
          <w:tcPr>
            <w:tcW w:w="6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Management's Discussion and Analysis of Financial Condition and Results of Operations</w:t>
              </w:r>
            </w:hyperlink>
          </w:p>
        </w:tc>
        <w:tc>
          <w:tcPr>
            <w:tcW w:w="2960" w:type="dxa"/>
            <w:vAlign w:val="bottom"/>
            <w:gridSpan w:val="4"/>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260" w:type="dxa"/>
            <w:vAlign w:val="bottom"/>
          </w:tcPr>
          <w:p>
            <w:pPr>
              <w:spacing w:after="0"/>
              <w:rPr>
                <w:sz w:val="20"/>
                <w:szCs w:val="20"/>
                <w:color w:val="auto"/>
              </w:rPr>
            </w:pPr>
          </w:p>
        </w:tc>
        <w:tc>
          <w:tcPr>
            <w:tcW w:w="43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Quantitative and Qualitative Disclosures About Market Risk</w:t>
              </w:r>
            </w:hyperlink>
          </w:p>
        </w:tc>
        <w:tc>
          <w:tcPr>
            <w:tcW w:w="5040" w:type="dxa"/>
            <w:vAlign w:val="bottom"/>
            <w:gridSpan w:val="6"/>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60" w:type="dxa"/>
            <w:vAlign w:val="bottom"/>
          </w:tcPr>
          <w:p>
            <w:pPr>
              <w:spacing w:after="0"/>
              <w:rPr>
                <w:sz w:val="20"/>
                <w:szCs w:val="20"/>
                <w:color w:val="auto"/>
              </w:rPr>
            </w:pPr>
          </w:p>
        </w:tc>
        <w:tc>
          <w:tcPr>
            <w:tcW w:w="93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PART II - OTHER INFORMATION</w:t>
              </w:r>
            </w:hyperlink>
          </w:p>
        </w:tc>
        <w:tc>
          <w:tcPr>
            <w:tcW w:w="780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260" w:type="dxa"/>
            <w:vAlign w:val="bottom"/>
          </w:tcPr>
          <w:p>
            <w:pPr>
              <w:spacing w:after="0"/>
              <w:rPr>
                <w:sz w:val="20"/>
                <w:szCs w:val="20"/>
                <w:color w:val="auto"/>
              </w:rPr>
            </w:pPr>
          </w:p>
        </w:tc>
        <w:tc>
          <w:tcPr>
            <w:tcW w:w="8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1"/>
              </w:rPr>
            </w:pPr>
            <w:hyperlink w:anchor="page23">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0"/>
                <w:szCs w:val="20"/>
                <w:color w:val="auto"/>
              </w:rPr>
            </w:pPr>
          </w:p>
        </w:tc>
        <w:tc>
          <w:tcPr>
            <w:tcW w:w="8080" w:type="dxa"/>
            <w:vAlign w:val="bottom"/>
            <w:gridSpan w:val="14"/>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260" w:type="dxa"/>
            <w:vAlign w:val="bottom"/>
          </w:tcPr>
          <w:p>
            <w:pPr>
              <w:spacing w:after="0"/>
              <w:rPr>
                <w:sz w:val="20"/>
                <w:szCs w:val="20"/>
                <w:color w:val="auto"/>
              </w:rPr>
            </w:pPr>
          </w:p>
        </w:tc>
        <w:tc>
          <w:tcPr>
            <w:tcW w:w="934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260" w:type="dxa"/>
            <w:vAlign w:val="bottom"/>
          </w:tcPr>
          <w:p>
            <w:pPr>
              <w:spacing w:after="0"/>
              <w:rPr>
                <w:sz w:val="20"/>
                <w:szCs w:val="20"/>
                <w:color w:val="auto"/>
              </w:rPr>
            </w:pPr>
          </w:p>
        </w:tc>
        <w:tc>
          <w:tcPr>
            <w:tcW w:w="2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Defaults Upon Senior Securities</w:t>
              </w:r>
            </w:hyperlink>
          </w:p>
        </w:tc>
        <w:tc>
          <w:tcPr>
            <w:tcW w:w="2020" w:type="dxa"/>
            <w:vAlign w:val="bottom"/>
            <w:tcBorders>
              <w:top w:val="single" w:sz="8" w:color="0000EE"/>
            </w:tcBorders>
            <w:gridSpan w:val="3"/>
          </w:tcPr>
          <w:p>
            <w:pPr>
              <w:spacing w:after="0"/>
              <w:rPr>
                <w:sz w:val="20"/>
                <w:szCs w:val="20"/>
                <w:color w:val="auto"/>
              </w:rPr>
            </w:pPr>
          </w:p>
        </w:tc>
        <w:tc>
          <w:tcPr>
            <w:tcW w:w="5060" w:type="dxa"/>
            <w:vAlign w:val="bottom"/>
            <w:gridSpan w:val="7"/>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60" w:type="dxa"/>
            <w:vAlign w:val="bottom"/>
          </w:tcPr>
          <w:p>
            <w:pPr>
              <w:spacing w:after="0"/>
              <w:rPr>
                <w:sz w:val="20"/>
                <w:szCs w:val="20"/>
                <w:color w:val="auto"/>
              </w:rPr>
            </w:pPr>
          </w:p>
        </w:tc>
        <w:tc>
          <w:tcPr>
            <w:tcW w:w="934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w:t>
              </w:r>
            </w:hyperlink>
            <w:r>
              <w:rPr>
                <w:rFonts w:ascii="Arial" w:cs="Arial" w:eastAsia="Arial" w:hAnsi="Arial"/>
                <w:sz w:val="18"/>
                <w:szCs w:val="18"/>
                <w:color w:val="000000"/>
              </w:rPr>
              <w:t>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260" w:type="dxa"/>
            <w:vAlign w:val="bottom"/>
          </w:tcPr>
          <w:p>
            <w:pPr>
              <w:spacing w:after="0"/>
              <w:rPr>
                <w:sz w:val="20"/>
                <w:szCs w:val="20"/>
                <w:color w:val="auto"/>
              </w:rPr>
            </w:pPr>
          </w:p>
        </w:tc>
        <w:tc>
          <w:tcPr>
            <w:tcW w:w="1700" w:type="dxa"/>
            <w:vAlign w:val="bottom"/>
            <w:tcBorders>
              <w:top w:val="single" w:sz="8" w:color="0000EE"/>
            </w:tcBorders>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7640" w:type="dxa"/>
            <w:vAlign w:val="bottom"/>
            <w:gridSpan w:val="12"/>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260" w:type="dxa"/>
            <w:vAlign w:val="bottom"/>
          </w:tcPr>
          <w:p>
            <w:pPr>
              <w:spacing w:after="0"/>
              <w:rPr>
                <w:sz w:val="20"/>
                <w:szCs w:val="20"/>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2"/>
              </w:rPr>
            </w:pPr>
            <w:hyperlink w:anchor="page24">
              <w:r>
                <w:rPr>
                  <w:rFonts w:ascii="Arial" w:cs="Arial" w:eastAsia="Arial" w:hAnsi="Arial"/>
                  <w:sz w:val="18"/>
                  <w:szCs w:val="18"/>
                  <w:color w:val="0000EE"/>
                  <w:w w:val="82"/>
                </w:rPr>
                <w:t>Exhibits</w:t>
              </w:r>
            </w:hyperlink>
          </w:p>
        </w:tc>
        <w:tc>
          <w:tcPr>
            <w:tcW w:w="700" w:type="dxa"/>
            <w:vAlign w:val="bottom"/>
            <w:tcBorders>
              <w:top w:val="single" w:sz="8" w:color="0000EE"/>
            </w:tcBorders>
            <w:gridSpan w:val="2"/>
          </w:tcPr>
          <w:p>
            <w:pPr>
              <w:spacing w:after="0"/>
              <w:rPr>
                <w:sz w:val="20"/>
                <w:szCs w:val="20"/>
                <w:color w:val="auto"/>
              </w:rPr>
            </w:pPr>
          </w:p>
        </w:tc>
        <w:tc>
          <w:tcPr>
            <w:tcW w:w="8100" w:type="dxa"/>
            <w:vAlign w:val="bottom"/>
            <w:gridSpan w:val="15"/>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31"/>
        </w:trPr>
        <w:tc>
          <w:tcPr>
            <w:tcW w:w="1044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15"/>
        </w:trPr>
        <w:tc>
          <w:tcPr>
            <w:tcW w:w="8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120" w:type="dxa"/>
            <w:vAlign w:val="bottom"/>
            <w:shd w:val="clear" w:color="auto" w:fill="CFF0FC"/>
          </w:tcPr>
          <w:p>
            <w:pPr>
              <w:spacing w:after="0"/>
              <w:rPr>
                <w:sz w:val="19"/>
                <w:szCs w:val="19"/>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$11 and $38 as of</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June 30, 2021 and December 31, 2020,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0"/>
                <w:szCs w:val="20"/>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18,566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16,739</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27,170</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54,232</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20" w:type="dxa"/>
            <w:vAlign w:val="bottom"/>
            <w:tcBorders>
              <w:bottom w:val="single" w:sz="8" w:color="CFF0FC"/>
            </w:tcBorders>
          </w:tcPr>
          <w:p>
            <w:pPr>
              <w:spacing w:after="0"/>
              <w:rPr>
                <w:sz w:val="22"/>
                <w:szCs w:val="22"/>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June 30, 2021 and December 31, 2020</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12,248,794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12,167,327 shares issued and outstanding, as of June 30, 2021 and December 31, 2020</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(21,490)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(22,673)</w:t>
            </w:r>
          </w:p>
        </w:tc>
      </w:tr>
      <w:tr>
        <w:trPr>
          <w:trHeight w:val="223"/>
        </w:trPr>
        <w:tc>
          <w:tcPr>
            <w:tcW w:w="7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54,232</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2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6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extinguishment of debt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12,269,412</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11,617,342</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12,238,475</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11,600,278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13,560,714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11,617,342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13,487,806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11,600,278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2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9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11,693,162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61,996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14,667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(2,532)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11,707,829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12,208,077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(23,251)</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40,717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2021</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12,248,794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70,911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60" w:type="dxa"/>
            <w:vAlign w:val="bottom"/>
          </w:tcPr>
          <w:p>
            <w:pPr>
              <w:spacing w:after="0"/>
              <w:rPr>
                <w:sz w:val="24"/>
                <w:szCs w:val="24"/>
                <w:color w:val="auto"/>
              </w:rPr>
            </w:pPr>
          </w:p>
        </w:tc>
        <w:tc>
          <w:tcPr>
            <w:tcW w:w="22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9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11,657,912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49,917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11,707,829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12,167,327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(22,673)</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81,467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2021</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12,248,794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70,911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1,183</w:t>
            </w:r>
          </w:p>
        </w:tc>
        <w:tc>
          <w:tcPr>
            <w:tcW w:w="2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(2,175)</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(684)</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(657)</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(685)</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(155)</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(2,420)</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(2,575)</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loan</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12,957</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13,915</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13,782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18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accompanying unaudited condensed consolidated financial statements of Red Violet, Inc. (“red violet” or the “Company”), a Delaware corporation, have been prepared in accordance with accounting principles generally accepted in the United States (“GAAP”) and applicable rules and regulations of the Securities and Exchange Commission (the “SEC”) regarding interim financial reporting. Certain information and note disclosures normally included in annual financial statements prepared in accordance with GAAP have been condensed or omitted pursuant to those rules and regulations.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2021.</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2020 (“Form 10-K”).</w:t>
      </w:r>
    </w:p>
    <w:p>
      <w:pPr>
        <w:spacing w:after="0" w:line="1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included in the Form 10-K, but does not include all disclosures required by GAAP.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(loss) per share</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of common stock outstanding during the periods. Diluted earnings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16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(2,532)</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1,183</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12,269,412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11,617,342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12,238,475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13,560,714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11,617,342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13,487,806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11,600,278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(loss) per share:</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0"/>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4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1620" w:type="dxa"/>
            <w:vAlign w:val="bottom"/>
            <w:gridSpan w:val="2"/>
          </w:tcPr>
          <w:p>
            <w:pPr>
              <w:jc w:val="right"/>
              <w:ind w:right="147"/>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380" w:right="22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total of 2,189,910 unvested restricted stock units (“RSUs”) have been excluded from the diluted loss per share for the three and six months ended June 30, 2020, as the impact is anti-dilutive.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2021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127"/>
              <w:spacing w:after="0"/>
              <w:rPr>
                <w:sz w:val="20"/>
                <w:szCs w:val="20"/>
                <w:color w:val="auto"/>
              </w:rPr>
            </w:pPr>
            <w:r>
              <w:rPr>
                <w:rFonts w:ascii="Arial" w:cs="Arial" w:eastAsia="Arial" w:hAnsi="Arial"/>
                <w:sz w:val="14"/>
                <w:szCs w:val="14"/>
                <w:b w:val="1"/>
                <w:bCs w:val="1"/>
                <w:color w:val="auto"/>
                <w:w w:val="91"/>
              </w:rPr>
              <w:t>December 31, 2020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7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20" w:type="dxa"/>
            <w:vAlign w:val="bottom"/>
            <w:gridSpan w:val="4"/>
          </w:tcPr>
          <w:p>
            <w:pPr>
              <w:jc w:val="center"/>
              <w:ind w:right="367"/>
              <w:spacing w:after="0" w:line="133" w:lineRule="exact"/>
              <w:rPr>
                <w:sz w:val="20"/>
                <w:szCs w:val="20"/>
                <w:color w:val="auto"/>
              </w:rPr>
            </w:pPr>
            <w:r>
              <w:rPr>
                <w:rFonts w:ascii="Arial" w:cs="Arial" w:eastAsia="Arial" w:hAnsi="Arial"/>
                <w:sz w:val="14"/>
                <w:szCs w:val="14"/>
                <w:b w:val="1"/>
                <w:bCs w:val="1"/>
                <w:color w:val="auto"/>
                <w:w w:val="90"/>
              </w:rPr>
              <w:t>Accumulated</w:t>
            </w: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320" w:type="dxa"/>
            <w:vAlign w:val="bottom"/>
            <w:gridSpan w:val="4"/>
          </w:tcPr>
          <w:p>
            <w:pPr>
              <w:jc w:val="center"/>
              <w:ind w:right="367"/>
              <w:spacing w:after="0"/>
              <w:rPr>
                <w:sz w:val="20"/>
                <w:szCs w:val="20"/>
                <w:color w:val="auto"/>
              </w:rPr>
            </w:pPr>
            <w:r>
              <w:rPr>
                <w:rFonts w:ascii="Arial" w:cs="Arial" w:eastAsia="Arial" w:hAnsi="Arial"/>
                <w:sz w:val="14"/>
                <w:szCs w:val="14"/>
                <w:b w:val="1"/>
                <w:bCs w:val="1"/>
                <w:color w:val="auto"/>
                <w:w w:val="98"/>
              </w:rPr>
              <w:t>Amortization</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0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5-10 years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   (12,106</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(9,634</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60"/>
        <w:spacing w:after="0" w:line="308"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06"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Amortization expenses of $1,272 and $934 for the three months ended June 30, 2021 and 2020, respectively, and $2,475 and $1,784 for the six months ended June 30, 2021 and 2020, respectively, were included in depreciation and amortization expense. As of June 30, 2021, intangible assets of $2,905, included in the gross amounts of software developed for internal use, have not started amortization, as they are not ready for their intended use.</w:t>
      </w:r>
    </w:p>
    <w:p>
      <w:pPr>
        <w:spacing w:after="0" w:line="12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capitalized costs of software developed for internal use of $1,517 and $2,018 during the three months ended June 30, 2021 and 2020, respectively, and $3,115 and $4,144 during the six months ended June 30, 2021 and 2020, respectively.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2021, estimated amortization expense related to the Company’s intangible assets for the remainder of 2021 through 2026 and thereafter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w:t>
            </w:r>
          </w:p>
        </w:tc>
        <w:tc>
          <w:tcPr>
            <w:tcW w:w="120" w:type="dxa"/>
            <w:vAlign w:val="bottom"/>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5,054</w:t>
            </w:r>
          </w:p>
        </w:tc>
        <w:tc>
          <w:tcPr>
            <w:tcW w:w="12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FF0FC"/>
          </w:tcPr>
          <w:p>
            <w:pPr>
              <w:spacing w:after="0"/>
              <w:rPr>
                <w:sz w:val="19"/>
                <w:szCs w:val="19"/>
                <w:color w:val="auto"/>
              </w:rPr>
            </w:pPr>
          </w:p>
        </w:tc>
      </w:tr>
      <w:tr>
        <w:trPr>
          <w:trHeight w:val="229"/>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120" w:type="dxa"/>
            <w:vAlign w:val="bottom"/>
            <w:tcBorders>
              <w:bottom w:val="single" w:sz="8" w:color="CFF0FC"/>
            </w:tcBorders>
          </w:tcPr>
          <w:p>
            <w:pPr>
              <w:spacing w:after="0"/>
              <w:rPr>
                <w:sz w:val="19"/>
                <w:szCs w:val="19"/>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June 30, 2021 and December 31, 2020, the balance of goodwill of $5,227 was as a result of the acquisition of Interactive Data, LLC, a wholly-owned subsidiary of red violet, effective on October 2, 2014.</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ended June 30, 2021 and 2020, no goodwill impairment charges were recorded.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8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 xml:space="preserve">The Company recognized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Under this standard, revenue is recognized when control of goods or services is transferred to the Company’s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6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June 30, 2021 and 2020, 81% and 79% of total revenue was attributable to customers with pricing contracts, respectively, versus 19% and 21% attributable to transactional customers, respectively. For the six months ended June 30, 2021 and 2020, 80% and 73% of total revenue was attributable to customers with pricing contracts, respectively, versus 20% and 27% attributable to transactional customers, respectively. Pricing contracts are generally annual contracts or longer, with auto renewal.</w:t>
      </w:r>
    </w:p>
    <w:p>
      <w:pPr>
        <w:spacing w:after="0" w:line="146"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If a customer pays consideration before the Company transfers services to the customer, those amounts are classi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as deferred revenue. As of June 30, 2021 and December 31, 2020, the balance of deferred revenue was $427 and $504, respectively, all of which is expected to be realized in the next 12 months. In relation to the deferred revenue balance as of December 31, 2020, $66 and $318 was recognized into revenue during the three and six months ended June 30, 2021, respectively.</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June 30, 2021, $2,602 of revenue is expected to be recognized in the future for outstanding performance obligations, primarily related to pricing contracts that have a term of more than 12 months. $1,419 of revenue will be recognized in the remainder of 2021, $1,058 in 2022, $116 in 2023, and $9 in 2024.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30"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8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0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For the three and six months ended June 30, 2021 and 2020, the Company’s effective income tax rate was 0%, differing from the statutory federal income tax rate of 21%, and the difference is primarily the result of the full valuation allowance applied against the Company’s deferred tax assets.</w:t>
      </w:r>
    </w:p>
    <w:p>
      <w:pPr>
        <w:spacing w:after="0" w:line="1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2017 remain open for tax examinations.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Company does not have any unrecognized tax benefits as of June 30, 2021 and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8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June 30, 2021 and December 31, 2020, the number of issued and outstanding shares of common stock was 12,248,794 and 12,167,327, respectively. The change in the number of issued and outstanding shares of common stock was due to an aggregate of 81,467 shares of common stock issued as a result of the vesting of RSUs.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March 22, 2018, the board of directors of the Company and Cogint, Inc. (“cogint”) (now known as Fluent, Inc.), in its capacity as sole stockholder of the Company prior to the Company’s spin-off from cogint on March 26, 2018,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w:t>
      </w:r>
    </w:p>
    <w:p>
      <w:pPr>
        <w:spacing w:after="0" w:line="136"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1,272,315 shares of common stock available for future issuance under the 2018 Plan, as amended.</w:t>
      </w:r>
    </w:p>
    <w:p>
      <w:pPr>
        <w:spacing w:after="0" w:line="198" w:lineRule="exact"/>
        <w:rPr>
          <w:sz w:val="20"/>
          <w:szCs w:val="20"/>
          <w:color w:val="auto"/>
        </w:rPr>
      </w:pPr>
    </w:p>
    <w:p>
      <w:pPr>
        <w:jc w:val="both"/>
        <w:ind w:right="620"/>
        <w:spacing w:after="0" w:line="311" w:lineRule="auto"/>
        <w:rPr>
          <w:sz w:val="20"/>
          <w:szCs w:val="20"/>
          <w:color w:val="auto"/>
        </w:rPr>
      </w:pPr>
      <w:r>
        <w:rPr>
          <w:rFonts w:ascii="Arial" w:cs="Arial" w:eastAsia="Arial" w:hAnsi="Arial"/>
          <w:sz w:val="16"/>
          <w:szCs w:val="16"/>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six months ended June 30, 2021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2020</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1,764,450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Vested and delivered</w:t>
            </w:r>
            <w:r>
              <w:rPr>
                <w:rFonts w:ascii="Arial" w:cs="Arial" w:eastAsia="Arial" w:hAnsi="Arial"/>
                <w:sz w:val="15"/>
                <w:szCs w:val="15"/>
                <w:color w:val="auto"/>
              </w:rPr>
              <w:t>(1)</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(81,467)</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Vested not delivered</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(5,901)</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Unvested as of June 30, 2021</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1,677,082</w:t>
            </w:r>
          </w:p>
        </w:tc>
        <w:tc>
          <w:tcPr>
            <w:tcW w:w="160" w:type="dxa"/>
            <w:vAlign w:val="bottom"/>
          </w:tcPr>
          <w:p>
            <w:pPr>
              <w:spacing w:after="0"/>
              <w:rPr>
                <w:sz w:val="19"/>
                <w:szCs w:val="19"/>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80" w:hanging="372"/>
        <w:spacing w:after="0" w:line="269"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period from August 29, 2019 to September 8, 2020, the Company granted an aggregate of 277,500 RSUs to its employees. Such RSU grants shall not vest unless and until the Company has, for any fiscal quarter in which the RSUs are outstanding, (i) gross revenue determined in accordance with the Company’s reviewed or audited financial statements in excess of $10.0 million for such fiscal quarter, (ii) positive adjusted EBITDA of at least $1.5 million, as determined based on amounts derived from the Company’s reviewed or audited financial statements for such fiscal quarter, and (iii) the recipient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performance criteria have not been met. As of the respective grant dates, the Company determined that it was probable that the performance criteria would be met and therefore, began to record the related amortization expense on the grant dates. The Company determined that the performance criteria were met as of March 31, 2021, and 33,200 shares were included in “Vested and delivered” in the table above. The remaining shares underlying such awards are expected to vest and be issued in accordance with their time-based vesting requirement.</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2021, unrecognized share-based compensation expense associated with the granted RSUs amounted to $6,864, which is expected to be recognized over a remaining weighted average period of 2.0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Share-based compensation was allocated to the following accounts in the condensed consolidated financial statements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1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August 7, 2018, the Company entered into a services agreement with Mr. Michael Brauser (the “Consultant”), a greater than 10% stockholder, pursuant to which, the Consultant will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then-current term. Under the Services Agreement, the Consultant receives cash compensation of $30 per month and is entitled to participate in the Company’s incentive compensation plan.</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February 16, 2021, the Company entered into a Separation Agreement (the "Separation Agreement") with the Consultant. Pursuant to the Separation Agreement, the parties have agreed that the Services Agreement expiring on August 6, 2021 (“Expiration Date”), will not be renewed, but will continue in force and effect until the Expiration Date and that the Consultant will not take any actions on behalf of the Company, including pursuant to the Services Agreement, unless specifically requested in writing by the Company. Pursuant to the Separation Agreement, the Consultant also agreed (i) to certain non-solicitation obligations contained therein, (ii) that he and his affiliates will not disparage or assist or cooperate with any person or entity seeking to publicly disparage or economically harm the Company, and (iii) that the Consultant and his affiliates will not initiate any lawsuit, claim, or proceeding with respect to any claims against the Company, except (with designated exceptions) for any legal proceeding initiated solely to remedy a breach of or to enforce the Separation Agreement.</w:t>
      </w:r>
    </w:p>
    <w:p>
      <w:pPr>
        <w:spacing w:after="0" w:line="16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With respect to each annual or special meeting of the Company's stockholders until the Expiration Date of the Separation Agreement, the Consultant has agreed to vote the shares of the Company's common stock or any other securities entitled to vote then held by him or his affiliates in accordance with the board of directors' recommendations on director proposals, provided there is a change in no more than 25% of the current directors (not including changes resulting from a director's death or resignation), and the ratification of the appointment of the Company’s independent registered public accounting firm.</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agreed (i) that the remaining unvested 166,666 RSUs previously granted to Consultant in accordance with the 2018 RSU agreement will continue to vest on July 1, 2021, in accordance with and subject to all other provisions and conditions of such grant, (ii) to amend the 2020 RSU agreement, previously granting Consultant 30,000 RSUs such that the 30,000 RSUs will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would recognize an aggregate of $723 in share-based compensation expense over the remaining service period which ends on the Expiration Date.</w:t>
      </w:r>
    </w:p>
    <w:p>
      <w:pPr>
        <w:spacing w:after="0" w:line="1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recognized consulting service fees relating to the Services Agreement of a total of $90 during the three months ended June 30, 2021 and 2020, and $180 during the six months ended June 30, 2021 and 2020. In addition, amortization of share-based compensation expense of $724 and $338 for the three months ended June 30, 2021 and 2020, respectively, and $1,272 and $679 for the six months ended June 30, 2021 and 2020, respectively, was recognized in relation to the RSUs previously granted to the Consultant.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10. Long-term loan</w:t>
      </w:r>
    </w:p>
    <w:p>
      <w:pPr>
        <w:spacing w:after="0" w:line="20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May 5, 2020, the Company received funding under a promissory note dated May 5, 2020 evidencing an unsecured non-recourse loan in the principal amount of $2,152 under the Coronavirus Aid, Relief, and Economic Security Act (“CARES Act”) (the “Loan”). The Loan to the Company was made through Legacy Bank of Florida (the “Lender”).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long-term loan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3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Included in consolidated balance sheet:</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loan</w:t>
            </w:r>
          </w:p>
        </w:tc>
        <w:tc>
          <w:tcPr>
            <w:tcW w:w="3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loan (non-current)</w:t>
            </w:r>
          </w:p>
        </w:tc>
        <w:tc>
          <w:tcPr>
            <w:tcW w:w="3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tcBorders>
              <w:bottom w:val="single" w:sz="8" w:color="CFF0FC"/>
            </w:tcBorders>
            <w:shd w:val="clear" w:color="auto" w:fill="CFF0FC"/>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Loan had a two-year term and a contractual maturity of May 5, 2022. The interest rate on the Loan is 1.0% per annum.</w:t>
      </w:r>
    </w:p>
    <w:p>
      <w:pPr>
        <w:spacing w:after="0" w:line="18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June 16, 2021, the Company received a notice from the Lender that the full principal amount of the Loan of $2,152 and the accrued interest of $23 had been fully forgiven, and the U.S. Small Business Administration remitted the forgiveness payment to the Lender, resulting in a gain on extinguishment of debt of $2,175 during the three months ended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8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leases its corporate headquarters of 21,020 rentable square feet in accordance with a non-cancelable 89-month operating lease agreement as amended and effective in January 2017, with an option to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and 2020, a summary of the Company’s lease information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Operating lease costs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weighted average remaining operating lease term was 3.3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scheduled future maturities and present value of the operating lease liabilities are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7" w:lineRule="exact"/>
        <w:rPr>
          <w:sz w:val="20"/>
          <w:szCs w:val="20"/>
          <w:color w:val="auto"/>
        </w:rPr>
      </w:pPr>
    </w:p>
    <w:p>
      <w:pPr>
        <w:spacing w:after="0"/>
        <w:tabs>
          <w:tab w:leader="none" w:pos="9880" w:val="left"/>
        </w:tabs>
        <w:rPr>
          <w:sz w:val="20"/>
          <w:szCs w:val="20"/>
          <w:color w:val="auto"/>
        </w:rPr>
      </w:pP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Present value included in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br w:type="column"/>
      </w:r>
    </w:p>
    <w:p>
      <w:pPr>
        <w:ind w:left="1315" w:hanging="1315"/>
        <w:spacing w:after="0"/>
        <w:tabs>
          <w:tab w:leader="none" w:pos="1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364</w:t>
      </w:r>
    </w:p>
    <w:p>
      <w:pPr>
        <w:spacing w:after="0" w:line="44" w:lineRule="exact"/>
        <w:rPr>
          <w:rFonts w:ascii="Arial" w:cs="Arial" w:eastAsia="Arial" w:hAnsi="Arial"/>
          <w:sz w:val="16"/>
          <w:szCs w:val="16"/>
          <w:color w:val="auto"/>
        </w:rPr>
      </w:pPr>
    </w:p>
    <w:p>
      <w:pPr>
        <w:ind w:left="1315"/>
        <w:spacing w:after="0"/>
        <w:rPr>
          <w:rFonts w:ascii="Arial" w:cs="Arial" w:eastAsia="Arial" w:hAnsi="Arial"/>
          <w:sz w:val="16"/>
          <w:szCs w:val="16"/>
          <w:color w:val="auto"/>
        </w:rPr>
      </w:pPr>
      <w:r>
        <w:rPr>
          <w:rFonts w:ascii="Arial" w:cs="Arial" w:eastAsia="Arial" w:hAnsi="Arial"/>
          <w:sz w:val="16"/>
          <w:szCs w:val="16"/>
          <w:color w:val="auto"/>
        </w:rPr>
        <w:t>743</w:t>
      </w:r>
    </w:p>
    <w:p>
      <w:pPr>
        <w:spacing w:after="0" w:line="45" w:lineRule="exact"/>
        <w:rPr>
          <w:rFonts w:ascii="Arial" w:cs="Arial" w:eastAsia="Arial" w:hAnsi="Arial"/>
          <w:sz w:val="16"/>
          <w:szCs w:val="16"/>
          <w:color w:val="auto"/>
        </w:rPr>
      </w:pPr>
    </w:p>
    <w:p>
      <w:pPr>
        <w:ind w:left="1315"/>
        <w:spacing w:after="0"/>
        <w:rPr>
          <w:rFonts w:ascii="Arial" w:cs="Arial" w:eastAsia="Arial" w:hAnsi="Arial"/>
          <w:sz w:val="16"/>
          <w:szCs w:val="16"/>
          <w:color w:val="auto"/>
        </w:rPr>
      </w:pPr>
      <w:r>
        <w:rPr>
          <w:rFonts w:ascii="Arial" w:cs="Arial" w:eastAsia="Arial" w:hAnsi="Arial"/>
          <w:sz w:val="16"/>
          <w:szCs w:val="16"/>
          <w:color w:val="auto"/>
        </w:rPr>
        <w:t>765</w:t>
      </w:r>
    </w:p>
    <w:p>
      <w:pPr>
        <w:spacing w:after="0" w:line="45" w:lineRule="exact"/>
        <w:rPr>
          <w:rFonts w:ascii="Arial" w:cs="Arial" w:eastAsia="Arial" w:hAnsi="Arial"/>
          <w:sz w:val="16"/>
          <w:szCs w:val="16"/>
          <w:color w:val="auto"/>
        </w:rPr>
      </w:pPr>
    </w:p>
    <w:p>
      <w:pPr>
        <w:ind w:left="1315"/>
        <w:spacing w:after="0"/>
        <w:rPr>
          <w:rFonts w:ascii="Arial" w:cs="Arial" w:eastAsia="Arial" w:hAnsi="Arial"/>
          <w:sz w:val="16"/>
          <w:szCs w:val="16"/>
          <w:color w:val="auto"/>
        </w:rPr>
      </w:pPr>
      <w:r>
        <w:rPr>
          <w:rFonts w:ascii="Arial" w:cs="Arial" w:eastAsia="Arial" w:hAnsi="Arial"/>
          <w:sz w:val="16"/>
          <w:szCs w:val="16"/>
          <w:color w:val="auto"/>
        </w:rPr>
        <w:t>542</w:t>
      </w:r>
    </w:p>
    <w:p>
      <w:pPr>
        <w:spacing w:after="0" w:line="45" w:lineRule="exact"/>
        <w:rPr>
          <w:rFonts w:ascii="Arial" w:cs="Arial" w:eastAsia="Arial" w:hAnsi="Arial"/>
          <w:sz w:val="16"/>
          <w:szCs w:val="16"/>
          <w:color w:val="auto"/>
        </w:rPr>
      </w:pPr>
    </w:p>
    <w:p>
      <w:pPr>
        <w:ind w:left="1415"/>
        <w:spacing w:after="0"/>
        <w:rPr>
          <w:rFonts w:ascii="Arial" w:cs="Arial" w:eastAsia="Arial" w:hAnsi="Arial"/>
          <w:sz w:val="16"/>
          <w:szCs w:val="16"/>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198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38" w:lineRule="exact"/>
        <w:rPr>
          <w:sz w:val="20"/>
          <w:szCs w:val="20"/>
          <w:color w:val="auto"/>
        </w:rPr>
      </w:pPr>
    </w:p>
    <w:p>
      <w:pPr>
        <w:ind w:left="1195" w:hanging="1195"/>
        <w:spacing w:after="0"/>
        <w:tabs>
          <w:tab w:leader="none" w:pos="1195" w:val="left"/>
        </w:tabs>
        <w:numPr>
          <w:ilvl w:val="0"/>
          <w:numId w:val="6"/>
        </w:numPr>
        <w:rPr>
          <w:rFonts w:ascii="Arial" w:cs="Arial" w:eastAsia="Arial" w:hAnsi="Arial"/>
          <w:sz w:val="15"/>
          <w:szCs w:val="15"/>
          <w:color w:val="auto"/>
        </w:rPr>
      </w:pPr>
      <w:r>
        <w:rPr>
          <w:rFonts w:ascii="Arial" w:cs="Arial" w:eastAsia="Arial" w:hAnsi="Arial"/>
          <w:sz w:val="15"/>
          <w:szCs w:val="15"/>
          <w:color w:val="auto"/>
        </w:rPr>
        <w:t>2,491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10198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307" w:lineRule="exact"/>
        <w:rPr>
          <w:sz w:val="20"/>
          <w:szCs w:val="20"/>
          <w:color w:val="auto"/>
        </w:rPr>
      </w:pPr>
    </w:p>
    <w:p>
      <w:pPr>
        <w:ind w:left="1315" w:hanging="1315"/>
        <w:spacing w:after="0"/>
        <w:tabs>
          <w:tab w:leader="none" w:pos="1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584</w:t>
      </w:r>
    </w:p>
    <w:p>
      <w:pPr>
        <w:spacing w:after="0" w:line="46" w:lineRule="exact"/>
        <w:rPr>
          <w:rFonts w:ascii="Arial" w:cs="Arial" w:eastAsia="Arial" w:hAnsi="Arial"/>
          <w:sz w:val="16"/>
          <w:szCs w:val="16"/>
          <w:color w:val="auto"/>
        </w:rPr>
      </w:pPr>
    </w:p>
    <w:p>
      <w:pPr>
        <w:ind w:left="1195"/>
        <w:spacing w:after="0"/>
        <w:rPr>
          <w:rFonts w:ascii="Arial" w:cs="Arial" w:eastAsia="Arial" w:hAnsi="Arial"/>
          <w:sz w:val="16"/>
          <w:szCs w:val="16"/>
          <w:color w:val="auto"/>
        </w:rPr>
      </w:pPr>
      <w:r>
        <w:rPr>
          <w:rFonts w:ascii="Arial" w:cs="Arial" w:eastAsia="Arial" w:hAnsi="Arial"/>
          <w:sz w:val="15"/>
          <w:szCs w:val="15"/>
          <w:color w:val="auto"/>
        </w:rPr>
        <w:t>1,608</w:t>
      </w:r>
    </w:p>
    <w:p>
      <w:pPr>
        <w:spacing w:after="0" w:line="57" w:lineRule="exact"/>
        <w:rPr>
          <w:sz w:val="20"/>
          <w:szCs w:val="20"/>
          <w:color w:val="auto"/>
        </w:rPr>
      </w:pPr>
    </w:p>
    <w:p>
      <w:pPr>
        <w:sectPr>
          <w:pgSz w:w="11900" w:h="16838" w:orient="portrait"/>
          <w:cols w:equalWidth="0" w:num="2">
            <w:col w:w="8805" w:space="720"/>
            <w:col w:w="1715"/>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95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640" w:type="dxa"/>
            <w:vAlign w:val="bottom"/>
            <w:tcBorders>
              <w:top w:val="single" w:sz="8" w:color="auto"/>
            </w:tcBorders>
            <w:gridSpan w:val="2"/>
          </w:tcPr>
          <w:p>
            <w:pPr>
              <w:jc w:val="right"/>
              <w:ind w:right="46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vMerge w:val="restart"/>
          </w:tcPr>
          <w:p>
            <w:pPr>
              <w:jc w:val="right"/>
              <w:ind w:right="37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incurred data costs of $2,108 and $2,171 for the three months ended June 30, 2021 and 2020, respectively, and $4,230 and $4,303 for the six months ended June 30, 2021 and 2020, respectively, under certain data licensing agreements. As of June 30, 2021, material capital commitments under certain data licensing agreements were $12,491, shown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FF0FC"/>
          </w:tcPr>
          <w:p>
            <w:pPr>
              <w:spacing w:after="0"/>
              <w:rPr>
                <w:sz w:val="19"/>
                <w:szCs w:val="19"/>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r>
      <w:tr>
        <w:trPr>
          <w:trHeight w:val="229"/>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19"/>
                <w:szCs w:val="19"/>
                <w:color w:val="auto"/>
              </w:rPr>
            </w:pPr>
          </w:p>
        </w:tc>
      </w:tr>
      <w:tr>
        <w:trPr>
          <w:trHeight w:val="230"/>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FF0FC"/>
            </w:tcBorders>
          </w:tcPr>
          <w:p>
            <w:pPr>
              <w:spacing w:after="0"/>
              <w:rPr>
                <w:sz w:val="19"/>
                <w:szCs w:val="19"/>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21"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 Covid-19 update</w:t>
      </w:r>
    </w:p>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2019, a novel strain of coronavirus, known as Covid-19, was reported in Wuhan, China and has since extensively impacted the global health and economic environment. In March 2020, the World Health Organization characterized Covid-19 as a pandemic. The Company has taken numerous steps, and will continue to take further actions as appropriate, to minimize the impact of the Covid-19 pandemic on the Company’s business, results of operations and financial performance. In accordance with best practices and guidance from the Centers for Disease Control and Prevention, the Company has implemented certain protective safeguards to protect the well-being of its employees, customers, and the communities in which it operates. The Company will continue to assess the need and timing of these protective measures. Starting in the second quarter of 2020, the Company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that resulted in significantly reduced commercial activity, and certain temporary government-imposed moratoria on collection customers’ activities, the Company experienced reduced transaction volume in the second and third quarters of 2020. Transaction volume returned to pre-Covid levels by the end of the third quarter of 2020, except for collection customer volume. Collection customer transaction volume returned to pre-Covid levels during the second quarter of 2021, with the exception of the Company’s idiVERIFIED service, which is an ancillary collections market offering that is purely transactional and of a lower margin profile. idiVERIFIED service revenue was down $900 for the three months ended June 30, 2021, compared to the three months ended March 31, 2020. The Company expects its idiVERIFIED service volume to return to pre-Covid levels in the first half of 2022. Beginning the second quarter of 2020, the Company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second quarter of 2020, the Company provided concessions to a total of 152 customers, representing a $342 reduction in minimum committed spend. During the second quarter of 2021, the Company provided concessions to a total of 5 customers, representing a $14 reduction in minimum committed spend. The Company continues to work with customers who have been impacted by Covid-19 and considers potential concessions on a case-by-case basis. The Company continues to take precautionary measures intended to minimize the risk of the Covid-19 pandemic to its employees, its customers, and the communities in which it operates. These measures may result in inefficiencies, delays and additional costs to the Company’s business. The Covid-19 pandemic and its impact on the Company and the economy has significantly limited the Company’s ability to forecast its future operating results, including its ability to predict revenue and expense levels, and plan for and model future operating results. The Company will continue to evaluate the nature and extent of the impact of the Covid-19 pandemic to its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4" w:name="page15"/>
    <w:bookmarkEnd w:id="14"/>
    <w:p>
      <w:pPr>
        <w:ind w:right="80"/>
        <w:spacing w:after="0" w:line="254" w:lineRule="auto"/>
        <w:rPr>
          <w:sz w:val="20"/>
          <w:szCs w:val="20"/>
          <w:color w:val="auto"/>
        </w:rPr>
      </w:pPr>
      <w:r>
        <w:rPr>
          <w:rFonts w:ascii="Arial" w:cs="Arial" w:eastAsia="Arial" w:hAnsi="Arial"/>
          <w:sz w:val="18"/>
          <w:szCs w:val="18"/>
          <w:color w:val="auto"/>
        </w:rPr>
        <w:t>To further support the Company’s liquidity, beginning April 1, 2020, the Company elected, under Section 2302 of the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the Company received the Loan under the CARES Act, which was fully forgiven in June 2021, as discussed in Note 10 above. The Company will continue to assess the CARES Act and other applicable government legislation aimed at assisting businesses during the Covid-19 pandemic. Given the dynamic nature of this health emergency, the full impact of the Covid-19 pandemic on the Company’s ongoing business, results of operations and overall financial performance cannot be reasonably estimated at this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Quarterly Report on Form 10-Q, as well as the disclosures made in the Company’s Annual Report on Form 10-K for the year ended December 31, 2020 filed on March 10, 2021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3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i w:val="1"/>
          <w:iCs w:val="1"/>
          <w:color w:val="auto"/>
        </w:rPr>
        <w:t>References in this discussion and analysis to “we,” “us,” “our,” “red violet,” or the “Company,” refer to Red Violet, Inc. and its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15"/>
          <w:szCs w:val="15"/>
          <w:color w:val="auto"/>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5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June 30, 2021 and 2020, idiCORE had 6,141 and 5,375 billable customers and FOREWARN had 67,578 and 40,857 users, respectively. The Company defines a billable customer of idiCORE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ind w:right="160"/>
        <w:spacing w:after="0" w:line="255" w:lineRule="auto"/>
        <w:rPr>
          <w:sz w:val="20"/>
          <w:szCs w:val="20"/>
          <w:color w:val="auto"/>
        </w:rPr>
      </w:pPr>
      <w:r>
        <w:rPr>
          <w:rFonts w:ascii="Arial" w:cs="Arial" w:eastAsia="Arial" w:hAnsi="Arial"/>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81% and 80% of total revenue for the three and six months ended June 30, 2021, respectively, as compared to 79% and 73% for the three and six months ended June 30, 2020, respectively.</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2019, a novel strain of coronavirus, known as Covid-19, was reported in Wuhan, China and has since extensively impacted the global health and economic environment. In March 2020, the World Health Organization characterized Covid-19 as a pandemic. We have taken numerous steps, and will continue to take further actions as appropriate, to minimize the impact of the Covid-19 pandemic on our business, results of operations and financial performance. In accordance with best practices and guidance from the Centers for Disease Control and Prevention, we have implemented certain protective safeguards to protect the well-being of our employees, our customers, and the communities in which we operate. We will continue to assess the need and timing of these protective measures. Starting in the second quarter of 2020, we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that resulted in significantly reduced commercial activity, and certain temporary government-imposed moratoria on collection customers’ activities, we experienced reduced transaction volume in the second and third quarters of 2020. Transaction volume returned to pre-Covid levels by the end of the third quarter of 2020, except for collection customer volume. Collection customer transaction volume returned to pre-Covid levels during the second quarter of 2021, with the exception of our idiVERIFIED service, which is an ancillary collections market offering that is purely transactional and of a lower margin profile. idiVERIFIED service revenue was down $0.9 million for the three months ended June 30, 2021, compared to the three months ended March 31, 2020. We expect idiVERIFIED service volume to return to pre-Covid levels in the first half of 2022. Beginning the second quarter of 2020, we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second quarter of 2020, we provided concessions to a total of 152 customers, representing a $342 thousand reduction in minimum committed spend. During the second quarter of 2021, we provided concessions to a total of 5 customers, representing a $14 thousand reduction in minimum committed spend. We continue to work with customers who have been impacted by Covid-19 and consider potential concessions on a case-by-case basis. We continue to take precautionary measures intended to minimize the risk of the Covid-19 pandemic to our employees, our customers, and the communities in which we operate. These measures may result in inefficiencies, delays and additional costs to our business. The Covid-19 pandemic and its impact on us and the economy has significantly limited our ability to forecast our future operating results, including our ability to predict revenue and expense levels, and plan for and model future operating results. We will continue to evaluate the nature and extent of the impact of the Covid-19 pandemic to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ind w:right="40"/>
        <w:spacing w:after="0" w:line="253" w:lineRule="auto"/>
        <w:rPr>
          <w:sz w:val="20"/>
          <w:szCs w:val="20"/>
          <w:color w:val="auto"/>
        </w:rPr>
      </w:pPr>
      <w:r>
        <w:rPr>
          <w:rFonts w:ascii="Arial" w:cs="Arial" w:eastAsia="Arial" w:hAnsi="Arial"/>
          <w:sz w:val="18"/>
          <w:szCs w:val="18"/>
          <w:color w:val="auto"/>
        </w:rPr>
        <w:t>To further support our liquidity, beginning April 1, 2020, we elected, under Section 2302 of the Coronavirus Aid, Relief, and Economic Security Act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we received funding under a promissory note dated May 5, 2020 evidencing an unsecured non-recourse loan in the principal amount of $2.2 million under the CARES Act (the “Loan”), which was fully forgiven by Legacy Bank of Florida (the “Lender”) and the U.S. Small Business Administration in June 2021, resulting in a gain on extinguishment of debt of $2.2 million during the three months ended June 30, 2021. We will continue to assess the CARES Act and other applicable government legislation aimed at assisting businesses during the Covid-19 pandemic. Given the dynamic nature of this health emergency, the full impact of the Covid-19 pandemic on our ongoing business, results of operations and overall financial performance cannot be reasonably estimated at this time.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additional information, please refer to our Form 10-K. There have been no material changes to Critical Accounting Policies and Estimates disclosed in our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2021 as compared to the three months ended June 30, 2020:</w:t>
      </w:r>
    </w:p>
    <w:p>
      <w:pPr>
        <w:spacing w:after="0" w:line="185"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revenue increased 54% to $10.9 million. Platform revenue increased 54% to $10.6 million. Services revenue increased 46% to $0.3 million.</w:t>
      </w:r>
    </w:p>
    <w:p>
      <w:pPr>
        <w:spacing w:after="0" w:line="140" w:lineRule="exact"/>
        <w:rPr>
          <w:rFonts w:ascii="Arial" w:cs="Arial" w:eastAsia="Arial" w:hAnsi="Arial"/>
          <w:sz w:val="16"/>
          <w:szCs w:val="16"/>
          <w:color w:val="auto"/>
        </w:rPr>
      </w:pPr>
    </w:p>
    <w:p>
      <w:pPr>
        <w:ind w:left="380" w:right="12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was $1.8 million, inclusive of a one-time gain of $2.2 million on the extinguishment of debt from the forgiveness of our Cares Act Loan, compared to a loss of $2.5 million.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increased 245% to $3.1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increased 95% to $6.9 million. Gross margin increased to 63% from 50%.</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gross profit increased 83% to $8.2 million. Adjusted gross margin increased to 75% from 63%.</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Generated $2.3 million in cash from operating activities in the second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were $13.9 million as of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Business Highlights</w:t>
      </w:r>
    </w:p>
    <w:p>
      <w:pPr>
        <w:spacing w:after="0" w:line="189"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attributable to customer contracts reached a record 81%. Customer contracts are generally annual contracts or longer with auto renewal.</w:t>
      </w:r>
    </w:p>
    <w:p>
      <w:pPr>
        <w:spacing w:after="0" w:line="140" w:lineRule="exact"/>
        <w:rPr>
          <w:rFonts w:ascii="Arial" w:cs="Arial" w:eastAsia="Arial" w:hAnsi="Arial"/>
          <w:sz w:val="16"/>
          <w:szCs w:val="16"/>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Added over 230 new customers to idiCORE™ during the second quarter, ending the quarter with 6,141 customers.</w:t>
      </w:r>
    </w:p>
    <w:p>
      <w:pPr>
        <w:spacing w:after="0" w:line="117" w:lineRule="exact"/>
        <w:rPr>
          <w:rFonts w:ascii="Arial" w:cs="Arial" w:eastAsia="Arial" w:hAnsi="Arial"/>
          <w:sz w:val="18"/>
          <w:szCs w:val="18"/>
          <w:color w:val="auto"/>
        </w:rPr>
      </w:pPr>
    </w:p>
    <w:p>
      <w:pPr>
        <w:ind w:left="380" w:right="520" w:hanging="372"/>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Added over 8,700 users to FOREWARN</w:t>
      </w:r>
      <w:r>
        <w:rPr>
          <w:rFonts w:ascii="Arial" w:cs="Arial" w:eastAsia="Arial" w:hAnsi="Arial"/>
          <w:sz w:val="15"/>
          <w:szCs w:val="15"/>
          <w:color w:val="auto"/>
        </w:rPr>
        <w:t>®</w:t>
      </w:r>
      <w:r>
        <w:rPr>
          <w:rFonts w:ascii="Arial" w:cs="Arial" w:eastAsia="Arial" w:hAnsi="Arial"/>
          <w:sz w:val="18"/>
          <w:szCs w:val="18"/>
          <w:color w:val="auto"/>
        </w:rPr>
        <w:t xml:space="preserve"> during the second quarter, ending the quarter with 67,578 users. Over 150 REALTOR</w:t>
      </w:r>
      <w:r>
        <w:rPr>
          <w:rFonts w:ascii="Arial" w:cs="Arial" w:eastAsia="Arial" w:hAnsi="Arial"/>
          <w:sz w:val="15"/>
          <w:szCs w:val="15"/>
          <w:color w:val="auto"/>
        </w:rPr>
        <w:t>®</w:t>
      </w:r>
      <w:r>
        <w:rPr>
          <w:rFonts w:ascii="Arial" w:cs="Arial" w:eastAsia="Arial" w:hAnsi="Arial"/>
          <w:sz w:val="18"/>
          <w:szCs w:val="18"/>
          <w:color w:val="auto"/>
        </w:rPr>
        <w:t xml:space="preserve"> Associations throughout the U.S. are now contracted to use FOREWARN.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Continue to expand leadership talent and depth, with the addition of Jim Greenwell, GM – Identity, and James Frasche, EVP – Property Solutions.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7" w:name="page18"/>
    <w:bookmarkEnd w:id="17"/>
    <w:p>
      <w:pPr>
        <w:ind w:left="380" w:right="100" w:hanging="372"/>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Appointed Lisa Stanton as an independent director of the Board of Directors, strengthening our corporate governance and providing deep expertise in FinTech, identity and security.</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(loss), the most directly comparable financial measure based on GAAP, excluding interest expense (income), net,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02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(2,532)</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Gain on extinguishment of debt</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(2,175)</w:t>
            </w: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Litigation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3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margin</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Adjusted EBITDA margin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10,879</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21,096</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w w:val="98"/>
              </w:rPr>
              <w:t>Cost of revenue (exclusive of depreciation and amortization)</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(2,720)</w:t>
            </w:r>
          </w:p>
        </w:tc>
        <w:tc>
          <w:tcPr>
            <w:tcW w:w="8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(2,587)</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(5,481)</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(1,272)</w:t>
            </w:r>
          </w:p>
        </w:tc>
        <w:tc>
          <w:tcPr>
            <w:tcW w:w="80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(934)</w:t>
            </w:r>
          </w:p>
        </w:tc>
        <w:tc>
          <w:tcPr>
            <w:tcW w:w="30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(2,475)</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13,140</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4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60" w:type="dxa"/>
            <w:vAlign w:val="bottom"/>
            <w:tcBorders>
              <w:right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26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15,615</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8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w:t>
            </w:r>
          </w:p>
        </w:tc>
        <w:tc>
          <w:tcPr>
            <w:tcW w:w="80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20"/>
        <w:spacing w:after="0" w:line="287" w:lineRule="auto"/>
        <w:rPr>
          <w:sz w:val="20"/>
          <w:szCs w:val="20"/>
          <w:color w:val="auto"/>
        </w:rPr>
      </w:pPr>
      <w:r>
        <w:rPr>
          <w:rFonts w:ascii="Arial" w:cs="Arial" w:eastAsia="Arial" w:hAnsi="Arial"/>
          <w:sz w:val="16"/>
          <w:szCs w:val="16"/>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4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Adjusted EBITDA, adjusted EBITDA margin, adjusted gross profit and adjusted gross margin are not intended to be performance measures that should be regarded as an alternative to, or more meaningful than, financial measures presented in accordance with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color w:val="auto"/>
        </w:rPr>
        <w:t>. Revenue increased $3.8 million or 54% to $10.9 million for the three months ended June 30, 2021 from $7.1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2020. This increase was driven by strong growth in usage from existing customers, with base revenue from existing customers increasing $3.3 million or 66%, and growth revenue from existing customers increasing $0.5 million or 46%. Our idiCORE billable customer base grew from 5,375 customers as of June 30, 2020 to 6,141 customers as of June 30, 2021, and our FOREWARN user base grew from 40,857 users to 67,578 users during that same period.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3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increased $0.1 million or 5% to $2.7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 from $2.6 million for the three months ended June 30, 2020.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50% of our total data acquisition costs for the three months ended June 30, 2021 compared to approximately 51% for the three months ended June 30, 2020. Other cost of revenue items include expenses related to third-party infrastructure fees.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25% for the three months ended June 30, 2021 from 37% for the three months ended June 30, 2020.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6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Sales and marketing expenses</w:t>
      </w:r>
      <w:r>
        <w:rPr>
          <w:rFonts w:ascii="Arial" w:cs="Arial" w:eastAsia="Arial" w:hAnsi="Arial"/>
          <w:sz w:val="16"/>
          <w:szCs w:val="16"/>
          <w:color w:val="auto"/>
        </w:rPr>
        <w:t>. Sales and marketing expenses increased $0.6 million or 35% to $2.3 million for the three months ended June 30, 2021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 million for the three months ended June 30, 2020. Sales and marketing expenses consist of salaries and benefits, advertising and marketing, travel expenses, and share-based compensation expense, incurred by our sales team, and provision for bad debts. The increase during the three months ended June 30, 2021 was primarily attributable to an aggregate of $0.6 million increase in salaries and benefits and sales commissions from increased revenue.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$0.6 million or 15% to $4.9 million for the three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2021 from $4.3 million for the three months ended June 30, 2020. For the three months ended June 30, 2021 and 2020, our general and administrative expenses consisted primarily of employee salaries and benefits of $1.6 million and $1.0 million, share-based compensation expense of $2.0 million and $2.2 million, and professional fees of $0.7 million and $0.5 million,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$0.3 million or 34% to $1.3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from $1.0 million for the three months ended June 30, 2020. The increase in depreciation and amortization for the three months ended June 30, 2021 resulted primarily from the amortization of software developed for internal use that became ready for its intended use after June 30, 2020.</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Gain on extinguishment of debt</w:t>
      </w:r>
      <w:r>
        <w:rPr>
          <w:rFonts w:ascii="Arial" w:cs="Arial" w:eastAsia="Arial" w:hAnsi="Arial"/>
          <w:sz w:val="18"/>
          <w:szCs w:val="18"/>
          <w:color w:val="auto"/>
        </w:rPr>
        <w:t>. On May 5, 2020, we received the Loan in the principal amount of $2.2 million under the CARES Act. On June 16,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received a notice from the Lender that the full principal amount of the Loan and its accrued interest had been fully forgiven, resulting in a gain on extinguishment of debt of $2.2 million during the three months ended June 30, 2021.</w:t>
      </w:r>
    </w:p>
    <w:p>
      <w:pPr>
        <w:spacing w:after="0" w:line="14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Income (loss) before income taxes</w:t>
      </w:r>
      <w:r>
        <w:rPr>
          <w:rFonts w:ascii="Arial" w:cs="Arial" w:eastAsia="Arial" w:hAnsi="Arial"/>
          <w:sz w:val="17"/>
          <w:szCs w:val="17"/>
          <w:color w:val="auto"/>
        </w:rPr>
        <w:t>. Income before income taxes was $1.8 million, inclusive of a one-time gain of $2.2 million on the extinguishment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from the forgiveness of the Loan, for the three months ended June 30, 2021 compared to a loss of $2.5 million for the three months ended June 30, 2020. The significant decrease in loss before income taxes (exclusive of the one-time gain on extinguishment of debt) was primarily attributable to the increase in revenue, decrease in our cost of revenue as a percentage of revenue, which was partially offset by the increase in employee salaries and benefits and sales commission of $1.2 million, and depreciation and amortization of $0.3 million.</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three months ended June 30, 2021 and 2020.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June 30, 2021 and 2020. See Note 6, “Income Taxes,” included in “Notes to Condensed Consolidated Financial Statements,” for details.</w:t>
      </w:r>
    </w:p>
    <w:p>
      <w:pPr>
        <w:spacing w:after="0" w:line="15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Net income (loss)</w:t>
      </w:r>
      <w:r>
        <w:rPr>
          <w:rFonts w:ascii="Arial" w:cs="Arial" w:eastAsia="Arial" w:hAnsi="Arial"/>
          <w:sz w:val="16"/>
          <w:szCs w:val="16"/>
          <w:color w:val="auto"/>
        </w:rPr>
        <w:t>. Net income was $1.8 million, inclusive of a one-time gain of $2.2 million on the extinguishment of debt from the forgiveness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for the three months ended June 30, 2021 compared to a loss of $2.5 million for the three months ended June 30, 2020, as a result of the foregoing.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$4.7 million or 29% to $21.1 million for the six months ended June 30, 2021 from $16.4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2020. This increase was driven by strong growth in usage from existing customers, with base revenue from existing customers increasing $4.0 million or 35%, and growth revenue from existing customers increasing $1.1 million or 49%. This growth was partially offset by a decrease in revenue from new customers of $0.4 million or 19%. As a result of certain Covid-19 related government mandated collections moratoria remaining in place during the period, our idiVERIFIED service, which is an ancillary collections market offering that is purely transactional and of a lower margin profile, was down $0.7 million for the six months ended June 30, 2021. We expect our idiVERIFIED service volume to return to pre-Covid levels in the first half of 2022. Our idiCORE billable customer base grew from 5,375 customers as of June 30, 2020 to 6,141 customers as of June 30, 2021, and our FOREWARN user base grew from 40,857 users to 67,578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4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Cost of revenue (exclusive of depreciation and amortization)</w:t>
      </w:r>
      <w:r>
        <w:rPr>
          <w:rFonts w:ascii="Arial" w:cs="Arial" w:eastAsia="Arial" w:hAnsi="Arial"/>
          <w:sz w:val="17"/>
          <w:szCs w:val="17"/>
          <w:color w:val="auto"/>
        </w:rPr>
        <w:t>. Cost of revenue decreased $0.4 million or 7% to $5.5 million for the six months ended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2021 from $5.9 million for the six months ended June 30, 2020. Our cost of revenue primarily includes data acquisition costs. Data acquisition costs consist primarily of the costs to acquire data either on a transactional basis or through flat-fee data licensing agreements, including unlimited usage agreements. The decrease in cost of revenue was primarily attributable to the decrease in transactional based data acquisition costs associated with the reduction in our idiVERIFIED services revenue. We continue to enhance the breadth and depth of our data through the addition and expansion of relationships with key data suppliers, including our largest data supplier, which accounted for approximately 49% of our total data acquisition costs for the six months ended June 30, 2021 compared to approximately 44% for the six months ended June 30, 2020. Other cost of revenue items include expenses related to third-party infrastructure fees.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26% for the six months ended June 30, 2021 from 36% for the six months ended June 30, 2020.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0" w:name="page21"/>
    <w:bookmarkEnd w:id="20"/>
    <w:p>
      <w:pPr>
        <w:ind w:right="120"/>
        <w:spacing w:after="0" w:line="275" w:lineRule="auto"/>
        <w:rPr>
          <w:sz w:val="20"/>
          <w:szCs w:val="20"/>
          <w:color w:val="auto"/>
        </w:rPr>
      </w:pPr>
      <w:r>
        <w:rPr>
          <w:rFonts w:ascii="Arial" w:cs="Arial" w:eastAsia="Arial" w:hAnsi="Arial"/>
          <w:sz w:val="17"/>
          <w:szCs w:val="17"/>
          <w:b w:val="1"/>
          <w:bCs w:val="1"/>
          <w:i w:val="1"/>
          <w:iCs w:val="1"/>
          <w:color w:val="auto"/>
        </w:rPr>
        <w:t>Sales and marketing expenses</w:t>
      </w:r>
      <w:r>
        <w:rPr>
          <w:rFonts w:ascii="Arial" w:cs="Arial" w:eastAsia="Arial" w:hAnsi="Arial"/>
          <w:sz w:val="17"/>
          <w:szCs w:val="17"/>
          <w:color w:val="auto"/>
        </w:rPr>
        <w:t>. Sales and marketing expenses increased $0.7 million or 17% to $4.6 million for the six months ended June 30, 2021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$3.9 million for the six months ended June 30, 2020. Sales and marketing expenses consist of salaries and benefits, advertising and marketing, travel expenses, and share-based compensation expense, incurred by our sales team, and provision for bad debts. The increase during the six months ended June 30, 2021 was primarily attributable to an aggregate of $0.8 million increase in salaries and benefits and sales commissions from increased revenue, which was partially offset by the decrease in provision for bad debts of $0.2 million.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$0.7 million or 9% to $9.4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from $8.7 million for the six months ended June 30, 2020. For the six months ended June 30, 2021 and 2020, our general and administrative expenses consisted primarily of employee salaries and benefits of $3.0 million and $2.2 million, share-based compensation expense of $3.9 million and $4.3 million, and professional fees of $1.5 million and $1.2 million, respectively.</w:t>
      </w:r>
    </w:p>
    <w:p>
      <w:pPr>
        <w:spacing w:after="0" w:line="14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$0.7 million or 36% to $2.6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from $1.9 million for the six months ended June 30, 2020. The increase in depreciation and amortization for the six months ended June 30, 2021 resulted primarily from the amortization of software developed for internal use that became ready for its intended use after June 30, 2020.</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Gain on extinguishment of debt</w:t>
      </w:r>
      <w:r>
        <w:rPr>
          <w:rFonts w:ascii="Arial" w:cs="Arial" w:eastAsia="Arial" w:hAnsi="Arial"/>
          <w:sz w:val="18"/>
          <w:szCs w:val="18"/>
          <w:color w:val="auto"/>
        </w:rPr>
        <w:t>. On May 5, 2020, we received the Loan in the principal amount of $2.2 million under the CARES Act. On June 16,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received a notice from the Lender that the full principal amount of the Loan and its accrued interest had been fully forgiven, resulting in a gain on extinguishment of debt of $2.2 million during the six months ended June 30, 2021.</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Income (loss) before income taxes</w:t>
      </w:r>
      <w:r>
        <w:rPr>
          <w:rFonts w:ascii="Arial" w:cs="Arial" w:eastAsia="Arial" w:hAnsi="Arial"/>
          <w:sz w:val="16"/>
          <w:szCs w:val="16"/>
          <w:color w:val="auto"/>
        </w:rPr>
        <w:t>. Income before income taxes was $1.2 million, inclusive of a one-time gain of $2.2 million on the extinguishment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from the forgiveness of the Loan, for the six months ended June 30, 2021 compared to a loss of $4.0 million for the six months ended June 30, 2020. The significant decrease in loss before income taxes (exclusive of the one-time gain on extinguishment of debt) was primarily attributable to the increase in revenue, decrease in our cost of revenue as a percentage of revenue, and decrease in share-based compensation expense, which was partially offset by the increase in employee salaries and benefits and sales commission of $1.6 million, and depreciation and amortization of $0.7 million.</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six months ended June 30, 2021 and 2020.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June 30, 2021 and 2020. See Note 6, “Income Taxes,” included in “Notes to Condensed Consolidated Financial Statements,” for details.</w:t>
      </w:r>
    </w:p>
    <w:p>
      <w:pPr>
        <w:spacing w:after="0" w:line="14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Net income (loss)</w:t>
      </w:r>
      <w:r>
        <w:rPr>
          <w:rFonts w:ascii="Arial" w:cs="Arial" w:eastAsia="Arial" w:hAnsi="Arial"/>
          <w:sz w:val="16"/>
          <w:szCs w:val="16"/>
          <w:color w:val="auto"/>
        </w:rPr>
        <w:t>. Net income was $1.2 million, inclusive of a one-time gain of $2.2 million on the extinguishment of debt from the forgiveness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for the six months ended June 30, 2021 compared to a loss of $4.0 million for the six months ended June 30, 2020, as a result of the foregoing.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Cash flows provided by operating activities</w:t>
      </w:r>
      <w:r>
        <w:rPr>
          <w:rFonts w:ascii="Arial" w:cs="Arial" w:eastAsia="Arial" w:hAnsi="Arial"/>
          <w:sz w:val="17"/>
          <w:szCs w:val="17"/>
          <w:color w:val="auto"/>
        </w:rPr>
        <w:t>. For the six months ended June 30, 2021, net cash provided by operating activities was $3.5 million,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the result of the net income of $1.2 million, adjusted for certain non-cash items (consisting of share-based compensation expense, depreciation and amortization, write-off of long-lived assets, provision for bad debts, noncash lease expenses, and gain on extinguishment of debt) totaling $5.0 million, and the cash used as a result of changes in assets and liabilities of $2.6 million, primarily the result of the increase in accounts receivable and prepaid expenses and other current assets, and the decrease in accounts payable, accrued expenses and other current liabilities and operating lease liabilities. For the six months ended June 30, 2020, net cash provided by operating activities was $3.0 million, primarily the result of the net loss of $4.0 million, adjusted for certain non-cash items, as mentioned above, totaling $7.1 million.</w:t>
      </w:r>
    </w:p>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For the six months ended June 30, 2021 and 2020, net cash used in investing activities was $2.6 million and $3.1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primarily as a result of capitalized costs included in intangible assets.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Cash flows provided by financing activities</w:t>
      </w:r>
      <w:r>
        <w:rPr>
          <w:rFonts w:ascii="Arial" w:cs="Arial" w:eastAsia="Arial" w:hAnsi="Arial"/>
          <w:sz w:val="18"/>
          <w:szCs w:val="18"/>
          <w:color w:val="auto"/>
        </w:rPr>
        <w:t>. For the six months ended June 30, 2021 and 2020, net cash provided by financing activities was $0 and $2.2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On May 5, 2020, we received the Loan in the principal amount of $2.2 million under the CARES Act. On June 16, 2021, we received a notice from the Lender that the full principal amount of the Loan and its accrued interest had been fully forgiven, resulting in a gain on extinguishment of debt of $2.2 million during the six months ended June 30, 2021.</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1" w:name="page22"/>
    <w:bookmarkEnd w:id="21"/>
    <w:p>
      <w:pPr>
        <w:ind w:right="240"/>
        <w:spacing w:after="0" w:line="277" w:lineRule="auto"/>
        <w:rPr>
          <w:sz w:val="20"/>
          <w:szCs w:val="20"/>
          <w:color w:val="auto"/>
        </w:rPr>
      </w:pPr>
      <w:r>
        <w:rPr>
          <w:rFonts w:ascii="Arial" w:cs="Arial" w:eastAsia="Arial" w:hAnsi="Arial"/>
          <w:sz w:val="18"/>
          <w:szCs w:val="18"/>
          <w:color w:val="auto"/>
        </w:rPr>
        <w:t>As of June 30, 2021, we had material commitments under certain data licensing agreements of $12.5 million. We anticipate funding our operations using available cash and cash flow generated from operations within the next twelve months.</w:t>
      </w:r>
    </w:p>
    <w:p>
      <w:pPr>
        <w:spacing w:after="0" w:line="14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reported net income of $1.8 million and net loss of $2.5 million for the three months ended June 30, 2021 and 2020, respectively, and net income of $1.2 million and net loss of $4.0 million for the six months ended June 30, 2021 and 2020, respectively. As of June 30, 2021, we had a total shareholders’ equity balance of $49.4 million.</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June 30, 2021, we had cash and cash equivalents of approximately $13.9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include information required by this item.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June 30, 2021.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6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June 30,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fiscal quarter ended June 30, 2021 that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the Company’s Annual Report on Form 10-K for the year ended December 31, 2020 filed with the SEC on March 10,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5, 2021, the Compensation Committee approved the Company’s Non-Employee Director Compensation Policy. Non-employee directors shall receive annual cash compensation of $25,000, payable in quarterly installments. Upon joining the board of directors, non-employee directors shall receive a grant of RSUs with an approximate value of $75,000, vesting in three equal annual installments commencing on the first anniversary of the grant date. The Compensation Committee is empowered to grant additional equity awards based upon individual contribution to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9"/>
              </w:rPr>
              <w:t>Incorporated by Reference</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3"/>
                <w:szCs w:val="13"/>
                <w:b w:val="1"/>
                <w:bCs w:val="1"/>
                <w:color w:val="auto"/>
              </w:rPr>
              <w:t>Exhibit No.</w:t>
            </w:r>
          </w:p>
        </w:tc>
        <w:tc>
          <w:tcPr>
            <w:tcW w:w="120" w:type="dxa"/>
            <w:vAlign w:val="bottom"/>
          </w:tcPr>
          <w:p>
            <w:pPr>
              <w:spacing w:after="0"/>
              <w:rPr>
                <w:sz w:val="12"/>
                <w:szCs w:val="12"/>
                <w:color w:val="auto"/>
              </w:rPr>
            </w:pPr>
          </w:p>
        </w:tc>
        <w:tc>
          <w:tcPr>
            <w:tcW w:w="4740" w:type="dxa"/>
            <w:vAlign w:val="bottom"/>
            <w:gridSpan w:val="9"/>
          </w:tcPr>
          <w:p>
            <w:pPr>
              <w:spacing w:after="0" w:line="142" w:lineRule="exact"/>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2"/>
                <w:szCs w:val="12"/>
                <w:color w:val="auto"/>
              </w:rPr>
            </w:pPr>
          </w:p>
        </w:tc>
        <w:tc>
          <w:tcPr>
            <w:tcW w:w="1000" w:type="dxa"/>
            <w:vAlign w:val="bottom"/>
          </w:tcPr>
          <w:p>
            <w:pPr>
              <w:spacing w:after="0" w:line="142" w:lineRule="exact"/>
              <w:rPr>
                <w:sz w:val="20"/>
                <w:szCs w:val="20"/>
                <w:color w:val="auto"/>
              </w:rPr>
            </w:pPr>
            <w:r>
              <w:rPr>
                <w:rFonts w:ascii="Arial" w:cs="Arial" w:eastAsia="Arial" w:hAnsi="Arial"/>
                <w:sz w:val="13"/>
                <w:szCs w:val="13"/>
                <w:b w:val="1"/>
                <w:bCs w:val="1"/>
                <w:color w:val="auto"/>
              </w:rPr>
              <w:t>Form</w:t>
            </w:r>
          </w:p>
        </w:tc>
        <w:tc>
          <w:tcPr>
            <w:tcW w:w="56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w w:val="93"/>
              </w:rPr>
              <w:t>File No.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line="142" w:lineRule="exact"/>
              <w:rPr>
                <w:sz w:val="20"/>
                <w:szCs w:val="20"/>
                <w:color w:val="auto"/>
              </w:rPr>
            </w:pPr>
            <w:r>
              <w:rPr>
                <w:rFonts w:ascii="Arial" w:cs="Arial" w:eastAsia="Arial" w:hAnsi="Arial"/>
                <w:sz w:val="13"/>
                <w:szCs w:val="13"/>
                <w:b w:val="1"/>
                <w:bCs w:val="1"/>
                <w:color w:val="auto"/>
              </w:rPr>
              <w:t>Exhibit</w:t>
            </w:r>
          </w:p>
        </w:tc>
        <w:tc>
          <w:tcPr>
            <w:tcW w:w="140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auto"/>
            </w:tcBorders>
            <w:gridSpan w:val="8"/>
          </w:tcPr>
          <w:p>
            <w:pPr>
              <w:spacing w:after="0" w:line="142" w:lineRule="exact"/>
              <w:rPr>
                <w:rFonts w:ascii="Arial" w:cs="Arial" w:eastAsia="Arial" w:hAnsi="Arial"/>
                <w:sz w:val="14"/>
                <w:szCs w:val="14"/>
                <w:color w:val="0000EE"/>
              </w:rPr>
            </w:pPr>
            <w:hyperlink w:anchor="page26">
              <w:r>
                <w:rPr>
                  <w:rFonts w:ascii="Arial" w:cs="Arial" w:eastAsia="Arial" w:hAnsi="Arial"/>
                  <w:sz w:val="14"/>
                  <w:szCs w:val="14"/>
                  <w:color w:val="0000EE"/>
                </w:rPr>
                <w:t>Certification of Chief Executive Officer filed pursuant to Exchange Act Rules</w:t>
              </w:r>
            </w:hyperlink>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89"/>
              </w:rPr>
            </w:pPr>
            <w:hyperlink w:anchor="page26">
              <w:r>
                <w:rPr>
                  <w:rFonts w:ascii="Arial" w:cs="Arial" w:eastAsia="Arial" w:hAnsi="Arial"/>
                  <w:sz w:val="14"/>
                  <w:szCs w:val="14"/>
                  <w:color w:val="0000EE"/>
                  <w:w w:val="89"/>
                </w:rPr>
                <w:t>13a-14(a) and 15d-14(a) of the Securities and Exchange Act of 1934 as adopted</w:t>
              </w:r>
            </w:hyperlink>
          </w:p>
        </w:tc>
        <w:tc>
          <w:tcPr>
            <w:tcW w:w="60" w:type="dxa"/>
            <w:vAlign w:val="bottom"/>
            <w:tcBorders>
              <w:bottom w:val="single" w:sz="8" w:color="0000EE"/>
            </w:tcBorders>
          </w:tcPr>
          <w:p>
            <w:pPr>
              <w:spacing w:after="0"/>
              <w:rPr>
                <w:sz w:val="11"/>
                <w:szCs w:val="11"/>
                <w:color w:val="auto"/>
              </w:rPr>
            </w:pPr>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1"/>
                <w:szCs w:val="11"/>
                <w:color w:val="auto"/>
              </w:rPr>
            </w:pPr>
          </w:p>
        </w:tc>
        <w:tc>
          <w:tcPr>
            <w:tcW w:w="4600" w:type="dxa"/>
            <w:vAlign w:val="bottom"/>
            <w:gridSpan w:val="8"/>
          </w:tcPr>
          <w:p>
            <w:pPr>
              <w:spacing w:after="0" w:line="129" w:lineRule="exact"/>
              <w:rPr>
                <w:rFonts w:ascii="Arial" w:cs="Arial" w:eastAsia="Arial" w:hAnsi="Arial"/>
                <w:sz w:val="14"/>
                <w:szCs w:val="14"/>
                <w:color w:val="0000EE"/>
              </w:rPr>
            </w:pPr>
            <w:hyperlink w:anchor="page26">
              <w:r>
                <w:rPr>
                  <w:rFonts w:ascii="Arial" w:cs="Arial" w:eastAsia="Arial" w:hAnsi="Arial"/>
                  <w:sz w:val="14"/>
                  <w:szCs w:val="14"/>
                  <w:color w:val="0000EE"/>
                </w:rPr>
                <w:t>pursuant to Section 302 of the Sarbanes-Oxley Act of 2002</w:t>
              </w:r>
              <w:r>
                <w:rPr>
                  <w:rFonts w:ascii="Arial" w:cs="Arial" w:eastAsia="Arial" w:hAnsi="Arial"/>
                  <w:sz w:val="14"/>
                  <w:szCs w:val="14"/>
                  <w:color w:val="000000"/>
                </w:rPr>
                <w:t>.</w:t>
              </w:r>
            </w:hyperlink>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tcBorders>
              <w:top w:val="single" w:sz="8" w:color="0000EE"/>
            </w:tcBorders>
            <w:gridSpan w:val="2"/>
          </w:tcPr>
          <w:p>
            <w:pPr>
              <w:spacing w:after="0" w:line="142" w:lineRule="exact"/>
              <w:rPr>
                <w:rFonts w:ascii="Arial" w:cs="Arial" w:eastAsia="Arial" w:hAnsi="Arial"/>
                <w:sz w:val="14"/>
                <w:szCs w:val="14"/>
                <w:color w:val="0000EE"/>
              </w:rPr>
            </w:pPr>
            <w:hyperlink w:anchor="page27">
              <w:r>
                <w:rPr>
                  <w:rFonts w:ascii="Arial" w:cs="Arial" w:eastAsia="Arial" w:hAnsi="Arial"/>
                  <w:sz w:val="14"/>
                  <w:szCs w:val="14"/>
                  <w:color w:val="0000EE"/>
                </w:rPr>
                <w:t>Certification of Chief Financial Officer filed pursuant to</w:t>
              </w:r>
            </w:hyperlink>
          </w:p>
        </w:tc>
        <w:tc>
          <w:tcPr>
            <w:tcW w:w="1340" w:type="dxa"/>
            <w:vAlign w:val="bottom"/>
            <w:gridSpan w:val="7"/>
          </w:tcPr>
          <w:p>
            <w:pPr>
              <w:spacing w:after="0" w:line="142" w:lineRule="exact"/>
              <w:rPr>
                <w:rFonts w:ascii="Arial" w:cs="Arial" w:eastAsia="Arial" w:hAnsi="Arial"/>
                <w:sz w:val="14"/>
                <w:szCs w:val="14"/>
                <w:color w:val="0000EE"/>
              </w:rPr>
            </w:pPr>
            <w:hyperlink w:anchor="page27">
              <w:r>
                <w:rPr>
                  <w:rFonts w:ascii="Arial" w:cs="Arial" w:eastAsia="Arial" w:hAnsi="Arial"/>
                  <w:sz w:val="14"/>
                  <w:szCs w:val="14"/>
                  <w:color w:val="0000EE"/>
                </w:rPr>
                <w:t>Exchange Act Rules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740" w:type="dxa"/>
            <w:vAlign w:val="bottom"/>
            <w:gridSpan w:val="9"/>
          </w:tcPr>
          <w:p>
            <w:pPr>
              <w:spacing w:after="0" w:line="129" w:lineRule="exact"/>
              <w:rPr>
                <w:rFonts w:ascii="Arial" w:cs="Arial" w:eastAsia="Arial" w:hAnsi="Arial"/>
                <w:sz w:val="14"/>
                <w:szCs w:val="14"/>
                <w:color w:val="0000EE"/>
                <w:w w:val="94"/>
              </w:rPr>
            </w:pPr>
            <w:hyperlink w:anchor="page27">
              <w:r>
                <w:rPr>
                  <w:rFonts w:ascii="Arial" w:cs="Arial" w:eastAsia="Arial" w:hAnsi="Arial"/>
                  <w:sz w:val="14"/>
                  <w:szCs w:val="14"/>
                  <w:color w:val="0000EE"/>
                  <w:w w:val="94"/>
                </w:rPr>
                <w:t>13a-14(a) and 15d-14(a) of the Securities and Exchange Act of 1934 as adopted</w:t>
              </w:r>
            </w:hyperlink>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1"/>
                <w:szCs w:val="11"/>
                <w:color w:val="auto"/>
              </w:rPr>
            </w:pPr>
          </w:p>
        </w:tc>
        <w:tc>
          <w:tcPr>
            <w:tcW w:w="460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pursuant to Section 302 of the Sarbanes-Oxley Act of 2002</w:t>
              </w:r>
              <w:r>
                <w:rPr>
                  <w:rFonts w:ascii="Arial" w:cs="Arial" w:eastAsia="Arial" w:hAnsi="Arial"/>
                  <w:sz w:val="14"/>
                  <w:szCs w:val="14"/>
                  <w:color w:val="000000"/>
                </w:rPr>
                <w:t>.</w:t>
              </w:r>
            </w:hyperlink>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9"/>
          </w:tcPr>
          <w:p>
            <w:pPr>
              <w:spacing w:after="0" w:line="142" w:lineRule="exact"/>
              <w:rPr>
                <w:rFonts w:ascii="Arial" w:cs="Arial" w:eastAsia="Arial" w:hAnsi="Arial"/>
                <w:sz w:val="14"/>
                <w:szCs w:val="14"/>
                <w:color w:val="0000EE"/>
                <w:w w:val="97"/>
              </w:rPr>
            </w:pPr>
            <w:hyperlink w:anchor="page28">
              <w:r>
                <w:rPr>
                  <w:rFonts w:ascii="Arial" w:cs="Arial" w:eastAsia="Arial" w:hAnsi="Arial"/>
                  <w:sz w:val="14"/>
                  <w:szCs w:val="14"/>
                  <w:color w:val="0000EE"/>
                  <w:w w:val="97"/>
                </w:rPr>
                <w:t>Certification by Chief Executive Officer pursuant to 18 U.S.C. Section 1350, as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1"/>
                <w:szCs w:val="11"/>
                <w:color w:val="auto"/>
              </w:rPr>
            </w:pPr>
          </w:p>
        </w:tc>
        <w:tc>
          <w:tcPr>
            <w:tcW w:w="45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adopted pursuant to Section 906 of the Sarbanes-Oxley Act of 2002</w:t>
              </w:r>
              <w:r>
                <w:rPr>
                  <w:rFonts w:ascii="Arial" w:cs="Arial" w:eastAsia="Arial" w:hAnsi="Arial"/>
                  <w:sz w:val="14"/>
                  <w:szCs w:val="14"/>
                  <w:color w:val="000000"/>
                </w:rPr>
                <w:t>.</w:t>
              </w:r>
            </w:hyperlink>
          </w:p>
        </w:tc>
        <w:tc>
          <w:tcPr>
            <w:tcW w:w="1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9"/>
          </w:tcPr>
          <w:p>
            <w:pPr>
              <w:spacing w:after="0" w:line="142" w:lineRule="exact"/>
              <w:rPr>
                <w:rFonts w:ascii="Arial" w:cs="Arial" w:eastAsia="Arial" w:hAnsi="Arial"/>
                <w:sz w:val="14"/>
                <w:szCs w:val="14"/>
                <w:color w:val="0000EE"/>
                <w:w w:val="98"/>
              </w:rPr>
            </w:pPr>
            <w:hyperlink w:anchor="page29">
              <w:r>
                <w:rPr>
                  <w:rFonts w:ascii="Arial" w:cs="Arial" w:eastAsia="Arial" w:hAnsi="Arial"/>
                  <w:sz w:val="14"/>
                  <w:szCs w:val="14"/>
                  <w:color w:val="0000EE"/>
                  <w:w w:val="98"/>
                </w:rPr>
                <w:t>Certification by Chief Financial Officer pursuant to 18 U.S.C. Section 1350, as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101.INS</w:t>
            </w:r>
          </w:p>
        </w:tc>
        <w:tc>
          <w:tcPr>
            <w:tcW w:w="120" w:type="dxa"/>
            <w:vAlign w:val="bottom"/>
          </w:tcPr>
          <w:p>
            <w:pPr>
              <w:spacing w:after="0"/>
              <w:rPr>
                <w:sz w:val="11"/>
                <w:szCs w:val="11"/>
                <w:color w:val="auto"/>
              </w:rPr>
            </w:pPr>
          </w:p>
        </w:tc>
        <w:tc>
          <w:tcPr>
            <w:tcW w:w="454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29">
              <w:r>
                <w:rPr>
                  <w:rFonts w:ascii="Arial" w:cs="Arial" w:eastAsia="Arial" w:hAnsi="Arial"/>
                  <w:sz w:val="14"/>
                  <w:szCs w:val="14"/>
                  <w:color w:val="0000EE"/>
                </w:rPr>
                <w:t>adopted pursuant to Section 906 of the Sarbanes-Oxley Act of 2002</w:t>
              </w:r>
              <w:r>
                <w:rPr>
                  <w:rFonts w:ascii="Arial" w:cs="Arial" w:eastAsia="Arial" w:hAnsi="Arial"/>
                  <w:sz w:val="14"/>
                  <w:szCs w:val="14"/>
                  <w:color w:val="000000"/>
                </w:rPr>
                <w:t>.</w:t>
              </w:r>
            </w:hyperlink>
          </w:p>
        </w:tc>
        <w:tc>
          <w:tcPr>
            <w:tcW w:w="20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7"/>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900" w:type="dxa"/>
            <w:vAlign w:val="bottom"/>
            <w:tcBorders>
              <w:top w:val="single" w:sz="8" w:color="0000EE"/>
            </w:tcBorders>
            <w:gridSpan w:val="3"/>
          </w:tcPr>
          <w:p>
            <w:pPr>
              <w:spacing w:after="0" w:line="137" w:lineRule="exact"/>
              <w:rPr>
                <w:sz w:val="20"/>
                <w:szCs w:val="20"/>
                <w:color w:val="auto"/>
              </w:rPr>
            </w:pPr>
            <w:r>
              <w:rPr>
                <w:rFonts w:ascii="Arial" w:cs="Arial" w:eastAsia="Arial" w:hAnsi="Arial"/>
                <w:sz w:val="14"/>
                <w:szCs w:val="14"/>
                <w:color w:val="auto"/>
                <w:w w:val="94"/>
              </w:rPr>
              <w:t>Inline XBRL Instance Document – the instance document does not</w:t>
            </w:r>
          </w:p>
        </w:tc>
        <w:tc>
          <w:tcPr>
            <w:tcW w:w="840" w:type="dxa"/>
            <w:vAlign w:val="bottom"/>
            <w:gridSpan w:val="6"/>
          </w:tcPr>
          <w:p>
            <w:pPr>
              <w:spacing w:after="0" w:line="137" w:lineRule="exact"/>
              <w:rPr>
                <w:sz w:val="20"/>
                <w:szCs w:val="20"/>
                <w:color w:val="auto"/>
              </w:rPr>
            </w:pPr>
            <w:r>
              <w:rPr>
                <w:rFonts w:ascii="Arial" w:cs="Arial" w:eastAsia="Arial" w:hAnsi="Arial"/>
                <w:sz w:val="14"/>
                <w:szCs w:val="14"/>
                <w:color w:val="auto"/>
              </w:rPr>
              <w:t>appear in the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9"/>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9"/>
          </w:tcPr>
          <w:p>
            <w:pPr>
              <w:spacing w:after="0"/>
              <w:rPr>
                <w:sz w:val="20"/>
                <w:szCs w:val="20"/>
                <w:color w:val="auto"/>
              </w:rPr>
            </w:pPr>
            <w:r>
              <w:rPr>
                <w:rFonts w:ascii="Arial" w:cs="Arial" w:eastAsia="Arial" w:hAnsi="Arial"/>
                <w:sz w:val="14"/>
                <w:szCs w:val="14"/>
                <w:color w:val="auto"/>
              </w:rPr>
              <w:t>XBRL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101.SCH</w:t>
            </w:r>
          </w:p>
        </w:tc>
        <w:tc>
          <w:tcPr>
            <w:tcW w:w="120" w:type="dxa"/>
            <w:vAlign w:val="bottom"/>
          </w:tcPr>
          <w:p>
            <w:pPr>
              <w:spacing w:after="0"/>
              <w:rPr>
                <w:sz w:val="14"/>
                <w:szCs w:val="14"/>
                <w:color w:val="auto"/>
              </w:rPr>
            </w:pPr>
          </w:p>
        </w:tc>
        <w:tc>
          <w:tcPr>
            <w:tcW w:w="4740" w:type="dxa"/>
            <w:vAlign w:val="bottom"/>
            <w:gridSpan w:val="9"/>
          </w:tcPr>
          <w:p>
            <w:pPr>
              <w:spacing w:after="0"/>
              <w:rPr>
                <w:sz w:val="20"/>
                <w:szCs w:val="20"/>
                <w:color w:val="auto"/>
              </w:rPr>
            </w:pPr>
            <w:r>
              <w:rPr>
                <w:rFonts w:ascii="Arial" w:cs="Arial" w:eastAsia="Arial" w:hAnsi="Arial"/>
                <w:sz w:val="14"/>
                <w:szCs w:val="14"/>
                <w:color w:val="auto"/>
              </w:rPr>
              <w:t>Inline XBRL Taxonomy Extension Schema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120" w:type="dxa"/>
            <w:vAlign w:val="bottom"/>
          </w:tcPr>
          <w:p>
            <w:pPr>
              <w:spacing w:after="0"/>
              <w:rPr>
                <w:sz w:val="14"/>
                <w:szCs w:val="14"/>
                <w:color w:val="auto"/>
              </w:rPr>
            </w:pPr>
          </w:p>
        </w:tc>
        <w:tc>
          <w:tcPr>
            <w:tcW w:w="4740" w:type="dxa"/>
            <w:vAlign w:val="bottom"/>
            <w:gridSpan w:val="9"/>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120" w:type="dxa"/>
            <w:vAlign w:val="bottom"/>
          </w:tcPr>
          <w:p>
            <w:pPr>
              <w:spacing w:after="0"/>
              <w:rPr>
                <w:sz w:val="14"/>
                <w:szCs w:val="14"/>
                <w:color w:val="auto"/>
              </w:rPr>
            </w:pPr>
          </w:p>
        </w:tc>
        <w:tc>
          <w:tcPr>
            <w:tcW w:w="4740" w:type="dxa"/>
            <w:vAlign w:val="bottom"/>
            <w:gridSpan w:val="9"/>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120" w:type="dxa"/>
            <w:vAlign w:val="bottom"/>
          </w:tcPr>
          <w:p>
            <w:pPr>
              <w:spacing w:after="0"/>
              <w:rPr>
                <w:sz w:val="14"/>
                <w:szCs w:val="14"/>
                <w:color w:val="auto"/>
              </w:rPr>
            </w:pPr>
          </w:p>
        </w:tc>
        <w:tc>
          <w:tcPr>
            <w:tcW w:w="4740" w:type="dxa"/>
            <w:vAlign w:val="bottom"/>
            <w:gridSpan w:val="9"/>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120" w:type="dxa"/>
            <w:vAlign w:val="bottom"/>
          </w:tcPr>
          <w:p>
            <w:pPr>
              <w:spacing w:after="0"/>
              <w:rPr>
                <w:sz w:val="14"/>
                <w:szCs w:val="14"/>
                <w:color w:val="auto"/>
              </w:rPr>
            </w:pPr>
          </w:p>
        </w:tc>
        <w:tc>
          <w:tcPr>
            <w:tcW w:w="4740" w:type="dxa"/>
            <w:vAlign w:val="bottom"/>
            <w:gridSpan w:val="9"/>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4740" w:type="dxa"/>
            <w:vAlign w:val="bottom"/>
            <w:gridSpan w:val="9"/>
          </w:tcPr>
          <w:p>
            <w:pPr>
              <w:spacing w:after="0"/>
              <w:rPr>
                <w:sz w:val="20"/>
                <w:szCs w:val="20"/>
                <w:color w:val="auto"/>
              </w:rPr>
            </w:pPr>
            <w:r>
              <w:rPr>
                <w:rFonts w:ascii="Arial" w:cs="Arial" w:eastAsia="Arial" w:hAnsi="Arial"/>
                <w:sz w:val="14"/>
                <w:szCs w:val="14"/>
                <w:color w:val="auto"/>
                <w:w w:val="95"/>
              </w:rPr>
              <w:t>Cover Page Interactive Data File (embedded within the Inline XBRL document).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00" w:right="120" w:hanging="992"/>
        <w:spacing w:after="0" w:line="253" w:lineRule="auto"/>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40"/>
        <w:spacing w:after="0"/>
        <w:tabs>
          <w:tab w:leader="none" w:pos="7140" w:val="left"/>
        </w:tabs>
        <w:rPr>
          <w:sz w:val="20"/>
          <w:szCs w:val="20"/>
          <w:color w:val="auto"/>
        </w:rPr>
      </w:pPr>
      <w:r>
        <w:rPr>
          <w:rFonts w:ascii="Arial" w:cs="Arial" w:eastAsia="Arial" w:hAnsi="Arial"/>
          <w:sz w:val="18"/>
          <w:szCs w:val="18"/>
          <w:color w:val="auto"/>
        </w:rPr>
        <w:t>August 11, 2021</w:t>
      </w:r>
      <w:r>
        <w:rPr>
          <w:sz w:val="20"/>
          <w:szCs w:val="20"/>
          <w:color w:val="auto"/>
        </w:rPr>
        <w:tab/>
      </w:r>
      <w:r>
        <w:rPr>
          <w:rFonts w:ascii="Arial" w:cs="Arial" w:eastAsia="Arial" w:hAnsi="Arial"/>
          <w:sz w:val="16"/>
          <w:szCs w:val="16"/>
          <w:b w:val="1"/>
          <w:bCs w:val="1"/>
          <w:color w:val="auto"/>
        </w:rPr>
        <w:t>Red Violet,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Daniel MacLachlan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553" w:right="3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August 11, 2021</w:t>
            </w:r>
          </w:p>
        </w:tc>
        <w:tc>
          <w:tcPr>
            <w:tcW w:w="7560" w:type="dxa"/>
            <w:vAlign w:val="bottom"/>
            <w:gridSpan w:val="2"/>
          </w:tcPr>
          <w:p>
            <w:pPr>
              <w:ind w:left="2480"/>
              <w:spacing w:after="0"/>
              <w:rPr>
                <w:sz w:val="20"/>
                <w:szCs w:val="20"/>
                <w:color w:val="auto"/>
              </w:rPr>
            </w:pPr>
            <w:r>
              <w:rPr>
                <w:rFonts w:ascii="Arial" w:cs="Arial" w:eastAsia="Arial" w:hAnsi="Arial"/>
                <w:sz w:val="18"/>
                <w:szCs w:val="18"/>
                <w:color w:val="auto"/>
              </w:rPr>
              <w:t>By:  /s/ Derek Dubner</w:t>
            </w:r>
          </w:p>
        </w:tc>
      </w:tr>
      <w:tr>
        <w:trPr>
          <w:trHeight w:val="195"/>
        </w:trPr>
        <w:tc>
          <w:tcPr>
            <w:tcW w:w="3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August 11, 2021</w:t>
            </w:r>
          </w:p>
        </w:tc>
        <w:tc>
          <w:tcPr>
            <w:tcW w:w="7560" w:type="dxa"/>
            <w:vAlign w:val="bottom"/>
            <w:gridSpan w:val="2"/>
          </w:tcPr>
          <w:p>
            <w:pPr>
              <w:ind w:left="2480"/>
              <w:spacing w:after="0"/>
              <w:rPr>
                <w:sz w:val="20"/>
                <w:szCs w:val="20"/>
                <w:color w:val="auto"/>
              </w:rPr>
            </w:pPr>
            <w:r>
              <w:rPr>
                <w:rFonts w:ascii="Arial" w:cs="Arial" w:eastAsia="Arial" w:hAnsi="Arial"/>
                <w:sz w:val="18"/>
                <w:szCs w:val="18"/>
                <w:color w:val="auto"/>
              </w:rPr>
              <w:t>By:  /s/ Daniel MacLachlan</w:t>
            </w:r>
          </w:p>
        </w:tc>
      </w:tr>
      <w:tr>
        <w:trPr>
          <w:trHeight w:val="195"/>
        </w:trPr>
        <w:tc>
          <w:tcPr>
            <w:tcW w:w="3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June 30, 2021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August 11, 2021</w:t>
            </w:r>
          </w:p>
        </w:tc>
        <w:tc>
          <w:tcPr>
            <w:tcW w:w="7280" w:type="dxa"/>
            <w:vAlign w:val="bottom"/>
            <w:gridSpan w:val="2"/>
          </w:tcPr>
          <w:p>
            <w:pPr>
              <w:ind w:left="2760"/>
              <w:spacing w:after="0"/>
              <w:rPr>
                <w:sz w:val="20"/>
                <w:szCs w:val="20"/>
                <w:color w:val="auto"/>
              </w:rPr>
            </w:pPr>
            <w:r>
              <w:rPr>
                <w:rFonts w:ascii="Arial" w:cs="Arial" w:eastAsia="Arial" w:hAnsi="Arial"/>
                <w:sz w:val="18"/>
                <w:szCs w:val="18"/>
                <w:color w:val="auto"/>
              </w:rPr>
              <w:t>By:  /s/ Derek Dubner</w:t>
            </w:r>
          </w:p>
        </w:tc>
      </w:tr>
      <w:tr>
        <w:trPr>
          <w:trHeight w:val="195"/>
        </w:trPr>
        <w:tc>
          <w:tcPr>
            <w:tcW w:w="39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June 30, 2021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August 11, 2021</w:t>
            </w:r>
          </w:p>
        </w:tc>
        <w:tc>
          <w:tcPr>
            <w:tcW w:w="7280" w:type="dxa"/>
            <w:vAlign w:val="bottom"/>
            <w:gridSpan w:val="2"/>
          </w:tcPr>
          <w:p>
            <w:pPr>
              <w:ind w:left="2760"/>
              <w:spacing w:after="0"/>
              <w:rPr>
                <w:sz w:val="20"/>
                <w:szCs w:val="20"/>
                <w:color w:val="auto"/>
              </w:rPr>
            </w:pPr>
            <w:r>
              <w:rPr>
                <w:rFonts w:ascii="Arial" w:cs="Arial" w:eastAsia="Arial" w:hAnsi="Arial"/>
                <w:sz w:val="18"/>
                <w:szCs w:val="18"/>
                <w:color w:val="auto"/>
              </w:rPr>
              <w:t>By:  /s/ Daniel MacLachlan</w:t>
            </w:r>
          </w:p>
        </w:tc>
      </w:tr>
      <w:tr>
        <w:trPr>
          <w:trHeight w:val="195"/>
        </w:trPr>
        <w:tc>
          <w:tcPr>
            <w:tcW w:w="39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2021-08-11T16:52:29Z</dcterms:created>
  <dcterms:modified xsi:type="dcterms:W3CDTF">2021-08-11T16:52:29Z</dcterms:modified>
</cp:coreProperties>
</file>