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vt-20230807.htm"/>
      <w:bookmarkStart w:id="1" w:name="ksrdvt20230807"/>
      <w:bookmarkEnd w:id="0"/>
      <w:bookmarkEnd w:id="1"/>
      <w:r>
        <w:rPr/>
        <w:t> </w:t>
      </w:r>
    </w:p>
    <w:p>
      <w:pPr>
        <w:pStyle w:val="TextBody"/>
        <w:pBdr>
          <w:bottom w:val="double" w:sz="6" w:space="1" w:color="000000"/>
        </w:pBdr>
        <w:bidi w:val="0"/>
        <w:spacing w:before="120" w:after="0"/>
        <w:jc w:val="center"/>
        <w:rPr/>
      </w:pPr>
      <w:r>
        <w:rPr/>
        <w:t> </w:t>
      </w:r>
    </w:p>
    <w:p>
      <w:pPr>
        <w:pStyle w:val="TextBody"/>
        <w:bidi w:val="0"/>
        <w:spacing w:before="120" w:after="0"/>
        <w:jc w:val="center"/>
        <w:rPr>
          <w:rFonts w:ascii="Times New Roman;serif" w:hAnsi="Times New Roman;serif"/>
          <w:b/>
          <w:sz w:val="28"/>
        </w:rPr>
      </w:pPr>
      <w:r>
        <w:rPr>
          <w:rFonts w:ascii="Times New Roman;serif" w:hAnsi="Times New Roman;serif"/>
          <w:b/>
          <w:sz w:val="28"/>
        </w:rPr>
        <w:t>UNITED STATES</w:t>
        <w:br/>
        <w:t>SECURITIES AND EXCHANGE COMMISSION</w:t>
      </w:r>
    </w:p>
    <w:p>
      <w:pPr>
        <w:pStyle w:val="TextBody"/>
        <w:bidi w:val="0"/>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p>
      <w:pPr>
        <w:pStyle w:val="TextBody"/>
        <w:bidi w:val="0"/>
        <w:spacing w:before="0" w:after="0"/>
        <w:jc w:val="center"/>
        <w:rPr>
          <w:rFonts w:ascii="Times New Roman;serif" w:hAnsi="Times New Roman;serif"/>
          <w:b/>
          <w:sz w:val="32"/>
        </w:rPr>
      </w:pPr>
      <w:r>
        <w:rPr>
          <w:rFonts w:ascii="Times New Roman;serif" w:hAnsi="Times New Roman;serif"/>
          <w:b/>
          <w:sz w:val="32"/>
        </w:rPr>
        <w:t>FORM 8-K</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p>
      <w:pPr>
        <w:pStyle w:val="TextBody"/>
        <w:bidi w:val="0"/>
        <w:spacing w:before="0" w:after="240"/>
        <w:jc w:val="center"/>
        <w:rPr>
          <w:rFonts w:ascii="Times New Roman;serif" w:hAnsi="Times New Roman;serif"/>
          <w:b/>
          <w:sz w:val="23"/>
        </w:rPr>
      </w:pPr>
      <w:r>
        <w:rPr>
          <w:rFonts w:ascii="Times New Roman;serif" w:hAnsi="Times New Roman;serif"/>
          <w:b/>
          <w:sz w:val="23"/>
        </w:rPr>
        <w:t>CURRENT REPORT</w:t>
      </w:r>
    </w:p>
    <w:p>
      <w:pPr>
        <w:pStyle w:val="TextBody"/>
        <w:bidi w:val="0"/>
        <w:spacing w:before="0" w:after="120"/>
        <w:jc w:val="center"/>
        <w:rPr>
          <w:rFonts w:ascii="Times New Roman;serif" w:hAnsi="Times New Roman;serif"/>
          <w:b/>
          <w:sz w:val="22"/>
        </w:rPr>
      </w:pPr>
      <w:r>
        <w:rPr>
          <w:rFonts w:ascii="Times New Roman;serif" w:hAnsi="Times New Roman;serif"/>
          <w:b/>
          <w:sz w:val="22"/>
        </w:rPr>
        <w:t>Pursuant to Section 13 or 15(d) of the</w:t>
        <w:br/>
        <w:t>Securities Exchange Act of 1934</w:t>
      </w:r>
    </w:p>
    <w:p>
      <w:pPr>
        <w:pStyle w:val="TextBody"/>
        <w:bidi w:val="0"/>
        <w:spacing w:before="0" w:after="0"/>
        <w:jc w:val="center"/>
        <w:rPr>
          <w:rFonts w:ascii="Times New Roman;serif" w:hAnsi="Times New Roman;serif"/>
          <w:b/>
          <w:sz w:val="22"/>
        </w:rPr>
      </w:pPr>
      <w:r>
        <w:rPr>
          <w:rFonts w:ascii="Times New Roman;serif" w:hAnsi="Times New Roman;serif"/>
          <w:b/>
          <w:sz w:val="22"/>
        </w:rPr>
        <w:br/>
        <w:t>Date of Report (date of earliest event reported): August 7, 2023</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p>
      <w:pPr>
        <w:pStyle w:val="TextBody"/>
        <w:bidi w:val="0"/>
        <w:spacing w:before="0" w:after="0"/>
        <w:jc w:val="center"/>
        <w:rPr>
          <w:rFonts w:ascii="Times New Roman;serif" w:hAnsi="Times New Roman;serif"/>
          <w:b/>
          <w:sz w:val="40"/>
        </w:rPr>
      </w:pPr>
      <w:r>
        <w:rPr>
          <w:rFonts w:ascii="Times New Roman;serif" w:hAnsi="Times New Roman;serif"/>
          <w:b/>
          <w:sz w:val="40"/>
        </w:rPr>
        <w:t>RED VIOLET, INC.</w:t>
      </w:r>
    </w:p>
    <w:p>
      <w:pPr>
        <w:pStyle w:val="TextBody"/>
        <w:bidi w:val="0"/>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Delaware</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08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001-38407</w:t>
            </w:r>
          </w:p>
          <w:p>
            <w:pPr>
              <w:pStyle w:val="TableContents"/>
              <w:bidi w:val="0"/>
              <w:spacing w:before="0" w:after="0"/>
              <w:ind w:left="0" w:right="0" w:hanging="0"/>
              <w:jc w:val="left"/>
              <w:rPr>
                <w:rFonts w:ascii="Times New Roman" w:hAnsi="Times New Roman"/>
                <w:sz w:val="16"/>
              </w:rPr>
            </w:pPr>
            <w:r>
              <w:rPr>
                <w:rFonts w:ascii="Times New Roman;serif" w:hAnsi="Times New Roman;serif"/>
                <w:b/>
                <w:sz w:val="16"/>
              </w:rPr>
              <w:t>(Commission</w:t>
            </w:r>
            <w:r>
              <w:rPr>
                <w:rFonts w:ascii="Times New Roman" w:hAnsi="Times New Roman"/>
                <w:sz w:val="16"/>
              </w:rPr>
              <w:t xml:space="preserve"> </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File Number)</w:t>
            </w:r>
          </w:p>
        </w:tc>
        <w:tc>
          <w:tcPr>
            <w:tcW w:w="146" w:type="dxa"/>
            <w:tcBorders/>
            <w:tcMar>
              <w:top w:w="0" w:type="dxa"/>
              <w:left w:w="0" w:type="dxa"/>
              <w:bottom w:w="0" w:type="dxa"/>
              <w:right w:w="0" w:type="dxa"/>
            </w:tcMar>
            <w:vAlign w:val="center"/>
          </w:tcPr>
          <w:p>
            <w:pPr>
              <w:pStyle w:val="TableContents"/>
              <w:bidi w:val="0"/>
              <w:spacing w:before="0" w:after="0"/>
              <w:ind w:left="0" w:right="0" w:hanging="0"/>
              <w:jc w:val="left"/>
              <w:rPr/>
            </w:pPr>
            <w:r>
              <w:rPr/>
              <w:t> </w:t>
            </w:r>
          </w:p>
        </w:tc>
        <w:tc>
          <w:tcPr>
            <w:tcW w:w="18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82-2408531</w:t>
            </w:r>
          </w:p>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(I.R.S. Employer</w:t>
              <w:br/>
              <w:t>Identification Number)</w:t>
            </w:r>
          </w:p>
        </w:tc>
      </w:tr>
    </w:tbl>
    <w:p>
      <w:pPr>
        <w:pStyle w:val="TextBody"/>
        <w:bidi w:val="0"/>
        <w:spacing w:before="0" w:after="0"/>
        <w:jc w:val="left"/>
        <w:rPr/>
      </w:pPr>
      <w:r>
        <w:rPr/>
        <w:t> </w:t>
      </w:r>
    </w:p>
    <w:p>
      <w:pPr>
        <w:pStyle w:val="TextBody"/>
        <w:bidi w:val="0"/>
        <w:spacing w:before="0" w:after="240"/>
        <w:jc w:val="center"/>
        <w:rPr>
          <w:rFonts w:ascii="Times New Roman" w:hAnsi="Times New Roman"/>
          <w:sz w:val="20"/>
        </w:rPr>
      </w:pPr>
      <w:r>
        <w:rPr>
          <w:rFonts w:ascii="Times New Roman;serif" w:hAnsi="Times New Roman;serif"/>
          <w:b/>
          <w:sz w:val="20"/>
        </w:rPr>
        <w:t>2650 North Military Trail, Suite 300, Boca Raton, FL</w:t>
      </w:r>
      <w:r>
        <w:rPr>
          <w:rFonts w:ascii="Times New Roman" w:hAnsi="Times New Roman"/>
          <w:sz w:val="20"/>
        </w:rPr>
        <w:t xml:space="preserve"> </w:t>
      </w:r>
      <w:r>
        <w:rPr>
          <w:rFonts w:ascii="Times New Roman;serif" w:hAnsi="Times New Roman;serif"/>
          <w:b/>
          <w:sz w:val="20"/>
        </w:rPr>
        <w:t>33431</w:t>
        <w:br/>
      </w:r>
      <w:r>
        <w:rPr>
          <w:rFonts w:ascii="Times New Roman;serif" w:hAnsi="Times New Roman;serif"/>
          <w:b/>
          <w:sz w:val="16"/>
        </w:rPr>
        <w:t>(Address of principal executive offices)</w:t>
      </w:r>
    </w:p>
    <w:p>
      <w:pPr>
        <w:pStyle w:val="TextBody"/>
        <w:bidi w:val="0"/>
        <w:spacing w:before="0" w:after="240"/>
        <w:jc w:val="center"/>
        <w:rPr>
          <w:rFonts w:ascii="Times New Roman" w:hAnsi="Times New Roman"/>
          <w:sz w:val="20"/>
        </w:rPr>
      </w:pPr>
      <w:r>
        <w:rPr>
          <w:rFonts w:ascii="Times New Roman;serif" w:hAnsi="Times New Roman;serif"/>
          <w:b/>
          <w:sz w:val="20"/>
        </w:rPr>
        <w:t>561-757-4000</w:t>
      </w:r>
      <w:r>
        <w:rPr>
          <w:rFonts w:ascii="Times New Roman;serif" w:hAnsi="Times New Roman;serif"/>
          <w:b w:val="false"/>
          <w:sz w:val="20"/>
        </w:rPr>
        <w:br/>
      </w:r>
      <w:r>
        <w:rPr>
          <w:rFonts w:ascii="Times New Roman;serif" w:hAnsi="Times New Roman;serif"/>
          <w:b/>
          <w:sz w:val="16"/>
        </w:rPr>
        <w:t>(Registrant’s telephone number, including area code)</w:t>
      </w:r>
    </w:p>
    <w:p>
      <w:pPr>
        <w:pStyle w:val="TextBody"/>
        <w:bidi w:val="0"/>
        <w:spacing w:before="0" w:after="0"/>
        <w:jc w:val="center"/>
        <w:rPr>
          <w:rFonts w:ascii="Times New Roman" w:hAnsi="Times New Roman"/>
          <w:sz w:val="20"/>
        </w:rPr>
      </w:pPr>
      <w:r>
        <w:rPr>
          <w:rFonts w:ascii="Times New Roman;serif" w:hAnsi="Times New Roman;serif"/>
          <w:b/>
          <w:sz w:val="20"/>
        </w:rPr>
        <w:t>Not Applicable</w:t>
      </w:r>
      <w:r>
        <w:rPr>
          <w:rFonts w:ascii="Times New Roman;serif" w:hAnsi="Times New Roman;serif"/>
          <w:b w:val="false"/>
          <w:sz w:val="20"/>
        </w:rPr>
        <w:br/>
      </w:r>
      <w:r>
        <w:rPr>
          <w:rFonts w:ascii="Times New Roman;serif" w:hAnsi="Times New Roman;serif"/>
          <w:b/>
          <w:sz w:val="16"/>
        </w:rPr>
        <w:t>(Former name or former address, if changed since last report)</w:t>
      </w:r>
    </w:p>
    <w:p>
      <w:pPr>
        <w:pStyle w:val="TextBody"/>
        <w:bidi w:val="0"/>
        <w:spacing w:before="0" w:after="240"/>
        <w:jc w:val="center"/>
        <w:rPr>
          <w:rFonts w:ascii="Times New Roman;serif" w:hAnsi="Times New Roman;serif"/>
          <w:b/>
          <w:sz w:val="24"/>
        </w:rPr>
      </w:pPr>
      <w:r>
        <w:rPr>
          <w:rFonts w:ascii="Times New Roman;serif" w:hAnsi="Times New Roman;serif"/>
          <w:b/>
          <w:sz w:val="24"/>
        </w:rPr>
        <w:t>_________________</w:t>
      </w:r>
    </w:p>
    <w:p>
      <w:pPr>
        <w:pStyle w:val="TextBody"/>
        <w:bidi w:val="0"/>
        <w:spacing w:before="0" w:after="60"/>
        <w:jc w:val="both"/>
        <w:rPr>
          <w:rFonts w:ascii="Times New Roman;serif" w:hAnsi="Times New Roman;serif"/>
          <w:b w:val="false"/>
          <w:sz w:val="18"/>
        </w:rPr>
      </w:pPr>
      <w:r>
        <w:rPr>
          <w:rFonts w:ascii="Times New Roman;serif" w:hAnsi="Times New Roman;serif"/>
          <w:b w:val="false"/>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rPr/>
      </w:pPr>
      <w:r>
        <w:rPr/>
        <w:t xml:space="preserve">☐ </w:t>
      </w:r>
      <w:r>
        <w:rPr>
          <w:rFonts w:ascii="Times New Roman;serif" w:hAnsi="Times New Roman;serif"/>
          <w:b w:val="false"/>
          <w:sz w:val="18"/>
        </w:rPr>
        <w:t>Written communications pursuant to Rule 425 under the Securities Act (17 CFR 230.425)</w:t>
      </w:r>
    </w:p>
    <w:p>
      <w:pPr>
        <w:pStyle w:val="TextBody"/>
        <w:bidi w:val="0"/>
        <w:spacing w:before="0" w:after="60"/>
        <w:jc w:val="left"/>
        <w:rPr/>
      </w:pPr>
      <w:r>
        <w:rPr/>
        <w:t xml:space="preserve">☐ </w:t>
      </w:r>
      <w:r>
        <w:rPr>
          <w:rFonts w:ascii="Times New Roman;serif" w:hAnsi="Times New Roman;serif"/>
          <w:b w:val="false"/>
          <w:sz w:val="18"/>
        </w:rPr>
        <w:t>Soliciting material pursuant to Rule 14a-12 under the Exchange Act (17 CFR 240.14a-12)</w:t>
      </w:r>
    </w:p>
    <w:p>
      <w:pPr>
        <w:pStyle w:val="TextBody"/>
        <w:bidi w:val="0"/>
        <w:spacing w:before="0" w:after="60"/>
        <w:jc w:val="left"/>
        <w:rPr/>
      </w:pPr>
      <w:r>
        <w:rPr/>
        <w:t xml:space="preserve">☐ </w:t>
      </w:r>
      <w:r>
        <w:rPr>
          <w:rFonts w:ascii="Times New Roman;serif" w:hAnsi="Times New Roman;serif"/>
          <w:b w:val="false"/>
          <w:sz w:val="18"/>
        </w:rPr>
        <w:t>Pre-commencement communications pursuant to Rule 14d-2(b) under the Exchange Act (17 CFR 240.14d-2(b))</w:t>
      </w:r>
    </w:p>
    <w:p>
      <w:pPr>
        <w:pStyle w:val="TextBody"/>
        <w:bidi w:val="0"/>
        <w:spacing w:before="0" w:after="60"/>
        <w:jc w:val="left"/>
        <w:rPr/>
      </w:pPr>
      <w:r>
        <w:rPr/>
        <w:t xml:space="preserve">☐ </w:t>
      </w:r>
      <w:r>
        <w:rPr>
          <w:rFonts w:ascii="Times New Roman;serif" w:hAnsi="Times New Roman;serif"/>
          <w:b w:val="false"/>
          <w:sz w:val="18"/>
        </w:rPr>
        <w:t>Pre-commencement communications pursuant to Rule 13e-4(c) under the Exchange Act (17 CFR 240.13e-4(c))</w:t>
      </w:r>
    </w:p>
    <w:p>
      <w:pPr>
        <w:pStyle w:val="TextBody"/>
        <w:bidi w:val="0"/>
        <w:spacing w:before="120" w:after="6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ind w:left="0" w:right="0" w:hanging="0"/>
              <w:jc w:val="center"/>
              <w:rPr>
                <w:rFonts w:ascii="Times New Roman;serif" w:hAnsi="Times New Roman;serif"/>
                <w:b w:val="false"/>
                <w:sz w:val="14"/>
              </w:rPr>
            </w:pPr>
            <w:r>
              <w:rPr>
                <w:rFonts w:ascii="Times New Roman;serif" w:hAnsi="Times New Roman;serif"/>
                <w:b w:val="false"/>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ind w:left="0" w:right="0" w:hanging="0"/>
              <w:jc w:val="center"/>
              <w:rPr>
                <w:rFonts w:ascii="Times New Roman;serif" w:hAnsi="Times New Roman;serif"/>
                <w:b w:val="false"/>
                <w:sz w:val="14"/>
              </w:rPr>
            </w:pPr>
            <w:r>
              <w:rPr>
                <w:rFonts w:ascii="Times New Roman;serif" w:hAnsi="Times New Roman;serif"/>
                <w:b w:val="false"/>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ind w:left="0" w:right="0" w:hanging="0"/>
              <w:jc w:val="center"/>
              <w:rPr>
                <w:rFonts w:ascii="Times New Roman;serif" w:hAnsi="Times New Roman;serif"/>
                <w:b w:val="false"/>
                <w:sz w:val="14"/>
              </w:rPr>
            </w:pPr>
            <w:r>
              <w:rPr>
                <w:rFonts w:ascii="Times New Roman;serif" w:hAnsi="Times New Roman;serif"/>
                <w:b w:val="false"/>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ind w:left="0" w:right="0" w:hanging="0"/>
              <w:jc w:val="center"/>
              <w:rPr>
                <w:rFonts w:ascii="Times New Roman;serif" w:hAnsi="Times New Roman;serif"/>
                <w:b w:val="false"/>
                <w:sz w:val="18"/>
              </w:rPr>
            </w:pPr>
            <w:r>
              <w:rPr>
                <w:rFonts w:ascii="Times New Roman;serif" w:hAnsi="Times New Roman;serif"/>
                <w:b w:val="false"/>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ind w:left="0" w:right="0" w:hanging="0"/>
              <w:jc w:val="center"/>
              <w:rPr>
                <w:rFonts w:ascii="Times New Roman;serif" w:hAnsi="Times New Roman;serif"/>
                <w:b w:val="false"/>
                <w:sz w:val="18"/>
              </w:rPr>
            </w:pPr>
            <w:r>
              <w:rPr>
                <w:rFonts w:ascii="Times New Roman;serif" w:hAnsi="Times New Roman;serif"/>
                <w:b w:val="false"/>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ind w:left="0" w:right="0" w:hanging="0"/>
              <w:jc w:val="center"/>
              <w:rPr>
                <w:rFonts w:ascii="Times New Roman;serif" w:hAnsi="Times New Roman;serif"/>
                <w:b w:val="false"/>
                <w:sz w:val="18"/>
              </w:rPr>
            </w:pPr>
            <w:r>
              <w:rPr>
                <w:rFonts w:ascii="Times New Roman;serif" w:hAnsi="Times New Roman;serif"/>
                <w:b w:val="false"/>
                <w:sz w:val="18"/>
              </w:rPr>
              <w:t>The NASDAQ Stock Market LLC</w:t>
            </w:r>
          </w:p>
        </w:tc>
      </w:tr>
    </w:tbl>
    <w:p>
      <w:pPr>
        <w:pStyle w:val="TextBody"/>
        <w:bidi w:val="0"/>
        <w:spacing w:before="60" w:after="60"/>
        <w:jc w:val="left"/>
        <w:rPr>
          <w:rFonts w:ascii="Times New Roman;serif" w:hAnsi="Times New Roman;serif"/>
          <w:b w:val="false"/>
          <w:sz w:val="18"/>
        </w:rPr>
      </w:pPr>
      <w:r>
        <w:rPr>
          <w:rFonts w:ascii="Times New Roman;serif" w:hAnsi="Times New Roman;serif"/>
          <w:b w:val="false"/>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sz w:val="20"/>
        </w:rPr>
      </w:pPr>
      <w:r>
        <w:rPr>
          <w:rFonts w:ascii="Times New Roman;serif" w:hAnsi="Times New Roman;serif"/>
          <w:b w:val="false"/>
          <w:sz w:val="18"/>
        </w:rPr>
        <w:t xml:space="preserve">Emerging growth company </w:t>
      </w:r>
      <w:r>
        <w:rPr>
          <w:rFonts w:ascii="Times New Roman" w:hAnsi="Times New Roman"/>
          <w:sz w:val="20"/>
        </w:rPr>
        <w:t>☒</w:t>
      </w:r>
    </w:p>
    <w:p>
      <w:pPr>
        <w:pStyle w:val="TextBody"/>
        <w:bidi w:val="0"/>
        <w:spacing w:before="0" w:after="6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 xml:space="preserve">☐ </w:t>
      </w:r>
    </w:p>
    <w:p>
      <w:pPr>
        <w:pStyle w:val="TextBody"/>
        <w:pBdr>
          <w:bottom w:val="double" w:sz="6" w:space="1" w:color="000000"/>
        </w:pBdr>
        <w:bidi w:val="0"/>
        <w:spacing w:before="0" w:after="60"/>
        <w:jc w:val="left"/>
        <w:rPr/>
      </w:pPr>
      <w:r>
        <w:rPr/>
        <w:t> </w:t>
      </w:r>
    </w:p>
    <w:p>
      <w:pPr>
        <w:pStyle w:val="TextBody"/>
        <w:bidi w:val="0"/>
        <w:spacing w:before="0" w:after="0"/>
        <w:jc w:val="left"/>
        <w:rPr/>
      </w:pPr>
      <w:r>
        <w:rPr/>
        <w:t> </w:t>
      </w:r>
    </w:p>
    <w:p>
      <w:pPr>
        <w:pStyle w:val="TextBody"/>
        <w:bidi w:val="0"/>
        <w:spacing w:before="78" w:after="0"/>
        <w:jc w:val="center"/>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Item 2.02 Results of Operations and Financial Condition</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On August 7, 2023, Red Violet, Inc., a Delaware corporation (the “Company”), issued a press release announcing its financial results for the second quarter ended June 30, 2023 (the “Earnings Release”). A copy of the Earnings Release is furnished herewith as Exhibit 99.1.</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Also on August 7, 2023, following the issuance of the Earnings Release, the Company conducted a conference call to discuss the reported financial results for the second quarter ended June 30, 2023. The Company had issued a press release on July 24, 2023 to announce the scheduling of the conference call. A copy of the transcript of the conference call is furnished herewith as Exhibit 99.2.</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360" w:after="0"/>
        <w:jc w:val="left"/>
        <w:rPr>
          <w:rFonts w:ascii="Times New Roman;serif" w:hAnsi="Times New Roman;serif"/>
          <w:b/>
          <w:sz w:val="20"/>
        </w:rPr>
      </w:pPr>
      <w:bookmarkStart w:id="2" w:name="s161133122"/>
      <w:bookmarkEnd w:id="2"/>
      <w:r>
        <w:rPr>
          <w:rFonts w:ascii="Times New Roman;serif" w:hAnsi="Times New Roman;serif"/>
          <w:b/>
          <w:sz w:val="20"/>
        </w:rPr>
        <w:t>Item 9.01 Financial Statements and Exhibits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(d) Exhibits.</w:t>
      </w:r>
    </w:p>
    <w:p>
      <w:pPr>
        <w:pStyle w:val="TextBody"/>
        <w:bidi w:val="0"/>
        <w:spacing w:before="0" w:after="0"/>
        <w:jc w:val="left"/>
        <w:rPr/>
      </w:pPr>
      <w:bookmarkStart w:id="3" w:name="p288483349"/>
      <w:bookmarkEnd w:id="3"/>
      <w:r>
        <w:rPr/>
        <w:t> </w:t>
      </w:r>
    </w:p>
    <w:p>
      <w:pPr>
        <w:pStyle w:val="TextBody"/>
        <w:bidi w:val="0"/>
        <w:spacing w:before="0" w:after="0"/>
        <w:jc w:val="left"/>
        <w:rPr/>
      </w:pPr>
      <w:r>
        <w:rPr>
          <w:rFonts w:ascii="Times New Roman;serif" w:hAnsi="Times New Roman;serif"/>
          <w:b w:val="false"/>
          <w:sz w:val="20"/>
        </w:rPr>
        <w:t xml:space="preserve">99.1 </w:t>
      </w:r>
      <w:hyperlink w:anchor="rdvt-ex99_1.htm">
        <w:r>
          <w:rPr>
            <w:rStyle w:val="InternetLink"/>
            <w:rFonts w:ascii="Times New Roman;serif" w:hAnsi="Times New Roman;serif"/>
            <w:b w:val="false"/>
            <w:sz w:val="20"/>
            <w:u w:val="single"/>
          </w:rPr>
          <w:t>Press Release, dated August 7, 2023</w:t>
        </w:r>
      </w:hyperlink>
    </w:p>
    <w:p>
      <w:pPr>
        <w:pStyle w:val="TextBody"/>
        <w:bidi w:val="0"/>
        <w:spacing w:before="0" w:after="0"/>
        <w:jc w:val="left"/>
        <w:rPr/>
      </w:pPr>
      <w:r>
        <w:rPr/>
        <w:t> </w:t>
      </w:r>
    </w:p>
    <w:p>
      <w:pPr>
        <w:pStyle w:val="TextBody"/>
        <w:bidi w:val="0"/>
        <w:spacing w:before="0" w:after="0"/>
        <w:jc w:val="left"/>
        <w:rPr/>
      </w:pPr>
      <w:r>
        <w:rPr>
          <w:rFonts w:ascii="Times New Roman;serif" w:hAnsi="Times New Roman;serif"/>
          <w:b w:val="false"/>
          <w:sz w:val="20"/>
        </w:rPr>
        <w:t xml:space="preserve">99.2 </w:t>
      </w:r>
      <w:hyperlink w:anchor="rdvt-ex99_2.htm">
        <w:r>
          <w:rPr>
            <w:rStyle w:val="InternetLink"/>
            <w:rFonts w:ascii="Times New Roman;serif" w:hAnsi="Times New Roman;serif"/>
            <w:b w:val="false"/>
            <w:sz w:val="20"/>
            <w:u w:val="single"/>
          </w:rPr>
          <w:t>August 7, 2023 conference call transcript</w:t>
        </w:r>
      </w:hyperlink>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104 Cover page Interactive Data File (embedded within the inline XBRL file).</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center"/>
        <w:rPr>
          <w:rFonts w:ascii="Times New Roman;serif" w:hAnsi="Times New Roman;serif"/>
          <w:b/>
          <w:sz w:val="20"/>
        </w:rPr>
      </w:pPr>
      <w:r>
        <w:rPr>
          <w:rFonts w:ascii="Times New Roman;serif" w:hAnsi="Times New Roman;serif"/>
          <w:b/>
          <w:sz w:val="20"/>
        </w:rPr>
        <w:t>SIGNATURES</w:t>
      </w:r>
    </w:p>
    <w:p>
      <w:pPr>
        <w:pStyle w:val="TextBody"/>
        <w:bidi w:val="0"/>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hereunto duly authorized.</w:t>
      </w:r>
    </w:p>
    <w:tbl>
      <w:tblPr>
        <w:tblW w:w="6983" w:type="dxa"/>
        <w:jc w:val="left"/>
        <w:tblInd w:w="0" w:type="dxa"/>
        <w:tblLayout w:type="fixed"/>
        <w:tblCellMar>
          <w:top w:w="28" w:type="dxa"/>
          <w:left w:w="28" w:type="dxa"/>
          <w:bottom w:w="28" w:type="dxa"/>
          <w:right w:w="28" w:type="dxa"/>
        </w:tblCellMar>
      </w:tblPr>
      <w:tblGrid>
        <w:gridCol w:w="1846"/>
        <w:gridCol w:w="146"/>
        <w:gridCol w:w="406"/>
        <w:gridCol w:w="146"/>
        <w:gridCol w:w="1339"/>
        <w:gridCol w:w="1339"/>
        <w:gridCol w:w="1761"/>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pPr>
            <w:r>
              <w:rPr/>
              <w:t> </w:t>
            </w:r>
          </w:p>
        </w:tc>
        <w:tc>
          <w:tcPr>
            <w:tcW w:w="1339" w:type="dxa"/>
            <w:tcBorders/>
            <w:vAlign w:val="center"/>
          </w:tcPr>
          <w:p>
            <w:pPr>
              <w:pStyle w:val="TableContents"/>
              <w:bidi w:val="0"/>
              <w:spacing w:before="0" w:after="0"/>
              <w:ind w:left="0" w:right="0" w:hanging="0"/>
              <w:jc w:val="left"/>
              <w:rPr/>
            </w:pPr>
            <w:r>
              <w:rPr/>
              <w:t> </w:t>
            </w:r>
          </w:p>
        </w:tc>
        <w:tc>
          <w:tcPr>
            <w:tcW w:w="176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39" w:type="dxa"/>
            <w:gridSpan w:val="3"/>
            <w:tcBorders/>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Red Violet, Inc.</w:t>
            </w:r>
          </w:p>
        </w:tc>
      </w:tr>
      <w:tr>
        <w:trPr/>
        <w:tc>
          <w:tcPr>
            <w:tcW w:w="1846" w:type="dxa"/>
            <w:tcBorders/>
            <w:vAlign w:val="center"/>
          </w:tcPr>
          <w:p>
            <w:pPr>
              <w:pStyle w:val="TableContents"/>
              <w:bidi w:val="0"/>
              <w:spacing w:before="0" w:after="0"/>
              <w:ind w:left="0" w:right="0" w:hanging="0"/>
              <w:jc w:val="left"/>
              <w:rPr/>
            </w:pPr>
            <w:r>
              <w:rPr/>
              <w:t> </w:t>
            </w:r>
          </w:p>
        </w:tc>
        <w:tc>
          <w:tcPr>
            <w:tcW w:w="552" w:type="dxa"/>
            <w:gridSpan w:val="2"/>
            <w:tcBorders/>
            <w:vAlign w:val="center"/>
          </w:tcPr>
          <w:p>
            <w:pPr>
              <w:pStyle w:val="TableContents"/>
              <w:bidi w:val="0"/>
              <w:spacing w:before="0" w:after="0"/>
              <w:ind w:left="0" w:right="0" w:hanging="0"/>
              <w:jc w:val="left"/>
              <w:rPr/>
            </w:pPr>
            <w:r>
              <w:rPr/>
              <w:t> </w:t>
            </w:r>
          </w:p>
        </w:tc>
        <w:tc>
          <w:tcPr>
            <w:tcW w:w="4585" w:type="dxa"/>
            <w:gridSpan w:val="4"/>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Date: August 9, 2023</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39" w:type="dxa"/>
            <w:gridSpan w:val="3"/>
            <w:tcBorders/>
            <w:vAlign w:val="center"/>
          </w:tcPr>
          <w:p>
            <w:pPr>
              <w:pStyle w:val="TableContents"/>
              <w:pBdr>
                <w:bottom w:val="single" w:sz="6" w:space="1" w:color="000000"/>
              </w:pBdr>
              <w:bidi w:val="0"/>
              <w:spacing w:before="0" w:after="20"/>
              <w:ind w:left="0" w:right="0" w:hanging="0"/>
              <w:jc w:val="left"/>
              <w:rPr>
                <w:rFonts w:ascii="Times New Roman;serif" w:hAnsi="Times New Roman;serif"/>
                <w:b w:val="false"/>
                <w:sz w:val="20"/>
              </w:rPr>
            </w:pPr>
            <w:r>
              <w:rPr>
                <w:rFonts w:ascii="Times New Roman;serif" w:hAnsi="Times New Roman;serif"/>
                <w:b w:val="false"/>
                <w:sz w:val="20"/>
              </w:rPr>
              <w:t>/s/ Derek Dubner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3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Derek Dubner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439" w:type="dxa"/>
            <w:gridSpan w:val="3"/>
            <w:tcBorders/>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Chief Executive Officer (Principal Executive Officer)</w:t>
            </w:r>
          </w:p>
        </w:tc>
      </w:tr>
      <w:tr>
        <w:trPr/>
        <w:tc>
          <w:tcPr>
            <w:tcW w:w="184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4439" w:type="dxa"/>
            <w:gridSpan w:val="3"/>
            <w:tcBorders/>
            <w:vAlign w:val="center"/>
          </w:tcPr>
          <w:p>
            <w:pPr>
              <w:pStyle w:val="TableContents"/>
              <w:bidi w:val="0"/>
              <w:spacing w:before="0" w:after="0"/>
              <w:ind w:left="0" w:right="0" w:hanging="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240" w:after="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4"/>
        </w:rPr>
      </w:pPr>
      <w:bookmarkStart w:id="4" w:name="rdvt-ex99_1.htm"/>
      <w:bookmarkStart w:id="5" w:name="ksrdvtex99_1"/>
      <w:bookmarkEnd w:id="4"/>
      <w:bookmarkEnd w:id="5"/>
      <w:r>
        <w:rPr>
          <w:rFonts w:ascii="Times New Roman;serif" w:hAnsi="Times New Roman;serif"/>
          <w:b/>
          <w:sz w:val="24"/>
        </w:rPr>
        <w:t>Exhibit 99.1</w:t>
      </w:r>
      <w:r>
        <w:br w:type="page"/>
      </w:r>
    </w:p>
    <w:p>
      <w:pPr>
        <w:pStyle w:val="TextBody"/>
        <w:bidi w:val="0"/>
        <w:spacing w:before="0" w:after="0"/>
        <w:jc w:val="left"/>
        <w:rPr/>
      </w:pPr>
      <w:r>
        <w:rPr/>
        <w:t> </w:t>
      </w:r>
    </w:p>
    <w:p>
      <w:pPr>
        <w:pStyle w:val="TextBody"/>
        <w:bidi w:val="0"/>
        <w:spacing w:before="0" w:after="0"/>
        <w:jc w:val="center"/>
        <w:rPr>
          <w:rFonts w:ascii="Times New Roman;serif" w:hAnsi="Times New Roman;serif"/>
          <w:b/>
          <w:sz w:val="32"/>
        </w:rPr>
      </w:pPr>
      <w:r>
        <w:rPr>
          <w:rFonts w:ascii="Times New Roman;serif" w:hAnsi="Times New Roman;serif"/>
          <w:b/>
          <w:sz w:val="32"/>
        </w:rPr>
        <w:t>red violet Announces Second Quarter 2023 Financial Results</w:t>
      </w:r>
    </w:p>
    <w:p>
      <w:pPr>
        <w:pStyle w:val="TextBody"/>
        <w:bidi w:val="0"/>
        <w:spacing w:before="120" w:after="0"/>
        <w:jc w:val="center"/>
        <w:rPr>
          <w:rFonts w:ascii="Times New Roman;serif" w:hAnsi="Times New Roman;serif"/>
          <w:b/>
          <w:sz w:val="20"/>
        </w:rPr>
      </w:pPr>
      <w:r>
        <w:rPr>
          <w:rFonts w:ascii="Times New Roman;serif" w:hAnsi="Times New Roman;serif"/>
          <w:b/>
          <w:sz w:val="20"/>
        </w:rPr>
        <w:t>Second Quarter Revenue Increased 17% to $14.7 Million, Generated EPS of $0.10</w:t>
      </w:r>
    </w:p>
    <w:p>
      <w:pPr>
        <w:pStyle w:val="TextBody"/>
        <w:bidi w:val="0"/>
        <w:spacing w:before="0" w:after="0"/>
        <w:jc w:val="center"/>
        <w:rPr/>
      </w:pPr>
      <w:r>
        <w:rPr/>
        <w:t> </w:t>
      </w:r>
    </w:p>
    <w:p>
      <w:pPr>
        <w:pStyle w:val="TextBody"/>
        <w:bidi w:val="0"/>
        <w:spacing w:before="0" w:after="160"/>
        <w:jc w:val="left"/>
        <w:rPr>
          <w:rFonts w:ascii="Times New Roman" w:hAnsi="Times New Roman"/>
          <w:sz w:val="20"/>
        </w:rPr>
      </w:pPr>
      <w:r>
        <w:rPr>
          <w:rFonts w:ascii="Times New Roman;serif" w:hAnsi="Times New Roman;serif"/>
          <w:b/>
          <w:sz w:val="20"/>
        </w:rPr>
        <w:t xml:space="preserve">BOCA RATON, Fla. – August 7, 2023 </w:t>
      </w:r>
      <w:r>
        <w:rPr>
          <w:rFonts w:ascii="Times New Roman" w:hAnsi="Times New Roman"/>
          <w:sz w:val="20"/>
        </w:rPr>
        <w:t xml:space="preserve">– </w:t>
      </w:r>
      <w:r>
        <w:rPr>
          <w:rFonts w:ascii="Times New Roman;serif" w:hAnsi="Times New Roman;serif"/>
          <w:b w:val="false"/>
          <w:sz w:val="20"/>
        </w:rPr>
        <w:t>Red Violet, Inc. (NASDAQ: RDVT), a leading analytics and information solutions provider, today announced financial results for the quarter ended June 30, 2023.</w:t>
      </w:r>
      <w:r>
        <w:rPr>
          <w:rFonts w:ascii="Times New Roman" w:hAnsi="Times New Roman"/>
          <w:sz w:val="20"/>
        </w:rPr>
        <w:t xml:space="preserve"> </w:t>
      </w:r>
    </w:p>
    <w:p>
      <w:pPr>
        <w:pStyle w:val="TextBody"/>
        <w:bidi w:val="0"/>
        <w:spacing w:before="0" w:after="160"/>
        <w:jc w:val="left"/>
        <w:rPr/>
      </w:pPr>
      <w:r>
        <w:rPr/>
        <w:t>“</w:t>
      </w:r>
      <w:r>
        <w:rPr>
          <w:rFonts w:ascii="Times New Roman;serif" w:hAnsi="Times New Roman;serif"/>
          <w:b w:val="false"/>
          <w:sz w:val="20"/>
        </w:rPr>
        <w:t>We are pleased with our second quarter results, further highlighting our ability to drive both top-line growth and profitability," stated Derek Dubner, red violet’s CEO. “We are seeing continued strength in new customer onboarding, pipeline expansion from higher-tier prospects, and robust customer conversion at all levels. Our consistent revenue growth and increasing profitability, which are driven by our distinct ability to meet strong industrywide demand for innovative, accurate, and highly-scalable identity solutions, bolster our position as we enter the back half of the year.”</w:t>
      </w:r>
      <w:r>
        <w:rPr>
          <w:rFonts w:ascii="Times New Roman" w:hAnsi="Times New Roman"/>
          <w:sz w:val="20"/>
        </w:rPr>
        <w:t xml:space="preserve"> </w:t>
      </w:r>
    </w:p>
    <w:p>
      <w:pPr>
        <w:pStyle w:val="TextBody"/>
        <w:bidi w:val="0"/>
        <w:spacing w:before="200" w:after="160"/>
        <w:jc w:val="left"/>
        <w:rPr>
          <w:rFonts w:ascii="Times New Roman;serif" w:hAnsi="Times New Roman;serif"/>
          <w:b/>
          <w:sz w:val="20"/>
        </w:rPr>
      </w:pPr>
      <w:r>
        <w:rPr>
          <w:rFonts w:ascii="Times New Roman;serif" w:hAnsi="Times New Roman;serif"/>
          <w:b/>
          <w:sz w:val="20"/>
        </w:rPr>
        <w:t>Second Quarter Financial Results</w:t>
      </w:r>
    </w:p>
    <w:p>
      <w:pPr>
        <w:pStyle w:val="TextBody"/>
        <w:bidi w:val="0"/>
        <w:spacing w:before="200" w:after="160"/>
        <w:jc w:val="left"/>
        <w:rPr>
          <w:rFonts w:ascii="Times New Roman;serif" w:hAnsi="Times New Roman;serif"/>
          <w:b w:val="false"/>
          <w:sz w:val="20"/>
        </w:rPr>
      </w:pPr>
      <w:r>
        <w:rPr>
          <w:rFonts w:ascii="Times New Roman;serif" w:hAnsi="Times New Roman;serif"/>
          <w:b w:val="false"/>
          <w:sz w:val="20"/>
        </w:rPr>
        <w:t>For the three months ended June 30, 2023, as compared to the three months ended June 30, 2022:</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Total revenue increased 17% to $14.7 million.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Gross profit increased 18% to $9.4 million. Gross margin remained consistent at 64%.</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Adjusted gross profit increased 19% to $11.4 million. Adjusted gross margin increased to 78% from 77%.</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Net income was $1.4 million, compared to a net loss of $0.2 million, which resulted in earnings of $0.10 per basic and diluted share. Net income margin increased to 9% from a net loss margin of (2%).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Adjusted EBITDA increased 58% to $4.6 million. Adjusted EBITDA margin increased to 32% from 23%. </w:t>
      </w:r>
    </w:p>
    <w:p>
      <w:pPr>
        <w:pStyle w:val="TextBody"/>
        <w:bidi w:val="0"/>
        <w:spacing w:before="200" w:after="0"/>
        <w:jc w:val="left"/>
        <w:rPr/>
      </w:pPr>
      <w:r>
        <w:rPr/>
        <w:t>•</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 xml:space="preserve">Net cash from operating activities increased 40% to $3.5 million. </w:t>
      </w:r>
    </w:p>
    <w:p>
      <w:pPr>
        <w:pStyle w:val="TextBody"/>
        <w:bidi w:val="0"/>
        <w:spacing w:before="200" w:after="0"/>
        <w:jc w:val="left"/>
        <w:rPr/>
      </w:pPr>
      <w:r>
        <w:rPr/>
        <w:t>•</w:t>
      </w:r>
    </w:p>
    <w:p>
      <w:pPr>
        <w:pStyle w:val="TextBody"/>
        <w:bidi w:val="0"/>
        <w:spacing w:before="200" w:after="283"/>
        <w:jc w:val="left"/>
        <w:rPr>
          <w:rFonts w:ascii="Times New Roman;serif" w:hAnsi="Times New Roman;serif"/>
          <w:b w:val="false"/>
          <w:sz w:val="20"/>
        </w:rPr>
      </w:pPr>
      <w:r>
        <w:rPr>
          <w:rFonts w:ascii="Times New Roman;serif" w:hAnsi="Times New Roman;serif"/>
          <w:b w:val="false"/>
          <w:sz w:val="20"/>
        </w:rPr>
        <w:t>Cash and cash equivalents were $31.4 million as of June 30, 2023.</w:t>
      </w:r>
    </w:p>
    <w:p>
      <w:pPr>
        <w:pStyle w:val="TextBody"/>
        <w:bidi w:val="0"/>
        <w:spacing w:before="240" w:after="160"/>
        <w:jc w:val="left"/>
        <w:rPr>
          <w:rFonts w:ascii="Times New Roman" w:hAnsi="Times New Roman"/>
          <w:sz w:val="20"/>
        </w:rPr>
      </w:pPr>
      <w:bookmarkStart w:id="6" w:name="gmnh874a1a8db3fe4af2a262b7d6093c0e4f"/>
      <w:bookmarkEnd w:id="6"/>
      <w:r>
        <w:rPr>
          <w:rFonts w:ascii="Times New Roman;serif" w:hAnsi="Times New Roman;serif"/>
          <w:b/>
          <w:sz w:val="20"/>
        </w:rPr>
        <w:t>Second Quarter and Recent Business Highlights</w:t>
      </w:r>
      <w:r>
        <w:rPr>
          <w:rFonts w:ascii="Times New Roman" w:hAnsi="Times New Roman"/>
          <w:sz w:val="20"/>
        </w:rPr>
        <w:t xml:space="preserve">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Added 241 customers to IDI</w:t>
      </w:r>
      <w:r>
        <w:rPr>
          <w:rFonts w:ascii="Times New Roman;serif" w:hAnsi="Times New Roman;serif"/>
          <w:b w:val="false"/>
          <w:sz w:val="13"/>
        </w:rPr>
        <w:t></w:t>
      </w:r>
      <w:r>
        <w:rPr/>
        <w:t xml:space="preserve"> </w:t>
      </w:r>
      <w:r>
        <w:rPr>
          <w:rFonts w:ascii="Times New Roman;serif" w:hAnsi="Times New Roman;serif"/>
          <w:b w:val="false"/>
          <w:sz w:val="20"/>
        </w:rPr>
        <w:t xml:space="preserve">during the second quarter, ending the quarter with 7,497 customers. </w:t>
      </w:r>
    </w:p>
    <w:p>
      <w:pPr>
        <w:pStyle w:val="TextBody"/>
        <w:bidi w:val="0"/>
        <w:spacing w:before="120" w:after="0"/>
        <w:jc w:val="left"/>
        <w:rPr/>
      </w:pPr>
      <w:r>
        <w:rPr/>
        <w:t>•</w:t>
      </w:r>
    </w:p>
    <w:p>
      <w:pPr>
        <w:pStyle w:val="TextBody"/>
        <w:bidi w:val="0"/>
        <w:spacing w:before="120" w:after="0"/>
        <w:jc w:val="left"/>
        <w:rPr/>
      </w:pPr>
      <w:r>
        <w:rPr>
          <w:rFonts w:ascii="Times New Roman;serif" w:hAnsi="Times New Roman;serif"/>
          <w:b w:val="false"/>
          <w:sz w:val="20"/>
        </w:rPr>
        <w:t>Added 15,189 users to FOREWARN</w:t>
      </w:r>
      <w:r>
        <w:rPr>
          <w:rFonts w:ascii="Times New Roman;serif" w:hAnsi="Times New Roman;serif"/>
          <w:b w:val="false"/>
          <w:sz w:val="13"/>
        </w:rPr>
        <w:t>®</w:t>
      </w:r>
      <w:r>
        <w:rPr/>
        <w:t xml:space="preserve"> </w:t>
      </w:r>
      <w:r>
        <w:rPr>
          <w:rFonts w:ascii="Times New Roman;serif" w:hAnsi="Times New Roman;serif"/>
          <w:b w:val="false"/>
          <w:sz w:val="20"/>
        </w:rPr>
        <w:t>during the second quarter, ending the quarter with 146,537 users. Over 285 REALTOR</w:t>
      </w:r>
      <w:r>
        <w:rPr>
          <w:rFonts w:ascii="Times New Roman;serif" w:hAnsi="Times New Roman;serif"/>
          <w:b w:val="false"/>
          <w:sz w:val="13"/>
        </w:rPr>
        <w:t>®</w:t>
      </w:r>
      <w:r>
        <w:rPr/>
        <w:t xml:space="preserve"> </w:t>
      </w:r>
      <w:r>
        <w:rPr>
          <w:rFonts w:ascii="Times New Roman;serif" w:hAnsi="Times New Roman;serif"/>
          <w:b w:val="false"/>
          <w:sz w:val="20"/>
        </w:rPr>
        <w:t>Associations throughout the U.S. are now contracted to use FOREWARN.</w:t>
      </w:r>
    </w:p>
    <w:p>
      <w:pPr>
        <w:pStyle w:val="TextBody"/>
        <w:bidi w:val="0"/>
        <w:spacing w:before="120" w:after="0"/>
        <w:jc w:val="left"/>
        <w:rPr/>
      </w:pPr>
      <w:r>
        <w:rPr/>
        <w:t>•</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 xml:space="preserve">Purchased 55,018 shares of the Company’s common stock during the six months ended June 30, 2023, at an average price of $17.04 per share pursuant to the Company’s $5.0 million Stock Repurchase Program that was authorized on May 2, 2022. The Company has $3.2 million remaining under the Stock Repurchase Program. </w:t>
      </w:r>
    </w:p>
    <w:p>
      <w:pPr>
        <w:pStyle w:val="TextBody"/>
        <w:bidi w:val="0"/>
        <w:spacing w:before="240" w:after="160"/>
        <w:jc w:val="left"/>
        <w:rPr>
          <w:rFonts w:ascii="Times New Roman;serif" w:hAnsi="Times New Roman;serif"/>
          <w:b/>
          <w:sz w:val="20"/>
        </w:rPr>
      </w:pPr>
      <w:r>
        <w:rPr>
          <w:rFonts w:ascii="Times New Roman;serif" w:hAnsi="Times New Roman;serif"/>
          <w:b/>
          <w:sz w:val="20"/>
        </w:rPr>
        <w:t>Conference Call</w:t>
      </w:r>
    </w:p>
    <w:p>
      <w:pPr>
        <w:pStyle w:val="TextBody"/>
        <w:bidi w:val="0"/>
        <w:spacing w:before="0" w:after="240"/>
        <w:jc w:val="left"/>
        <w:rPr>
          <w:rFonts w:ascii="Times New Roman" w:hAnsi="Times New Roman"/>
          <w:sz w:val="20"/>
        </w:rPr>
      </w:pPr>
      <w:r>
        <w:rPr>
          <w:rFonts w:ascii="Times New Roman;serif" w:hAnsi="Times New Roman;serif"/>
          <w:b w:val="false"/>
          <w:sz w:val="20"/>
        </w:rPr>
        <w:t>In conjunction with this release, red violet will host a conference call and webcast today at 4:30pm ET to discuss its quarterly and full year results and provide a business update. Please click here</w:t>
      </w:r>
      <w:r>
        <w:rPr>
          <w:rFonts w:ascii="Times New Roman" w:hAnsi="Times New Roman"/>
          <w:sz w:val="20"/>
        </w:rPr>
        <w:t xml:space="preserve"> </w:t>
      </w:r>
      <w:r>
        <w:rPr>
          <w:rFonts w:ascii="Times New Roman;serif" w:hAnsi="Times New Roman;serif"/>
          <w:b w:val="false"/>
          <w:sz w:val="20"/>
        </w:rPr>
        <w:t>to pre-register for the conference call and obtain your dial in number and passcode. To access the live audio webcast, visit the Investors section of the red violet website at www.redviolet.com.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www.redviolet.com.</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1</w:t>
      </w:r>
    </w:p>
    <w:p>
      <w:pPr>
        <w:pStyle w:val="HorizontalLine"/>
        <w:pBdr>
          <w:bottom w:val="double" w:sz="2" w:space="0" w:color="808080"/>
        </w:pBdr>
        <w:bidi w:val="0"/>
        <w:spacing w:before="0" w:after="283"/>
        <w:jc w:val="left"/>
        <w:rPr/>
      </w:pPr>
      <w:r>
        <w:rPr/>
      </w:r>
    </w:p>
    <w:p>
      <w:pPr>
        <w:pStyle w:val="TextBody"/>
        <w:bidi w:val="0"/>
        <w:spacing w:before="240" w:after="160"/>
        <w:jc w:val="left"/>
        <w:rPr>
          <w:rFonts w:ascii="Times New Roman" w:hAnsi="Times New Roman"/>
          <w:sz w:val="20"/>
        </w:rPr>
      </w:pPr>
      <w:r>
        <w:rPr>
          <w:rFonts w:ascii="Times New Roman;serif" w:hAnsi="Times New Roman;serif"/>
          <w:b/>
          <w:sz w:val="20"/>
        </w:rPr>
        <w:t>About red violet</w:t>
      </w:r>
      <w:r>
        <w:rPr>
          <w:rFonts w:ascii="Times New Roman;serif" w:hAnsi="Times New Roman;serif"/>
          <w:b/>
          <w:sz w:val="13"/>
        </w:rPr>
        <w:t>®</w:t>
      </w:r>
    </w:p>
    <w:p>
      <w:pPr>
        <w:pStyle w:val="TextBody"/>
        <w:bidi w:val="0"/>
        <w:spacing w:before="0" w:after="160"/>
        <w:jc w:val="left"/>
        <w:rPr>
          <w:rFonts w:ascii="Times New Roman;serif" w:hAnsi="Times New Roman;serif"/>
          <w:b w:val="false"/>
          <w:sz w:val="20"/>
        </w:rPr>
      </w:pPr>
      <w:r>
        <w:rPr>
          <w:rFonts w:ascii="Times New Roman;serif" w:hAnsi="Times New Roman;serif"/>
          <w:b w:val="false"/>
          <w:sz w:val="20"/>
        </w:rPr>
        <w:t>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www.redviolet.com.</w:t>
      </w:r>
    </w:p>
    <w:p>
      <w:pPr>
        <w:pStyle w:val="TextBody"/>
        <w:bidi w:val="0"/>
        <w:spacing w:before="0" w:after="0"/>
        <w:jc w:val="left"/>
        <w:rPr>
          <w:rFonts w:ascii="Times New Roman" w:hAnsi="Times New Roman"/>
          <w:sz w:val="20"/>
        </w:rPr>
      </w:pPr>
      <w:r>
        <w:rPr>
          <w:rFonts w:ascii="Times New Roman;serif" w:hAnsi="Times New Roman;serif"/>
          <w:b/>
          <w:sz w:val="20"/>
        </w:rPr>
        <w:t>Company Contact:</w:t>
      </w:r>
      <w:r>
        <w:rPr>
          <w:rFonts w:ascii="Times New Roman;serif" w:hAnsi="Times New Roman;serif"/>
          <w:b w:val="false"/>
          <w:sz w:val="20"/>
        </w:rPr>
        <w:br/>
        <w:t>Camilo Ramirez</w:t>
        <w:br/>
        <w:t>Red Violet, Inc.</w:t>
        <w:br/>
        <w:t>561-757-4500</w:t>
        <w:br/>
        <w:t>ir@redviolet.com</w:t>
      </w:r>
    </w:p>
    <w:p>
      <w:pPr>
        <w:pStyle w:val="TextBody"/>
        <w:bidi w:val="0"/>
        <w:spacing w:before="0" w:after="0"/>
        <w:jc w:val="left"/>
        <w:rPr/>
      </w:pPr>
      <w:r>
        <w:rPr/>
        <w:t> </w:t>
      </w:r>
    </w:p>
    <w:p>
      <w:pPr>
        <w:pStyle w:val="TextBody"/>
        <w:bidi w:val="0"/>
        <w:spacing w:before="0" w:after="0"/>
        <w:jc w:val="left"/>
        <w:rPr>
          <w:rFonts w:ascii="Times New Roman;serif" w:hAnsi="Times New Roman;serif"/>
          <w:b/>
          <w:sz w:val="20"/>
        </w:rPr>
      </w:pPr>
      <w:r>
        <w:rPr>
          <w:rFonts w:ascii="Times New Roman;serif" w:hAnsi="Times New Roman;serif"/>
          <w:b/>
          <w:sz w:val="20"/>
        </w:rPr>
        <w:t>Investor Relations Contacts:</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Steven Hooser/Phillip Kupper</w:t>
        <w:br/>
        <w:t>Three Part Advisors</w:t>
        <w:br/>
        <w:t>214-872-2710</w:t>
        <w:br/>
        <w:t>ir@redviolet.com</w:t>
      </w:r>
    </w:p>
    <w:p>
      <w:pPr>
        <w:pStyle w:val="TextBody"/>
        <w:bidi w:val="0"/>
        <w:spacing w:before="240" w:after="160"/>
        <w:jc w:val="left"/>
        <w:rPr>
          <w:rFonts w:ascii="Times New Roman;serif" w:hAnsi="Times New Roman;serif"/>
          <w:b/>
          <w:sz w:val="20"/>
        </w:rPr>
      </w:pPr>
      <w:r>
        <w:rPr>
          <w:rFonts w:ascii="Times New Roman;serif" w:hAnsi="Times New Roman;serif"/>
          <w:b/>
          <w:sz w:val="20"/>
        </w:rPr>
        <w:t>Use of Non-GAAP Financial Measures</w:t>
      </w:r>
    </w:p>
    <w:p>
      <w:pPr>
        <w:pStyle w:val="TextBody"/>
        <w:bidi w:val="0"/>
        <w:spacing w:before="200" w:after="160"/>
        <w:jc w:val="left"/>
        <w:rPr>
          <w:rFonts w:ascii="Times New Roman;serif" w:hAnsi="Times New Roman;serif"/>
          <w:b w:val="false"/>
          <w:sz w:val="20"/>
        </w:rPr>
      </w:pPr>
      <w:r>
        <w:rPr>
          <w:rFonts w:ascii="Times New Roman;serif" w:hAnsi="Times New Roman;serif"/>
          <w:b w:val="false"/>
          <w:sz w:val="20"/>
        </w:rPr>
        <w:t>Management evaluates the financial performance of our business on a variety of key indicators, including non-GAAP metrics of adjusted EBITDA, adjusted EBITDA margin, adjusted gross profit, adjusted gross margin and free cash flow ("FCF"). Adjusted EBITDA is a financial measure equal to net income (loss), the most directly comparable financial measure based on US GAAP, excluding interest income, net, income tax expense, depreciation and amortization, share-based compensation expense, litigation costs, and write-off of long-lived assets and others.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240" w:after="160"/>
        <w:jc w:val="left"/>
        <w:rPr>
          <w:rFonts w:ascii="Times New Roman" w:hAnsi="Times New Roman"/>
          <w:sz w:val="20"/>
        </w:rPr>
      </w:pPr>
      <w:r>
        <w:rPr>
          <w:rFonts w:ascii="Times New Roman;serif" w:hAnsi="Times New Roman;serif"/>
          <w:b/>
          <w:sz w:val="20"/>
        </w:rPr>
        <w:t>FORWARD-LOOKING STATEMENTS</w:t>
      </w:r>
      <w:r>
        <w:rPr>
          <w:rFonts w:ascii="Times New Roman" w:hAnsi="Times New Roman"/>
          <w:sz w:val="20"/>
        </w:rPr>
        <w:t xml:space="preserve">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expectations, including whether we will be able to use our distinct ability to meet strong industrywide demand for innovative, accurate, and highly-scalable identity solutions to bolster our position as we enter the back half of the year.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2022 filed on March 8, 2023, as may be supplemented or amended by the Company's other SEC filings. We undertake no obligation to publicly update or revise any forward-looking statement, whether as a result of new information, future events or otherwise, except as required by law.</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2</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RED VIOLET, INC.</w:t>
      </w:r>
    </w:p>
    <w:p>
      <w:pPr>
        <w:pStyle w:val="TextBody"/>
        <w:bidi w:val="0"/>
        <w:spacing w:before="0" w:after="0"/>
        <w:jc w:val="center"/>
        <w:rPr>
          <w:rFonts w:ascii="Times New Roman;serif" w:hAnsi="Times New Roman;serif"/>
          <w:b/>
          <w:sz w:val="20"/>
        </w:rPr>
      </w:pPr>
      <w:bookmarkStart w:id="7" w:name="condensed_consolidated_balance_sheets"/>
      <w:bookmarkEnd w:id="7"/>
      <w:r>
        <w:rPr>
          <w:rFonts w:ascii="Times New Roman;serif" w:hAnsi="Times New Roman;serif"/>
          <w:b/>
          <w:sz w:val="20"/>
        </w:rPr>
        <w:t>CONDENSED CONSOLIDATED BALANCE SHEETS</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center"/>
        <w:rPr/>
      </w:pPr>
      <w:r>
        <w:rPr/>
        <w:t> </w:t>
      </w:r>
    </w:p>
    <w:tbl>
      <w:tblPr>
        <w:tblW w:w="10196" w:type="dxa"/>
        <w:jc w:val="left"/>
        <w:tblInd w:w="0" w:type="dxa"/>
        <w:tblLayout w:type="fixed"/>
        <w:tblCellMar>
          <w:top w:w="28" w:type="dxa"/>
          <w:left w:w="28" w:type="dxa"/>
          <w:bottom w:w="28" w:type="dxa"/>
          <w:right w:w="28" w:type="dxa"/>
        </w:tblCellMar>
      </w:tblPr>
      <w:tblGrid>
        <w:gridCol w:w="6976"/>
        <w:gridCol w:w="109"/>
        <w:gridCol w:w="250"/>
        <w:gridCol w:w="875"/>
        <w:gridCol w:w="166"/>
        <w:gridCol w:w="109"/>
        <w:gridCol w:w="334"/>
        <w:gridCol w:w="1166"/>
        <w:gridCol w:w="211"/>
      </w:tblGrid>
      <w:tr>
        <w:trPr/>
        <w:tc>
          <w:tcPr>
            <w:tcW w:w="6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25"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June 30, 2023</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500"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31,368</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31,810</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 net of allowance for doubtful accounts of $86 and $60 as of</w:t>
            </w:r>
          </w:p>
          <w:p>
            <w:pPr>
              <w:pStyle w:val="TableContents"/>
              <w:bidi w:val="0"/>
              <w:spacing w:before="0" w:after="0"/>
              <w:ind w:left="0" w:right="0" w:hanging="0"/>
              <w:jc w:val="left"/>
              <w:rPr/>
            </w:pPr>
            <w:r>
              <w:rPr/>
              <w:t>  </w:t>
            </w:r>
            <w:r>
              <w:rPr>
                <w:rFonts w:ascii="Times New Roman;serif" w:hAnsi="Times New Roman;serif"/>
                <w:b w:val="false"/>
                <w:sz w:val="20"/>
              </w:rPr>
              <w:t>June 30, 2023 and December 31, 2022, respectively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6,556</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5,535</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1,325</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771</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39,249</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38,116</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640</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709</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Intangible assets, net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33,175</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31,647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Goodwill</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5,227</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5,227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Right-of-use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821</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1,114</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765</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79,877</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77,414</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u w:val="single"/>
              </w:rPr>
            </w:pPr>
            <w:r>
              <w:rPr>
                <w:rFonts w:ascii="Times New Roman;serif" w:hAnsi="Times New Roman;serif"/>
                <w:b/>
                <w:sz w:val="20"/>
                <w:u w:val="single"/>
              </w:rPr>
              <w:t>LIABILITIES AND SHAREHOLDERS' EQUITY: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1,694</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2,229</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424</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1,845</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Current portion of operating lease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731</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692</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627</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670</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Total current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3,476</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5,436</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Noncurrent operating lease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222</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598</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tax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287</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4,109</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6,321</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Shareholders' equity: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Preferred stock—$0.001 par value, 10,000,000 shares authorized, and 0 shares</w:t>
            </w:r>
          </w:p>
          <w:p>
            <w:pPr>
              <w:pStyle w:val="TableContents"/>
              <w:bidi w:val="0"/>
              <w:spacing w:before="0" w:after="0"/>
              <w:ind w:left="0" w:right="0" w:hanging="0"/>
              <w:jc w:val="left"/>
              <w:rPr/>
            </w:pPr>
            <w:r>
              <w:rPr/>
              <w:t>  </w:t>
            </w:r>
            <w:r>
              <w:rPr>
                <w:rFonts w:ascii="Times New Roman;serif" w:hAnsi="Times New Roman;serif"/>
                <w:b w:val="false"/>
                <w:sz w:val="20"/>
              </w:rPr>
              <w:t>issued and outstanding, as of June 30, 2023 and December 31, 2022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stock—$0.001 par value, 200,000,000 shares authorized, 13,911,691 and</w:t>
            </w:r>
          </w:p>
          <w:p>
            <w:pPr>
              <w:pStyle w:val="TableContents"/>
              <w:bidi w:val="0"/>
              <w:spacing w:before="0" w:after="0"/>
              <w:ind w:left="0" w:right="0" w:hanging="0"/>
              <w:jc w:val="left"/>
              <w:rPr/>
            </w:pPr>
            <w:r>
              <w:rPr/>
              <w:t>  </w:t>
            </w:r>
            <w:r>
              <w:rPr>
                <w:rFonts w:ascii="Times New Roman;serif" w:hAnsi="Times New Roman;serif"/>
                <w:b w:val="false"/>
                <w:sz w:val="20"/>
              </w:rPr>
              <w:t>13,956,404 shares issued, and 13,908,953 and 13,956,404 shares outstanding, as of</w:t>
            </w:r>
          </w:p>
          <w:p>
            <w:pPr>
              <w:pStyle w:val="TableContents"/>
              <w:bidi w:val="0"/>
              <w:spacing w:before="0" w:after="0"/>
              <w:ind w:left="0" w:right="0" w:hanging="0"/>
              <w:jc w:val="left"/>
              <w:rPr/>
            </w:pPr>
            <w:r>
              <w:rPr/>
              <w:t>  </w:t>
            </w:r>
            <w:r>
              <w:rPr>
                <w:rFonts w:ascii="Times New Roman;serif" w:hAnsi="Times New Roman;serif"/>
                <w:b w:val="false"/>
                <w:sz w:val="20"/>
              </w:rPr>
              <w:t>June 30, 2023 and December 31, 2022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Treasury stock, at cost, 2,738 and 0 shares as of June 30, 2023 and December 31,</w:t>
            </w:r>
          </w:p>
          <w:p>
            <w:pPr>
              <w:pStyle w:val="TableContents"/>
              <w:bidi w:val="0"/>
              <w:spacing w:before="0" w:after="0"/>
              <w:ind w:left="0" w:right="0" w:hanging="0"/>
              <w:jc w:val="left"/>
              <w:rPr/>
            </w:pPr>
            <w:r>
              <w:rPr/>
              <w:t>  </w:t>
            </w:r>
            <w:r>
              <w:rPr>
                <w:rFonts w:ascii="Times New Roman;serif" w:hAnsi="Times New Roman;serif"/>
                <w:b w:val="false"/>
                <w:sz w:val="20"/>
              </w:rPr>
              <w:t>2022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w:t>
            </w:r>
          </w:p>
        </w:tc>
        <w:tc>
          <w:tcPr>
            <w:tcW w:w="1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Additional paid-in capital</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95,104</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92,481</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Accumulated deficit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(19,298</w:t>
            </w:r>
          </w:p>
        </w:tc>
        <w:tc>
          <w:tcPr>
            <w:tcW w:w="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(21,402</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shareholders' equity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75,768</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71,093</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69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liabilities and shareholders' equity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0"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7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79,877</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77,414</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3</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RED VIOLET, INC.</w:t>
      </w:r>
    </w:p>
    <w:p>
      <w:pPr>
        <w:pStyle w:val="TextBody"/>
        <w:bidi w:val="0"/>
        <w:spacing w:before="0" w:after="0"/>
        <w:jc w:val="center"/>
        <w:rPr>
          <w:rFonts w:ascii="Times New Roman;serif" w:hAnsi="Times New Roman;serif"/>
          <w:b/>
          <w:sz w:val="20"/>
        </w:rPr>
      </w:pPr>
      <w:bookmarkStart w:id="8" w:name="condensed_consolidated_statements_operat"/>
      <w:bookmarkEnd w:id="8"/>
      <w:r>
        <w:rPr>
          <w:rFonts w:ascii="Times New Roman;serif" w:hAnsi="Times New Roman;serif"/>
          <w:b/>
          <w:sz w:val="20"/>
        </w:rPr>
        <w:t>CONDENSED CONSOLIDATED STATEMENTS OF OPERATIONS</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 except share data)</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4186"/>
        <w:gridCol w:w="109"/>
        <w:gridCol w:w="211"/>
        <w:gridCol w:w="1036"/>
        <w:gridCol w:w="109"/>
        <w:gridCol w:w="109"/>
        <w:gridCol w:w="211"/>
        <w:gridCol w:w="1036"/>
        <w:gridCol w:w="166"/>
        <w:gridCol w:w="109"/>
        <w:gridCol w:w="211"/>
        <w:gridCol w:w="1036"/>
        <w:gridCol w:w="109"/>
        <w:gridCol w:w="109"/>
        <w:gridCol w:w="211"/>
        <w:gridCol w:w="1036"/>
        <w:gridCol w:w="211"/>
      </w:tblGrid>
      <w:tr>
        <w:trPr/>
        <w:tc>
          <w:tcPr>
            <w:tcW w:w="4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12"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12"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4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14,680</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12,494</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29,306</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25,223</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 w:hAnsi="Times New Roman"/>
                <w:sz w:val="20"/>
              </w:rPr>
            </w:pPr>
            <w:r>
              <w:rPr>
                <w:rFonts w:ascii="Times New Roman;serif" w:hAnsi="Times New Roman;serif"/>
                <w:b/>
                <w:sz w:val="20"/>
              </w:rPr>
              <w:t>Costs and expenses</w:t>
            </w:r>
            <w:r>
              <w:rPr>
                <w:rFonts w:ascii="Times New Roman;serif" w:hAnsi="Times New Roman;serif"/>
                <w:b/>
                <w:sz w:val="13"/>
              </w:rPr>
              <w:t>(1)</w:t>
            </w:r>
            <w:r>
              <w:rPr>
                <w:rFonts w:ascii="Times New Roman;serif" w:hAnsi="Times New Roman;serif"/>
                <w:b/>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(exclusive of 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3,240</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6,419</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6,090</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Sales and marketing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3,078</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2,822</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6,967</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5,213</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5,075</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5,300</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10,316</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10,653</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Total costs and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13,447</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12,655</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27,672</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25,103</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(loss) from operations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1,233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1,634</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120</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Income (loss) before income taxes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1,548</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w:t>
            </w:r>
          </w:p>
        </w:tc>
        <w:tc>
          <w:tcPr>
            <w:tcW w:w="1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2,235</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121</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1,388</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Earnings (loss) per share: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0.10</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16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0.15</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(0.01</w:t>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Weighted average number of shares outstanding:</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Basic</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13,961,862</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13,776,479</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13,979,411</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13,660,686</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Diluted</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14,172,024</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13,776,479</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14,180,614</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13,660,686</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(1) Share-based compensation expense in each category:</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Sales and marketing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125</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108</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232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155</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General and administrative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1,180</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1,298</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2,457</w:t>
            </w:r>
          </w:p>
        </w:tc>
        <w:tc>
          <w:tcPr>
            <w:tcW w:w="10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3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2,638</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1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Total</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1,305</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1,406</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2,689</w:t>
            </w:r>
          </w:p>
        </w:tc>
        <w:tc>
          <w:tcPr>
            <w:tcW w:w="109"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16"/>
              </w:rPr>
            </w:pPr>
            <w:r>
              <w:rPr>
                <w:rFonts w:ascii="Times New Roman;serif" w:hAnsi="Times New Roman;serif"/>
                <w:b w:val="false"/>
                <w:sz w:val="16"/>
              </w:rPr>
              <w:t>$</w:t>
            </w:r>
          </w:p>
        </w:tc>
        <w:tc>
          <w:tcPr>
            <w:tcW w:w="103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16"/>
              </w:rPr>
            </w:pPr>
            <w:r>
              <w:rPr>
                <w:rFonts w:ascii="Times New Roman;serif" w:hAnsi="Times New Roman;serif"/>
                <w:b w:val="false"/>
                <w:sz w:val="16"/>
              </w:rPr>
              <w:t>2,793</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4</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serif" w:hAnsi="Times New Roman;serif"/>
          <w:b/>
          <w:sz w:val="20"/>
        </w:rPr>
      </w:pPr>
      <w:r>
        <w:rPr>
          <w:rFonts w:ascii="Times New Roman;serif" w:hAnsi="Times New Roman;serif"/>
          <w:b/>
          <w:sz w:val="20"/>
        </w:rPr>
        <w:t>RED VIOLET, INC.</w:t>
      </w:r>
    </w:p>
    <w:p>
      <w:pPr>
        <w:pStyle w:val="TextBody"/>
        <w:bidi w:val="0"/>
        <w:spacing w:before="0" w:after="0"/>
        <w:jc w:val="center"/>
        <w:rPr>
          <w:rFonts w:ascii="Times New Roman;serif" w:hAnsi="Times New Roman;serif"/>
          <w:b/>
          <w:sz w:val="20"/>
        </w:rPr>
      </w:pPr>
      <w:bookmarkStart w:id="9" w:name="condensed_consolidated_statements_cash_f"/>
      <w:bookmarkEnd w:id="9"/>
      <w:r>
        <w:rPr>
          <w:rFonts w:ascii="Times New Roman;serif" w:hAnsi="Times New Roman;serif"/>
          <w:b/>
          <w:sz w:val="20"/>
        </w:rPr>
        <w:t>CONDENSED CONSOLIDATED STATEMENTS OF CASH FLOWS</w:t>
      </w:r>
    </w:p>
    <w:p>
      <w:pPr>
        <w:pStyle w:val="TextBody"/>
        <w:bidi w:val="0"/>
        <w:spacing w:before="0" w:after="0"/>
        <w:jc w:val="center"/>
        <w:rPr>
          <w:rFonts w:ascii="Times New Roman;serif" w:hAnsi="Times New Roman;serif"/>
          <w:b/>
          <w:sz w:val="20"/>
        </w:rPr>
      </w:pPr>
      <w:r>
        <w:rPr>
          <w:rFonts w:ascii="Times New Roman;serif" w:hAnsi="Times New Roman;serif"/>
          <w:b/>
          <w:sz w:val="20"/>
        </w:rPr>
        <w:t>(Amounts in thousands)</w:t>
      </w:r>
    </w:p>
    <w:p>
      <w:pPr>
        <w:pStyle w:val="TextBody"/>
        <w:bidi w:val="0"/>
        <w:spacing w:before="0" w:after="0"/>
        <w:jc w:val="center"/>
        <w:rPr>
          <w:rFonts w:ascii="Times New Roman;serif" w:hAnsi="Times New Roman;serif"/>
          <w:b/>
          <w:sz w:val="20"/>
        </w:rPr>
      </w:pPr>
      <w:r>
        <w:rPr>
          <w:rFonts w:ascii="Times New Roman;serif" w:hAnsi="Times New Roman;serif"/>
          <w:b/>
          <w:sz w:val="20"/>
        </w:rPr>
        <w:t>(unaudited)</w:t>
      </w:r>
    </w:p>
    <w:p>
      <w:pPr>
        <w:pStyle w:val="TextBody"/>
        <w:bidi w:val="0"/>
        <w:spacing w:before="0" w:after="0"/>
        <w:jc w:val="left"/>
        <w:rPr/>
      </w:pPr>
      <w:r>
        <w:rPr/>
        <w:t> </w:t>
      </w:r>
    </w:p>
    <w:tbl>
      <w:tblPr>
        <w:tblW w:w="9590" w:type="dxa"/>
        <w:jc w:val="left"/>
        <w:tblInd w:w="0" w:type="dxa"/>
        <w:tblLayout w:type="fixed"/>
        <w:tblCellMar>
          <w:top w:w="28" w:type="dxa"/>
          <w:left w:w="28" w:type="dxa"/>
          <w:bottom w:w="28" w:type="dxa"/>
          <w:right w:w="28" w:type="dxa"/>
        </w:tblCellMar>
      </w:tblPr>
      <w:tblGrid>
        <w:gridCol w:w="7201"/>
        <w:gridCol w:w="109"/>
        <w:gridCol w:w="213"/>
        <w:gridCol w:w="683"/>
        <w:gridCol w:w="167"/>
        <w:gridCol w:w="110"/>
        <w:gridCol w:w="213"/>
        <w:gridCol w:w="683"/>
        <w:gridCol w:w="211"/>
      </w:tblGrid>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69"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96"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96"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OPERATING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income (loss)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income (loss) to net cash provided by operating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2,689</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 of long-lived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Provision for bad debts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789</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Noncash lease expenses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income tax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Changes in assets and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(1,810</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(482</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(554</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Other noncurrent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(164</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(535</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Accrued expenses and other current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(1,451</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97</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(43</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(337</w:t>
            </w:r>
          </w:p>
        </w:tc>
        <w:tc>
          <w:tcPr>
            <w:tcW w:w="16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(300</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operating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5,078</w:t>
            </w:r>
          </w:p>
        </w:tc>
        <w:tc>
          <w:tcPr>
            <w:tcW w:w="16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4,955</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INVESTING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costs included in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(4,509</w:t>
            </w:r>
          </w:p>
        </w:tc>
        <w:tc>
          <w:tcPr>
            <w:tcW w:w="16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(3,893</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investing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(4,560</w:t>
            </w:r>
          </w:p>
        </w:tc>
        <w:tc>
          <w:tcPr>
            <w:tcW w:w="16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(4,114</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FLOWS FROM FINANCING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Taxes paid related to net share settlement of vesting of restricted stock units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Repurchases of common stock</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(910</w:t>
            </w:r>
          </w:p>
        </w:tc>
        <w:tc>
          <w:tcPr>
            <w:tcW w:w="16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financing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(960</w:t>
            </w:r>
          </w:p>
        </w:tc>
        <w:tc>
          <w:tcPr>
            <w:tcW w:w="16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decrease in cash and cash equivalents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(442</w:t>
            </w:r>
          </w:p>
        </w:tc>
        <w:tc>
          <w:tcPr>
            <w:tcW w:w="167"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(1,930</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 at beginning of period</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31,810</w:t>
            </w:r>
          </w:p>
        </w:tc>
        <w:tc>
          <w:tcPr>
            <w:tcW w:w="16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34,258</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Cash and cash equivalents at end of period</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31,368</w:t>
            </w:r>
          </w:p>
        </w:tc>
        <w:tc>
          <w:tcPr>
            <w:tcW w:w="167"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32,328</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SUPPLEMENTAL DISCLOSURE INFORMATION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interest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Cash paid for income taxes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capitalized in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872</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723</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7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Retirement of treasury stock</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938</w:t>
            </w:r>
          </w:p>
        </w:tc>
        <w:tc>
          <w:tcPr>
            <w:tcW w:w="1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0"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83"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2,771</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5</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Use and Reconciliation of Non-GAAP Financial Measures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Management evaluates the financial performance of our business on a variety of key indicators, including non-GAAP metrics of adjusted EBITDA, adjusted EBITDA margin, adjusted gross profit, adjusted gross margin and FCF. Adjusted EBITDA is a financial measure equal to net income (loss), the most directly comparable financial measure based on GAAP, excluding interest income, net, income tax expense, depreciation and amortization, share-based compensation expense, litigation costs, and write-off of long-lived assets and others, as noted in the tables below. We define adjusted EBITDA margin as adjusted EBITDA as a percentage of revenue.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0" w:after="0"/>
        <w:jc w:val="left"/>
        <w:rPr/>
      </w:pPr>
      <w:r>
        <w:rPr/>
        <w:t> </w:t>
      </w:r>
    </w:p>
    <w:tbl>
      <w:tblPr>
        <w:tblW w:w="8703" w:type="dxa"/>
        <w:jc w:val="left"/>
        <w:tblInd w:w="0" w:type="dxa"/>
        <w:tblLayout w:type="fixed"/>
        <w:tblCellMar>
          <w:top w:w="28" w:type="dxa"/>
          <w:left w:w="28" w:type="dxa"/>
          <w:bottom w:w="28" w:type="dxa"/>
          <w:right w:w="28" w:type="dxa"/>
        </w:tblCellMar>
      </w:tblPr>
      <w:tblGrid>
        <w:gridCol w:w="3361"/>
        <w:gridCol w:w="109"/>
        <w:gridCol w:w="221"/>
        <w:gridCol w:w="711"/>
        <w:gridCol w:w="285"/>
        <w:gridCol w:w="114"/>
        <w:gridCol w:w="221"/>
        <w:gridCol w:w="711"/>
        <w:gridCol w:w="331"/>
        <w:gridCol w:w="109"/>
        <w:gridCol w:w="211"/>
        <w:gridCol w:w="676"/>
        <w:gridCol w:w="271"/>
        <w:gridCol w:w="109"/>
        <w:gridCol w:w="211"/>
        <w:gridCol w:w="676"/>
        <w:gridCol w:w="376"/>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63"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54"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7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2"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2"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7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1,388</w:t>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w:t>
            </w:r>
          </w:p>
        </w:tc>
        <w:tc>
          <w:tcPr>
            <w:tcW w:w="3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2,104</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(98</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Interest income, net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(315</w:t>
            </w:r>
          </w:p>
        </w:tc>
        <w:tc>
          <w:tcPr>
            <w:tcW w:w="28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(601</w:t>
            </w:r>
          </w:p>
        </w:tc>
        <w:tc>
          <w:tcPr>
            <w:tcW w:w="2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w:t>
            </w:r>
          </w:p>
        </w:tc>
        <w:tc>
          <w:tcPr>
            <w:tcW w:w="37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Income tax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160</w:t>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44</w:t>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131</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219</w:t>
            </w:r>
          </w:p>
        </w:tc>
        <w:tc>
          <w:tcPr>
            <w:tcW w:w="3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2,054</w:t>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1,613</w:t>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3,970</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3,147</w:t>
            </w:r>
          </w:p>
        </w:tc>
        <w:tc>
          <w:tcPr>
            <w:tcW w:w="3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Share-based compensation expense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1,305</w:t>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1,406</w:t>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2,689</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2,793</w:t>
            </w:r>
          </w:p>
        </w:tc>
        <w:tc>
          <w:tcPr>
            <w:tcW w:w="3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Litigation costs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48</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91</w:t>
            </w:r>
          </w:p>
        </w:tc>
        <w:tc>
          <w:tcPr>
            <w:tcW w:w="3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Write-off of long-lived assets and others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28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3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2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w:t>
            </w:r>
          </w:p>
        </w:tc>
        <w:tc>
          <w:tcPr>
            <w:tcW w:w="37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4,637</w:t>
            </w:r>
          </w:p>
        </w:tc>
        <w:tc>
          <w:tcPr>
            <w:tcW w:w="28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2,934</w:t>
            </w:r>
          </w:p>
        </w:tc>
        <w:tc>
          <w:tcPr>
            <w:tcW w:w="33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8,343</w:t>
            </w:r>
          </w:p>
        </w:tc>
        <w:tc>
          <w:tcPr>
            <w:tcW w:w="27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6,154</w:t>
            </w:r>
          </w:p>
        </w:tc>
        <w:tc>
          <w:tcPr>
            <w:tcW w:w="37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14,680</w:t>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12,494</w:t>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29,306</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25,223</w:t>
            </w:r>
          </w:p>
        </w:tc>
        <w:tc>
          <w:tcPr>
            <w:tcW w:w="3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income (loss) margin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(0</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36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EBITDA margin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c>
          <w:tcPr>
            <w:tcW w:w="33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c>
          <w:tcPr>
            <w:tcW w:w="3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is a reconciliation of gross profit, the most directly comparable GAAP financial measure, to adjusted gross profit:</w:t>
      </w:r>
    </w:p>
    <w:p>
      <w:pPr>
        <w:pStyle w:val="TextBody"/>
        <w:bidi w:val="0"/>
        <w:spacing w:before="0" w:after="0"/>
        <w:jc w:val="left"/>
        <w:rPr/>
      </w:pPr>
      <w:r>
        <w:rPr/>
        <w:t> </w:t>
      </w:r>
    </w:p>
    <w:tbl>
      <w:tblPr>
        <w:tblW w:w="9423" w:type="dxa"/>
        <w:jc w:val="left"/>
        <w:tblInd w:w="0" w:type="dxa"/>
        <w:tblLayout w:type="fixed"/>
        <w:tblCellMar>
          <w:top w:w="28" w:type="dxa"/>
          <w:left w:w="28" w:type="dxa"/>
          <w:bottom w:w="28" w:type="dxa"/>
          <w:right w:w="28" w:type="dxa"/>
        </w:tblCellMar>
      </w:tblPr>
      <w:tblGrid>
        <w:gridCol w:w="4201"/>
        <w:gridCol w:w="109"/>
        <w:gridCol w:w="221"/>
        <w:gridCol w:w="711"/>
        <w:gridCol w:w="285"/>
        <w:gridCol w:w="114"/>
        <w:gridCol w:w="221"/>
        <w:gridCol w:w="711"/>
        <w:gridCol w:w="271"/>
        <w:gridCol w:w="109"/>
        <w:gridCol w:w="211"/>
        <w:gridCol w:w="676"/>
        <w:gridCol w:w="271"/>
        <w:gridCol w:w="109"/>
        <w:gridCol w:w="211"/>
        <w:gridCol w:w="676"/>
        <w:gridCol w:w="316"/>
      </w:tblGrid>
      <w:tr>
        <w:trPr/>
        <w:tc>
          <w:tcPr>
            <w:tcW w:w="4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63"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2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54"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2"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8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2"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2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Revenue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14,680</w:t>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12,494</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29,306</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25,223</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Cost of revenue (exclusive of depreciation and</w:t>
            </w:r>
          </w:p>
          <w:p>
            <w:pPr>
              <w:pStyle w:val="TableContents"/>
              <w:bidi w:val="0"/>
              <w:spacing w:before="0" w:after="0"/>
              <w:ind w:left="0" w:right="0" w:hanging="0"/>
              <w:jc w:val="left"/>
              <w:rPr/>
            </w:pPr>
            <w:r>
              <w:rPr/>
              <w:t>  </w:t>
            </w:r>
            <w:r>
              <w:rPr>
                <w:rFonts w:ascii="Times New Roman;serif" w:hAnsi="Times New Roman;serif"/>
                <w:b w:val="false"/>
                <w:sz w:val="20"/>
              </w:rPr>
              <w:t>amortization)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(3,240</w:t>
            </w:r>
          </w:p>
        </w:tc>
        <w:tc>
          <w:tcPr>
            <w:tcW w:w="28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(2,920</w:t>
            </w:r>
          </w:p>
        </w:tc>
        <w:tc>
          <w:tcPr>
            <w:tcW w:w="2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(6,419</w:t>
            </w:r>
          </w:p>
        </w:tc>
        <w:tc>
          <w:tcPr>
            <w:tcW w:w="27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(6,090</w:t>
            </w:r>
          </w:p>
        </w:tc>
        <w:tc>
          <w:tcPr>
            <w:tcW w:w="31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 of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(1,995</w:t>
            </w:r>
          </w:p>
        </w:tc>
        <w:tc>
          <w:tcPr>
            <w:tcW w:w="28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w:t>
            </w:r>
          </w:p>
        </w:tc>
        <w:tc>
          <w:tcPr>
            <w:tcW w:w="2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(3,853</w:t>
            </w:r>
          </w:p>
        </w:tc>
        <w:tc>
          <w:tcPr>
            <w:tcW w:w="27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(3,023</w:t>
            </w:r>
          </w:p>
        </w:tc>
        <w:tc>
          <w:tcPr>
            <w:tcW w:w="31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Gross profit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9,445</w:t>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8,023</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19,034</w:t>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16,110</w:t>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Depreciation and amortization of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1,995</w:t>
            </w:r>
          </w:p>
        </w:tc>
        <w:tc>
          <w:tcPr>
            <w:tcW w:w="28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1,551</w:t>
            </w:r>
          </w:p>
        </w:tc>
        <w:tc>
          <w:tcPr>
            <w:tcW w:w="2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3,853</w:t>
            </w:r>
          </w:p>
        </w:tc>
        <w:tc>
          <w:tcPr>
            <w:tcW w:w="27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3,023</w:t>
            </w:r>
          </w:p>
        </w:tc>
        <w:tc>
          <w:tcPr>
            <w:tcW w:w="31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gross profit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11,440</w:t>
            </w:r>
          </w:p>
        </w:tc>
        <w:tc>
          <w:tcPr>
            <w:tcW w:w="28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9,574</w:t>
            </w:r>
          </w:p>
        </w:tc>
        <w:tc>
          <w:tcPr>
            <w:tcW w:w="27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22,887</w:t>
            </w:r>
          </w:p>
        </w:tc>
        <w:tc>
          <w:tcPr>
            <w:tcW w:w="27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19,133</w:t>
            </w:r>
          </w:p>
        </w:tc>
        <w:tc>
          <w:tcPr>
            <w:tcW w:w="31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Gross margin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65</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64</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20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Adjusted gross margin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85"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1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77</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78</w:t>
            </w:r>
          </w:p>
        </w:tc>
        <w:tc>
          <w:tcPr>
            <w:tcW w:w="271"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7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76</w:t>
            </w:r>
          </w:p>
        </w:tc>
        <w:tc>
          <w:tcPr>
            <w:tcW w:w="316"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The following is a reconciliation of net cash provided by operating activities, the most directly comparable US GAAP measure, to FCF:</w:t>
      </w:r>
    </w:p>
    <w:p>
      <w:pPr>
        <w:pStyle w:val="TextBody"/>
        <w:bidi w:val="0"/>
        <w:spacing w:before="0" w:after="0"/>
        <w:jc w:val="left"/>
        <w:rPr/>
      </w:pPr>
      <w:r>
        <w:rPr/>
        <w:t> </w:t>
      </w:r>
    </w:p>
    <w:tbl>
      <w:tblPr>
        <w:tblW w:w="8815" w:type="dxa"/>
        <w:jc w:val="left"/>
        <w:tblInd w:w="0" w:type="dxa"/>
        <w:tblLayout w:type="fixed"/>
        <w:tblCellMar>
          <w:top w:w="28" w:type="dxa"/>
          <w:left w:w="28" w:type="dxa"/>
          <w:bottom w:w="28" w:type="dxa"/>
          <w:right w:w="28" w:type="dxa"/>
        </w:tblCellMar>
      </w:tblPr>
      <w:tblGrid>
        <w:gridCol w:w="3886"/>
        <w:gridCol w:w="109"/>
        <w:gridCol w:w="244"/>
        <w:gridCol w:w="729"/>
        <w:gridCol w:w="192"/>
        <w:gridCol w:w="126"/>
        <w:gridCol w:w="244"/>
        <w:gridCol w:w="729"/>
        <w:gridCol w:w="166"/>
        <w:gridCol w:w="109"/>
        <w:gridCol w:w="223"/>
        <w:gridCol w:w="667"/>
        <w:gridCol w:w="175"/>
        <w:gridCol w:w="115"/>
        <w:gridCol w:w="223"/>
        <w:gridCol w:w="667"/>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64"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Three Months Ended June 30,</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070" w:type="dxa"/>
            <w:gridSpan w:val="6"/>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Six Months Ended June 30,</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(In thousands)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3"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92"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73"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90"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90"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Net cash provided by operating activities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3,547</w:t>
            </w:r>
          </w:p>
        </w:tc>
        <w:tc>
          <w:tcPr>
            <w:tcW w:w="1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9"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2,525</w:t>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5,078</w:t>
            </w:r>
          </w:p>
        </w:tc>
        <w:tc>
          <w:tcPr>
            <w:tcW w:w="1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4,955</w:t>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Less: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2"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7"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Purchase of property and equipment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(7</w:t>
            </w:r>
          </w:p>
        </w:tc>
        <w:tc>
          <w:tcPr>
            <w:tcW w:w="192"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(108</w:t>
            </w:r>
          </w:p>
        </w:tc>
        <w:tc>
          <w:tcPr>
            <w:tcW w:w="16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w:t>
            </w:r>
          </w:p>
        </w:tc>
        <w:tc>
          <w:tcPr>
            <w:tcW w:w="175"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7"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(221</w:t>
            </w:r>
          </w:p>
        </w:tc>
        <w:tc>
          <w:tcPr>
            <w:tcW w:w="21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Capitalized costs included in intangible assets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(2,236</w:t>
            </w:r>
          </w:p>
        </w:tc>
        <w:tc>
          <w:tcPr>
            <w:tcW w:w="192"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29"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(2,099</w:t>
            </w:r>
          </w:p>
        </w:tc>
        <w:tc>
          <w:tcPr>
            <w:tcW w:w="166"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(4,509</w:t>
            </w:r>
          </w:p>
        </w:tc>
        <w:tc>
          <w:tcPr>
            <w:tcW w:w="17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67"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(3,893</w:t>
            </w:r>
          </w:p>
        </w:tc>
        <w:tc>
          <w:tcPr>
            <w:tcW w:w="211"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388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20"/>
              </w:rPr>
            </w:pPr>
            <w:r>
              <w:rPr>
                <w:rFonts w:ascii="Times New Roman;serif" w:hAnsi="Times New Roman;serif"/>
                <w:b/>
                <w:sz w:val="20"/>
              </w:rPr>
              <w:t>Free cash flow</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1,304</w:t>
            </w:r>
          </w:p>
        </w:tc>
        <w:tc>
          <w:tcPr>
            <w:tcW w:w="192"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2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44"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29"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318</w:t>
            </w:r>
          </w:p>
        </w:tc>
        <w:tc>
          <w:tcPr>
            <w:tcW w:w="166"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518</w:t>
            </w:r>
          </w:p>
        </w:tc>
        <w:tc>
          <w:tcPr>
            <w:tcW w:w="175"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23"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7" w:type="dxa"/>
            <w:tcBorders>
              <w:bottom w:val="double" w:sz="6" w:space="0" w:color="000000"/>
            </w:tcBorders>
            <w:tcMar>
              <w:top w:w="0" w:type="dxa"/>
              <w:left w:w="0" w:type="dxa"/>
              <w:right w:w="0" w:type="dxa"/>
            </w:tcMar>
            <w:vAlign w:val="center"/>
          </w:tcPr>
          <w:p>
            <w:pPr>
              <w:pStyle w:val="TableContents"/>
              <w:bidi w:val="0"/>
              <w:spacing w:before="0" w:after="0"/>
              <w:ind w:left="0" w:right="0" w:hanging="0"/>
              <w:jc w:val="right"/>
              <w:rPr>
                <w:rFonts w:ascii="Times New Roman;serif" w:hAnsi="Times New Roman;serif"/>
                <w:b w:val="false"/>
                <w:sz w:val="20"/>
              </w:rPr>
            </w:pPr>
            <w:r>
              <w:rPr>
                <w:rFonts w:ascii="Times New Roman;serif" w:hAnsi="Times New Roman;serif"/>
                <w:b w:val="false"/>
                <w:sz w:val="20"/>
              </w:rPr>
              <w:t>841</w:t>
            </w:r>
          </w:p>
        </w:tc>
        <w:tc>
          <w:tcPr>
            <w:tcW w:w="211" w:type="dxa"/>
            <w:tcBorders>
              <w:bottom w:val="double" w:sz="6"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In order to assist readers of our condensed consolidated financial statements in understanding the operating results that management uses to evaluate the business and for financial planning purposes, we present non-GAAP measures of adjusted EBITDA, adjusted EBITDA margin,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6</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believe adjusted EBITDA, adjusted EBITDA margin,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Our adjusted gross profit is a measure used by management in evaluating the business’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spacing w:before="0" w:after="0"/>
        <w:jc w:val="left"/>
        <w:rPr/>
      </w:pPr>
      <w:r>
        <w:rPr/>
        <w:t> </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Adjusted EBITDA, adjusted EBITDA margin,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gross profit, adjusted gross margin and FCF may not be comparable to similarly titled measures presented by other companies, and may not be identical to corresponding measures used in our various agreements.</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serif" w:hAnsi="Times New Roman;serif"/>
          <w:b/>
          <w:sz w:val="20"/>
        </w:rPr>
      </w:pPr>
      <w:r>
        <w:rPr>
          <w:rFonts w:ascii="Times New Roman;serif" w:hAnsi="Times New Roman;serif"/>
          <w:b/>
          <w:sz w:val="20"/>
        </w:rPr>
        <w:t>SUPPLEMENTAL METRICS</w:t>
      </w:r>
    </w:p>
    <w:p>
      <w:pPr>
        <w:pStyle w:val="TextBody"/>
        <w:bidi w:val="0"/>
        <w:spacing w:before="200" w:after="0"/>
        <w:jc w:val="left"/>
        <w:rPr>
          <w:rFonts w:ascii="Times New Roman" w:hAnsi="Times New Roman"/>
          <w:sz w:val="20"/>
        </w:rPr>
      </w:pPr>
      <w:r>
        <w:rPr>
          <w:rFonts w:ascii="Times New Roman;serif" w:hAnsi="Times New Roman;serif"/>
          <w:b w:val="false"/>
          <w:sz w:val="20"/>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r>
        <w:rPr>
          <w:rFonts w:ascii="Times New Roman" w:hAnsi="Times New Roman"/>
          <w:sz w:val="20"/>
        </w:rPr>
        <w:t xml:space="preserve"> </w:t>
      </w:r>
    </w:p>
    <w:p>
      <w:pPr>
        <w:pStyle w:val="TextBody"/>
        <w:bidi w:val="0"/>
        <w:spacing w:before="200" w:after="0"/>
        <w:jc w:val="left"/>
        <w:rPr>
          <w:rFonts w:ascii="Times New Roman;serif" w:hAnsi="Times New Roman;serif"/>
          <w:b w:val="false"/>
          <w:sz w:val="20"/>
        </w:rPr>
      </w:pPr>
      <w:r>
        <w:rPr>
          <w:rFonts w:ascii="Times New Roman;serif" w:hAnsi="Times New Roman;serif"/>
          <w:b w:val="false"/>
          <w:sz w:val="20"/>
        </w:rPr>
        <w:t>We intend to periodically review and refine the definition, methodology and appropriateness of each of these supplemental metrics. As a result, metrics are subject to removal and/or changes, and such changes could be material.</w:t>
      </w:r>
    </w:p>
    <w:p>
      <w:pPr>
        <w:pStyle w:val="TextBody"/>
        <w:bidi w:val="0"/>
        <w:spacing w:before="0" w:after="0"/>
        <w:jc w:val="left"/>
        <w:rPr/>
      </w:pPr>
      <w:r>
        <w:rPr/>
        <w:t> </w:t>
      </w:r>
    </w:p>
    <w:tbl>
      <w:tblPr>
        <w:tblW w:w="11296" w:type="dxa"/>
        <w:jc w:val="left"/>
        <w:tblInd w:w="0" w:type="dxa"/>
        <w:tblLayout w:type="fixed"/>
        <w:tblCellMar>
          <w:top w:w="28" w:type="dxa"/>
          <w:left w:w="28" w:type="dxa"/>
          <w:bottom w:w="28" w:type="dxa"/>
          <w:right w:w="28" w:type="dxa"/>
        </w:tblCellMar>
      </w:tblPr>
      <w:tblGrid>
        <w:gridCol w:w="1231"/>
        <w:gridCol w:w="109"/>
        <w:gridCol w:w="196"/>
        <w:gridCol w:w="601"/>
        <w:gridCol w:w="256"/>
        <w:gridCol w:w="109"/>
        <w:gridCol w:w="196"/>
        <w:gridCol w:w="601"/>
        <w:gridCol w:w="256"/>
        <w:gridCol w:w="109"/>
        <w:gridCol w:w="196"/>
        <w:gridCol w:w="601"/>
        <w:gridCol w:w="256"/>
        <w:gridCol w:w="109"/>
        <w:gridCol w:w="196"/>
        <w:gridCol w:w="691"/>
        <w:gridCol w:w="256"/>
        <w:gridCol w:w="109"/>
        <w:gridCol w:w="196"/>
        <w:gridCol w:w="691"/>
        <w:gridCol w:w="256"/>
        <w:gridCol w:w="109"/>
        <w:gridCol w:w="196"/>
        <w:gridCol w:w="691"/>
        <w:gridCol w:w="256"/>
        <w:gridCol w:w="109"/>
        <w:gridCol w:w="196"/>
        <w:gridCol w:w="691"/>
        <w:gridCol w:w="256"/>
        <w:gridCol w:w="109"/>
        <w:gridCol w:w="196"/>
        <w:gridCol w:w="691"/>
        <w:gridCol w:w="575"/>
      </w:tblGrid>
      <w:tr>
        <w:trPr/>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9381" w:type="dxa"/>
            <w:gridSpan w:val="30"/>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(Unaudited)</w:t>
            </w:r>
          </w:p>
        </w:tc>
        <w:tc>
          <w:tcPr>
            <w:tcW w:w="57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6"/>
              </w:rPr>
            </w:pPr>
            <w:r>
              <w:rPr>
                <w:rFonts w:ascii="Times New Roman;serif" w:hAnsi="Times New Roman;serif"/>
                <w:b/>
                <w:sz w:val="16"/>
              </w:rPr>
              <w:t>(Dollars in thousands)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Q3'21</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Q4'21</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Q1'22</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Q2'22</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Q3'22</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Q4'22</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Q1'23</w:t>
            </w:r>
          </w:p>
        </w:tc>
        <w:tc>
          <w:tcPr>
            <w:tcW w:w="25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serif" w:hAnsi="Times New Roman;serif"/>
                <w:b/>
                <w:sz w:val="16"/>
              </w:rPr>
            </w:pPr>
            <w:r>
              <w:rPr>
                <w:rFonts w:ascii="Times New Roman;serif" w:hAnsi="Times New Roman;serif"/>
                <w:b/>
                <w:sz w:val="16"/>
              </w:rPr>
              <w:t>Q2'23</w:t>
            </w:r>
          </w:p>
        </w:tc>
        <w:tc>
          <w:tcPr>
            <w:tcW w:w="575"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Customer metrics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IDI - billable customers</w:t>
            </w:r>
            <w:r>
              <w:rPr>
                <w:rFonts w:ascii="Times New Roman;serif" w:hAnsi="Times New Roman;serif"/>
                <w:b w:val="false"/>
                <w:sz w:val="12"/>
              </w:rPr>
              <w:t>(1)</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6,314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6,548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6,592</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6,817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6,873</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7,021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7,256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7,497</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FOREWARN - users</w:t>
            </w:r>
            <w:r>
              <w:rPr>
                <w:rFonts w:ascii="Times New Roman;serif" w:hAnsi="Times New Roman;serif"/>
                <w:b w:val="false"/>
                <w:sz w:val="12"/>
              </w:rPr>
              <w:t>(2)</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74,377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82,419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91,490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101,261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110,051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116,960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131,348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146,537</w:t>
            </w:r>
          </w:p>
        </w:tc>
        <w:tc>
          <w:tcPr>
            <w:tcW w:w="5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Revenue metrics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Contractual revenue %</w:t>
            </w:r>
            <w:r>
              <w:rPr>
                <w:rFonts w:ascii="Times New Roman;serif" w:hAnsi="Times New Roman;serif"/>
                <w:b w:val="false"/>
                <w:sz w:val="12"/>
              </w:rPr>
              <w:t>(3)</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77</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75</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79</w:t>
            </w:r>
          </w:p>
        </w:tc>
        <w:tc>
          <w:tcPr>
            <w:tcW w:w="575" w:type="dxa"/>
            <w:tcBorders/>
            <w:tcMar>
              <w:top w:w="0" w:type="dxa"/>
              <w:left w:w="0" w:type="dxa"/>
              <w:bottom w:w="0" w:type="dxa"/>
              <w:right w:w="0" w:type="dxa"/>
            </w:tcMar>
            <w:vAlign w:val="center"/>
          </w:tcPr>
          <w:p>
            <w:pPr>
              <w:pStyle w:val="TableContents"/>
              <w:bidi w:val="0"/>
              <w:spacing w:before="0" w:after="0"/>
              <w:ind w:left="0" w:right="0" w:firstLine="274"/>
              <w:jc w:val="left"/>
              <w:rPr>
                <w:rFonts w:ascii="Times New Roman;serif" w:hAnsi="Times New Roman;serif"/>
                <w:b w:val="false"/>
                <w:sz w:val="18"/>
              </w:rPr>
            </w:pPr>
            <w:r>
              <w:rPr>
                <w:rFonts w:ascii="Times New Roman;serif" w:hAnsi="Times New Roman;serif"/>
                <w:b w:val="false"/>
                <w:sz w:val="18"/>
              </w:rPr>
              <w:t>%</w:t>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Gross revenue retention %</w:t>
            </w:r>
            <w:r>
              <w:rPr>
                <w:rFonts w:ascii="Times New Roman;serif" w:hAnsi="Times New Roman;serif"/>
                <w:b w:val="false"/>
                <w:sz w:val="12"/>
              </w:rPr>
              <w:t>(4)</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96</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95</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25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94</w:t>
            </w:r>
          </w:p>
        </w:tc>
        <w:tc>
          <w:tcPr>
            <w:tcW w:w="575" w:type="dxa"/>
            <w:tcBorders/>
            <w:tcMar>
              <w:top w:w="0" w:type="dxa"/>
              <w:left w:w="0" w:type="dxa"/>
              <w:bottom w:w="0" w:type="dxa"/>
              <w:right w:w="0" w:type="dxa"/>
            </w:tcMar>
            <w:vAlign w:val="center"/>
          </w:tcPr>
          <w:p>
            <w:pPr>
              <w:pStyle w:val="TableContents"/>
              <w:bidi w:val="0"/>
              <w:spacing w:before="0" w:after="0"/>
              <w:ind w:left="0" w:right="0" w:firstLine="274"/>
              <w:jc w:val="left"/>
              <w:rPr>
                <w:rFonts w:ascii="Times New Roman;serif" w:hAnsi="Times New Roman;serif"/>
                <w:b w:val="false"/>
                <w:sz w:val="18"/>
              </w:rPr>
            </w:pPr>
            <w:r>
              <w:rPr>
                <w:rFonts w:ascii="Times New Roman;serif" w:hAnsi="Times New Roman;serif"/>
                <w:b w:val="false"/>
                <w:sz w:val="18"/>
              </w:rPr>
              <w:t>%</w:t>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Revenue from new customers</w:t>
            </w:r>
            <w:r>
              <w:rPr>
                <w:rFonts w:ascii="Times New Roman;serif" w:hAnsi="Times New Roman;serif"/>
                <w:b w:val="false"/>
                <w:sz w:val="12"/>
              </w:rPr>
              <w:t>(5)</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876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920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805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2,016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1,216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1,869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1,147</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Base revenue from existing customers</w:t>
            </w:r>
            <w:r>
              <w:rPr>
                <w:rFonts w:ascii="Times New Roman;serif" w:hAnsi="Times New Roman;serif"/>
                <w:b w:val="false"/>
                <w:sz w:val="12"/>
              </w:rPr>
              <w:t>(6)</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9,187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9,114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9,721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10,164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10,839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10,574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11,121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11,707</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 w:hAnsi="Times New Roman"/>
                <w:sz w:val="18"/>
              </w:rPr>
            </w:pPr>
            <w:r>
              <w:rPr>
                <w:rFonts w:ascii="Times New Roman;serif" w:hAnsi="Times New Roman;serif"/>
                <w:b w:val="false"/>
                <w:sz w:val="18"/>
              </w:rPr>
              <w:t>Growth revenue from existing customers</w:t>
            </w:r>
            <w:r>
              <w:rPr>
                <w:rFonts w:ascii="Times New Roman;serif" w:hAnsi="Times New Roman;serif"/>
                <w:b w:val="false"/>
                <w:sz w:val="12"/>
              </w:rPr>
              <w:t>(7)</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1,605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1,224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1,994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1,525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2,171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1,279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1,636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91" w:type="dxa"/>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1,826</w:t>
            </w:r>
          </w:p>
        </w:tc>
        <w:tc>
          <w:tcPr>
            <w:tcW w:w="5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0" w:right="0" w:hanging="0"/>
              <w:jc w:val="left"/>
              <w:rPr>
                <w:rFonts w:ascii="Times New Roman;serif" w:hAnsi="Times New Roman;serif"/>
                <w:b/>
                <w:sz w:val="18"/>
              </w:rPr>
            </w:pPr>
            <w:r>
              <w:rPr>
                <w:rFonts w:ascii="Times New Roman;serif" w:hAnsi="Times New Roman;serif"/>
                <w:b/>
                <w:sz w:val="18"/>
              </w:rPr>
              <w:t>Other metrics</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0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sales and marketing</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61</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63</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support</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9</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infrastructure</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18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23</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28</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engineering</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37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52</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54</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47</w:t>
            </w:r>
          </w:p>
        </w:tc>
        <w:tc>
          <w:tcPr>
            <w:tcW w:w="575" w:type="dxa"/>
            <w:tcBorders/>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231" w:type="dxa"/>
            <w:tcBorders/>
            <w:tcMar>
              <w:top w:w="0" w:type="dxa"/>
              <w:left w:w="0" w:type="dxa"/>
              <w:bottom w:w="0" w:type="dxa"/>
              <w:right w:w="0" w:type="dxa"/>
            </w:tcMar>
            <w:vAlign w:val="center"/>
          </w:tcPr>
          <w:p>
            <w:pPr>
              <w:pStyle w:val="TableContents"/>
              <w:bidi w:val="0"/>
              <w:spacing w:before="0" w:after="0"/>
              <w:ind w:left="274" w:right="0" w:hanging="0"/>
              <w:jc w:val="left"/>
              <w:rPr>
                <w:rFonts w:ascii="Times New Roman;serif" w:hAnsi="Times New Roman;serif"/>
                <w:b w:val="false"/>
                <w:sz w:val="18"/>
              </w:rPr>
            </w:pPr>
            <w:r>
              <w:rPr>
                <w:rFonts w:ascii="Times New Roman;serif" w:hAnsi="Times New Roman;serif"/>
                <w:b w:val="false"/>
                <w:sz w:val="18"/>
              </w:rPr>
              <w:t>Employees - administration</w:t>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20</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22</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26</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27</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256"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before="0" w:after="0"/>
              <w:ind w:left="0" w:right="0" w:hanging="0"/>
              <w:jc w:val="right"/>
              <w:rPr>
                <w:rFonts w:ascii="Times New Roman;serif" w:hAnsi="Times New Roman;serif"/>
                <w:b w:val="false"/>
                <w:sz w:val="18"/>
              </w:rPr>
            </w:pPr>
            <w:r>
              <w:rPr>
                <w:rFonts w:ascii="Times New Roman;serif" w:hAnsi="Times New Roman;serif"/>
                <w:b w:val="false"/>
                <w:sz w:val="18"/>
              </w:rPr>
              <w:t>25</w:t>
            </w:r>
          </w:p>
        </w:tc>
        <w:tc>
          <w:tcPr>
            <w:tcW w:w="575" w:type="dxa"/>
            <w:tcBorders/>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b w:val="false"/>
          <w:sz w:val="20"/>
        </w:rPr>
      </w:pPr>
      <w:r>
        <w:rPr>
          <w:rFonts w:ascii="Times New Roman" w:hAnsi="Times New Roman"/>
          <w:b w:val="false"/>
          <w:sz w:val="20"/>
        </w:rPr>
        <w:t>(1)</w:t>
      </w:r>
    </w:p>
    <w:p>
      <w:pPr>
        <w:pStyle w:val="TextBody"/>
        <w:bidi w:val="0"/>
        <w:spacing w:before="0" w:after="0"/>
        <w:jc w:val="left"/>
        <w:rPr>
          <w:rFonts w:ascii="Times New Roman;serif" w:hAnsi="Times New Roman;serif"/>
          <w:b w:val="false"/>
          <w:sz w:val="20"/>
        </w:rPr>
      </w:pPr>
      <w:r>
        <w:rPr>
          <w:rFonts w:ascii="Times New Roman;serif" w:hAnsi="Times New Roman;serif"/>
          <w:b w:val="false"/>
          <w:sz w:val="20"/>
        </w:rPr>
        <w:t>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pStyle w:val="TextBody"/>
        <w:bidi w:val="0"/>
        <w:spacing w:before="120" w:after="0"/>
        <w:jc w:val="left"/>
        <w:rPr>
          <w:rFonts w:ascii="Times New Roman" w:hAnsi="Times New Roman"/>
          <w:b w:val="false"/>
          <w:sz w:val="20"/>
        </w:rPr>
      </w:pPr>
      <w:r>
        <w:rPr>
          <w:rFonts w:ascii="Times New Roman" w:hAnsi="Times New Roman"/>
          <w:b w:val="false"/>
          <w:sz w:val="20"/>
        </w:rPr>
        <w:t>(2)</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 xml:space="preserve">We define a user of FOREWARN as a unique person that has a subscription to use the FOREWARN service as of the last day of the period. A unique person can only have one user account. </w:t>
      </w:r>
    </w:p>
    <w:p>
      <w:pPr>
        <w:pStyle w:val="TextBody"/>
        <w:bidi w:val="0"/>
        <w:spacing w:before="120" w:after="0"/>
        <w:jc w:val="left"/>
        <w:rPr>
          <w:rFonts w:ascii="Times New Roman" w:hAnsi="Times New Roman"/>
          <w:b w:val="false"/>
          <w:sz w:val="20"/>
        </w:rPr>
      </w:pPr>
      <w:r>
        <w:rPr>
          <w:rFonts w:ascii="Times New Roman" w:hAnsi="Times New Roman"/>
          <w:b w:val="false"/>
          <w:sz w:val="20"/>
        </w:rPr>
        <w:t>(3)</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Contractual revenue % represents revenue generated from customers pursuant to pricing contracts containing a monthly fee and any additional overage divided by total revenue. Pricing contracts are generally annual contracts or longer, with auto renewal.</w:t>
      </w:r>
    </w:p>
    <w:p>
      <w:pPr>
        <w:pStyle w:val="TextBody"/>
        <w:bidi w:val="0"/>
        <w:spacing w:before="120" w:after="0"/>
        <w:jc w:val="left"/>
        <w:rPr>
          <w:rFonts w:ascii="Times New Roman" w:hAnsi="Times New Roman"/>
          <w:b w:val="false"/>
          <w:sz w:val="20"/>
        </w:rPr>
      </w:pPr>
      <w:r>
        <w:rPr>
          <w:rFonts w:ascii="Times New Roman" w:hAnsi="Times New Roman"/>
          <w:b w:val="false"/>
          <w:sz w:val="20"/>
        </w:rPr>
        <w:t>(4)</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Prior to Q1’22, FOREWARN revenue was excluded from our gross revenue retention calculation. Beginning Q4’22, our gross revenue retention calculation excludes revenue from idiVERIFIED, which is purely transactional and currently represents less than 3% of total revenue.</w:t>
      </w:r>
    </w:p>
    <w:p>
      <w:pPr>
        <w:pStyle w:val="TextBody"/>
        <w:bidi w:val="0"/>
        <w:spacing w:before="120" w:after="0"/>
        <w:jc w:val="left"/>
        <w:rPr>
          <w:rFonts w:ascii="Times New Roman" w:hAnsi="Times New Roman"/>
          <w:b w:val="false"/>
          <w:sz w:val="20"/>
        </w:rPr>
      </w:pPr>
      <w:r>
        <w:rPr>
          <w:rFonts w:ascii="Times New Roman" w:hAnsi="Times New Roman"/>
          <w:b w:val="false"/>
          <w:sz w:val="20"/>
        </w:rPr>
        <w:t>(5)</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Revenue from new customers represents the total monthly revenue generated from new customers in a given period. A customer is defined as a new customer during the first six months of revenue generation.</w:t>
      </w:r>
    </w:p>
    <w:p>
      <w:pPr>
        <w:pStyle w:val="TextBody"/>
        <w:bidi w:val="0"/>
        <w:spacing w:before="120" w:after="0"/>
        <w:jc w:val="left"/>
        <w:rPr>
          <w:rFonts w:ascii="Times New Roman" w:hAnsi="Times New Roman"/>
          <w:b w:val="false"/>
          <w:sz w:val="20"/>
        </w:rPr>
      </w:pPr>
      <w:r>
        <w:rPr>
          <w:rFonts w:ascii="Times New Roman" w:hAnsi="Times New Roman"/>
          <w:b w:val="false"/>
          <w:sz w:val="20"/>
        </w:rPr>
        <w:t>(6)</w:t>
      </w:r>
    </w:p>
    <w:p>
      <w:pPr>
        <w:pStyle w:val="TextBody"/>
        <w:bidi w:val="0"/>
        <w:spacing w:before="120" w:after="0"/>
        <w:jc w:val="left"/>
        <w:rPr>
          <w:rFonts w:ascii="Times New Roman;serif" w:hAnsi="Times New Roman;serif"/>
          <w:b w:val="false"/>
          <w:sz w:val="20"/>
        </w:rPr>
      </w:pPr>
      <w:r>
        <w:rPr>
          <w:rFonts w:ascii="Times New Roman;serif" w:hAnsi="Times New Roman;serif"/>
          <w:b w:val="false"/>
          <w:sz w:val="20"/>
        </w:rPr>
        <w:t>Base revenue from existing customers represents the total monthly revenue generated from existing customers in a given period that does not exceed the customers' trailing six-month average revenue. A customer is defined as an existing customer six months after their initial month of revenue.</w:t>
      </w:r>
    </w:p>
    <w:p>
      <w:pPr>
        <w:pStyle w:val="TextBody"/>
        <w:bidi w:val="0"/>
        <w:spacing w:before="120" w:after="0"/>
        <w:jc w:val="left"/>
        <w:rPr>
          <w:rFonts w:ascii="Times New Roman" w:hAnsi="Times New Roman"/>
          <w:b w:val="false"/>
          <w:sz w:val="20"/>
        </w:rPr>
      </w:pPr>
      <w:r>
        <w:rPr>
          <w:rFonts w:ascii="Times New Roman" w:hAnsi="Times New Roman"/>
          <w:b w:val="false"/>
          <w:sz w:val="20"/>
        </w:rPr>
        <w:t>(7)</w:t>
      </w:r>
    </w:p>
    <w:p>
      <w:pPr>
        <w:pStyle w:val="TextBody"/>
        <w:bidi w:val="0"/>
        <w:spacing w:before="120" w:after="283"/>
        <w:jc w:val="left"/>
        <w:rPr>
          <w:rFonts w:ascii="Times New Roman;serif" w:hAnsi="Times New Roman;serif"/>
          <w:b w:val="false"/>
          <w:sz w:val="20"/>
        </w:rPr>
      </w:pPr>
      <w:r>
        <w:rPr>
          <w:rFonts w:ascii="Times New Roman;serif" w:hAnsi="Times New Roman;serif"/>
          <w:b w:val="false"/>
          <w:sz w:val="20"/>
        </w:rPr>
        <w:t>Growth revenue from existing customers represents the total monthly revenue generated from existing customers in a given period in excess of the customers' trailing six-month average revenue.</w:t>
      </w:r>
    </w:p>
    <w:p>
      <w:pPr>
        <w:pStyle w:val="TextBody"/>
        <w:bidi w:val="0"/>
        <w:spacing w:before="0" w:after="0"/>
        <w:jc w:val="left"/>
        <w:rPr/>
      </w:pPr>
      <w:r>
        <w:rPr/>
        <w:t> </w:t>
      </w:r>
    </w:p>
    <w:p>
      <w:pPr>
        <w:pStyle w:val="TextBody"/>
        <w:bidi w:val="0"/>
        <w:spacing w:before="0" w:after="0"/>
        <w:jc w:val="center"/>
        <w:rPr>
          <w:rFonts w:ascii="Times New Roman;serif" w:hAnsi="Times New Roman;serif"/>
          <w:b w:val="false"/>
          <w:caps/>
          <w:sz w:val="20"/>
        </w:rPr>
      </w:pPr>
      <w:r>
        <w:rPr>
          <w:rFonts w:ascii="Times New Roman;serif" w:hAnsi="Times New Roman;serif"/>
          <w:b w:val="false"/>
          <w:caps/>
          <w:sz w:val="20"/>
        </w:rPr>
        <w:t>8</w:t>
      </w:r>
    </w:p>
    <w:p>
      <w:pPr>
        <w:pStyle w:val="HorizontalLine"/>
        <w:pBdr>
          <w:bottom w:val="double" w:sz="2" w:space="0" w:color="808080"/>
        </w:pBdr>
        <w:bidi w:val="0"/>
        <w:spacing w:before="0" w:after="283"/>
        <w:jc w:val="left"/>
        <w:rPr/>
      </w:pPr>
      <w:r>
        <w:rPr/>
      </w:r>
    </w:p>
    <w:p>
      <w:pPr>
        <w:pStyle w:val="TextBody"/>
        <w:bidi w:val="0"/>
        <w:spacing w:before="0" w:after="225"/>
        <w:jc w:val="left"/>
        <w:rPr>
          <w:rFonts w:ascii="Calibri;sans-serif" w:hAnsi="Calibri;sans-serif"/>
          <w:b/>
          <w:sz w:val="28"/>
        </w:rPr>
      </w:pPr>
      <w:bookmarkStart w:id="10" w:name="rdvt-ex99_2.htm"/>
      <w:bookmarkStart w:id="11" w:name="ksrdvtex99_2"/>
      <w:bookmarkEnd w:id="10"/>
      <w:bookmarkEnd w:id="11"/>
      <w:r>
        <w:rPr>
          <w:rFonts w:ascii="Calibri;sans-serif" w:hAnsi="Calibri;sans-serif"/>
          <w:b/>
          <w:sz w:val="28"/>
        </w:rPr>
        <w:t>Exhibit 99.2</w:t>
      </w:r>
      <w:r>
        <w:br w:type="page"/>
      </w:r>
    </w:p>
    <w:p>
      <w:pPr>
        <w:pStyle w:val="TextBody"/>
        <w:bidi w:val="0"/>
        <w:spacing w:before="0" w:after="225"/>
        <w:jc w:val="left"/>
        <w:rPr>
          <w:rFonts w:ascii="Calibri;sans-serif" w:hAnsi="Calibri;sans-serif"/>
          <w:b/>
          <w:sz w:val="28"/>
        </w:rPr>
      </w:pPr>
      <w:r>
        <w:rPr>
          <w:rFonts w:ascii="Calibri;sans-serif" w:hAnsi="Calibri;sans-serif"/>
          <w:b/>
          <w:sz w:val="28"/>
        </w:rPr>
        <w:t>Red Violet, Inc. (NASDAQ: RDVT)</w:t>
      </w:r>
    </w:p>
    <w:p>
      <w:pPr>
        <w:pStyle w:val="TextBody"/>
        <w:bidi w:val="0"/>
        <w:spacing w:before="0" w:after="225"/>
        <w:jc w:val="left"/>
        <w:rPr>
          <w:rFonts w:ascii="Calibri;sans-serif" w:hAnsi="Calibri;sans-serif"/>
          <w:b/>
          <w:sz w:val="28"/>
        </w:rPr>
      </w:pPr>
      <w:r>
        <w:rPr>
          <w:rFonts w:ascii="Calibri;sans-serif" w:hAnsi="Calibri;sans-serif"/>
          <w:b/>
          <w:sz w:val="28"/>
        </w:rPr>
        <w:t>Second Quarter 2023 Earnings Results Conference Call</w:t>
      </w:r>
    </w:p>
    <w:p>
      <w:pPr>
        <w:pStyle w:val="TextBody"/>
        <w:bidi w:val="0"/>
        <w:spacing w:before="0" w:after="225"/>
        <w:jc w:val="left"/>
        <w:rPr>
          <w:rFonts w:ascii="Calibri;sans-serif" w:hAnsi="Calibri;sans-serif"/>
          <w:b/>
          <w:sz w:val="28"/>
        </w:rPr>
      </w:pPr>
      <w:r>
        <w:rPr>
          <w:rFonts w:ascii="Calibri;sans-serif" w:hAnsi="Calibri;sans-serif"/>
          <w:b/>
          <w:sz w:val="28"/>
        </w:rPr>
        <w:t>Company Participants:</w:t>
      </w:r>
    </w:p>
    <w:p>
      <w:pPr>
        <w:pStyle w:val="TextBody"/>
        <w:bidi w:val="0"/>
        <w:spacing w:before="0" w:after="225"/>
        <w:jc w:val="left"/>
        <w:rPr>
          <w:rFonts w:ascii="Calibri;sans-serif" w:hAnsi="Calibri;sans-serif"/>
          <w:b w:val="false"/>
          <w:sz w:val="28"/>
        </w:rPr>
      </w:pPr>
      <w:r>
        <w:rPr>
          <w:rFonts w:ascii="Calibri;sans-serif" w:hAnsi="Calibri;sans-serif"/>
          <w:b w:val="false"/>
          <w:sz w:val="28"/>
        </w:rPr>
        <w:t>Camilo Ramirez, Vice President, Finance and Investor Relations</w:t>
      </w:r>
    </w:p>
    <w:p>
      <w:pPr>
        <w:pStyle w:val="TextBody"/>
        <w:bidi w:val="0"/>
        <w:spacing w:before="0" w:after="225"/>
        <w:jc w:val="left"/>
        <w:rPr>
          <w:rFonts w:ascii="Calibri;sans-serif" w:hAnsi="Calibri;sans-serif"/>
          <w:b w:val="false"/>
          <w:sz w:val="28"/>
        </w:rPr>
      </w:pPr>
      <w:r>
        <w:rPr>
          <w:rFonts w:ascii="Calibri;sans-serif" w:hAnsi="Calibri;sans-serif"/>
          <w:b w:val="false"/>
          <w:sz w:val="28"/>
        </w:rPr>
        <w:t>Derek Dubner, Chairman and Chief Executive Officer</w:t>
      </w:r>
    </w:p>
    <w:p>
      <w:pPr>
        <w:pStyle w:val="TextBody"/>
        <w:bidi w:val="0"/>
        <w:spacing w:before="0" w:after="225"/>
        <w:jc w:val="left"/>
        <w:rPr>
          <w:rFonts w:ascii="Calibri;sans-serif" w:hAnsi="Calibri;sans-serif"/>
          <w:b w:val="false"/>
          <w:sz w:val="28"/>
        </w:rPr>
      </w:pPr>
      <w:r>
        <w:rPr>
          <w:rFonts w:ascii="Calibri;sans-serif" w:hAnsi="Calibri;sans-serif"/>
          <w:b w:val="false"/>
          <w:sz w:val="28"/>
        </w:rPr>
        <w:t>Dan MacLachlan, Chief Financial Officer</w:t>
      </w:r>
    </w:p>
    <w:p>
      <w:pPr>
        <w:pStyle w:val="TextBody"/>
        <w:bidi w:val="0"/>
        <w:spacing w:before="0" w:after="225"/>
        <w:jc w:val="left"/>
        <w:rPr>
          <w:rFonts w:ascii="Calibri;sans-serif" w:hAnsi="Calibri;sans-serif"/>
          <w:b/>
          <w:sz w:val="28"/>
        </w:rPr>
      </w:pPr>
      <w:r>
        <w:rPr>
          <w:rFonts w:ascii="Calibri;sans-serif" w:hAnsi="Calibri;sans-serif"/>
          <w:b/>
          <w:sz w:val="28"/>
        </w:rPr>
        <w:t>Operator:</w:t>
      </w:r>
    </w:p>
    <w:p>
      <w:pPr>
        <w:pStyle w:val="TextBody"/>
        <w:bidi w:val="0"/>
        <w:spacing w:before="0" w:after="160"/>
        <w:jc w:val="left"/>
        <w:rPr>
          <w:rFonts w:ascii="Times New Roman" w:hAnsi="Times New Roman"/>
          <w:sz w:val="20"/>
        </w:rPr>
      </w:pPr>
      <w:r>
        <w:rPr>
          <w:rFonts w:ascii="Calibri;sans-serif" w:hAnsi="Calibri;sans-serif"/>
          <w:b w:val="false"/>
          <w:sz w:val="28"/>
        </w:rPr>
        <w:t>Good day ladies and gentlemen, and welcome to red violet’s second quarter earnings</w:t>
      </w:r>
      <w:r>
        <w:rPr>
          <w:rFonts w:ascii="Times New Roman" w:hAnsi="Times New Roman"/>
          <w:sz w:val="20"/>
        </w:rPr>
        <w:t xml:space="preserve"> </w:t>
      </w:r>
      <w:r>
        <w:rPr>
          <w:rFonts w:ascii="Calibri;sans-serif" w:hAnsi="Calibri;sans-serif"/>
          <w:b w:val="false"/>
          <w:sz w:val="28"/>
        </w:rPr>
        <w:t>conference call. At this time, all participants are in a listen only mode. Later we will conduct a question and answer session and instructions will follow at that time.</w:t>
      </w:r>
      <w:r>
        <w:rPr>
          <w:rFonts w:ascii="Times New Roman" w:hAnsi="Times New Roman"/>
          <w:sz w:val="20"/>
        </w:rPr>
        <w:t xml:space="preserve"> </w:t>
      </w:r>
    </w:p>
    <w:p>
      <w:pPr>
        <w:pStyle w:val="TextBody"/>
        <w:bidi w:val="0"/>
        <w:spacing w:before="0" w:after="160"/>
        <w:jc w:val="left"/>
        <w:rPr>
          <w:rFonts w:ascii="Calibri;sans-serif" w:hAnsi="Calibri;sans-serif"/>
          <w:b w:val="false"/>
          <w:sz w:val="28"/>
        </w:rPr>
      </w:pPr>
      <w:r>
        <w:rPr>
          <w:rFonts w:ascii="Calibri;sans-serif" w:hAnsi="Calibri;sans-serif"/>
          <w:b w:val="false"/>
          <w:sz w:val="28"/>
        </w:rPr>
        <w:t>As a reminder this call is being recorded.</w:t>
      </w:r>
    </w:p>
    <w:p>
      <w:pPr>
        <w:pStyle w:val="TextBody"/>
        <w:bidi w:val="0"/>
        <w:spacing w:before="0" w:after="160"/>
        <w:jc w:val="left"/>
        <w:rPr>
          <w:rFonts w:ascii="Calibri;sans-serif" w:hAnsi="Calibri;sans-serif"/>
          <w:b w:val="false"/>
          <w:sz w:val="28"/>
        </w:rPr>
      </w:pPr>
      <w:r>
        <w:rPr>
          <w:rFonts w:ascii="Calibri;sans-serif" w:hAnsi="Calibri;sans-serif"/>
          <w:b w:val="false"/>
          <w:sz w:val="28"/>
        </w:rPr>
        <w:t>I would now like to introduce your host for today’s conference Camilo Ramirez, Vice President, Finance and Investor Relations. Please go ahead.</w:t>
      </w:r>
    </w:p>
    <w:p>
      <w:pPr>
        <w:pStyle w:val="TextBody"/>
        <w:bidi w:val="0"/>
        <w:spacing w:before="0" w:after="225"/>
        <w:jc w:val="left"/>
        <w:rPr/>
      </w:pPr>
      <w:r>
        <w:rPr/>
        <w:t> </w:t>
      </w:r>
    </w:p>
    <w:p>
      <w:pPr>
        <w:pStyle w:val="TextBody"/>
        <w:bidi w:val="0"/>
        <w:spacing w:before="0" w:after="225"/>
        <w:jc w:val="left"/>
        <w:rPr>
          <w:rFonts w:ascii="Times New Roman" w:hAnsi="Times New Roman"/>
          <w:sz w:val="20"/>
        </w:rPr>
      </w:pPr>
      <w:r>
        <w:rPr>
          <w:rFonts w:ascii="Calibri;sans-serif" w:hAnsi="Calibri;sans-serif"/>
          <w:b/>
          <w:sz w:val="28"/>
        </w:rPr>
        <w:t>Camilo Ramirez:</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Good afternoon and welcome. Thank you for joining us today to discuss our second quarter 2023 financial results.</w:t>
      </w:r>
      <w:r>
        <w:rPr>
          <w:rFonts w:ascii="Times New Roman" w:hAnsi="Times New Roman"/>
          <w:sz w:val="20"/>
        </w:rPr>
        <w:t xml:space="preserve"> </w:t>
      </w:r>
    </w:p>
    <w:p>
      <w:pPr>
        <w:pStyle w:val="TextBody"/>
        <w:bidi w:val="0"/>
        <w:spacing w:before="0" w:after="225"/>
        <w:jc w:val="left"/>
        <w:rPr>
          <w:rFonts w:ascii="Calibri;sans-serif" w:hAnsi="Calibri;sans-serif"/>
          <w:b w:val="false"/>
          <w:sz w:val="28"/>
        </w:rPr>
      </w:pPr>
      <w:r>
        <w:rPr>
          <w:rFonts w:ascii="Calibri;sans-serif" w:hAnsi="Calibri;sans-serif"/>
          <w:b w:val="false"/>
          <w:sz w:val="28"/>
        </w:rPr>
        <w:t>With me today is Derek Dubner, our Chairman and Chief Executive Officer, and Dan MacLachlan, our Chief Financial Officer. Our call today will begin with comments from Derek and Dan, followed by a question and answer session.</w:t>
      </w:r>
    </w:p>
    <w:p>
      <w:pPr>
        <w:pStyle w:val="TextBody"/>
        <w:bidi w:val="0"/>
        <w:spacing w:before="0" w:after="225"/>
        <w:jc w:val="left"/>
        <w:rPr>
          <w:rFonts w:ascii="Calibri;sans-serif" w:hAnsi="Calibri;sans-serif"/>
          <w:b w:val="false"/>
          <w:sz w:val="28"/>
        </w:rPr>
      </w:pPr>
      <w:r>
        <w:rPr>
          <w:rFonts w:ascii="Calibri;sans-serif" w:hAnsi="Calibri;sans-serif"/>
          <w:b w:val="false"/>
          <w:sz w:val="28"/>
        </w:rPr>
        <w:t>I would like to remind you that this call is being webcast live and recorded. A replay of the event will be available following the call on our website. To access the webcast, please visit our Investors page on our website www.redviolet.com.</w:t>
      </w:r>
    </w:p>
    <w:p>
      <w:pPr>
        <w:pStyle w:val="TextBody"/>
        <w:bidi w:val="0"/>
        <w:spacing w:before="0" w:after="0"/>
        <w:jc w:val="center"/>
        <w:rPr>
          <w:rFonts w:ascii="Calibri;sans-serif" w:hAnsi="Calibri;sans-serif"/>
          <w:b w:val="false"/>
          <w:sz w:val="22"/>
        </w:rPr>
      </w:pPr>
      <w:r>
        <w:rPr>
          <w:rFonts w:ascii="Calibri;sans-serif" w:hAnsi="Calibri;sans-serif"/>
          <w:b w:val="false"/>
          <w:sz w:val="22"/>
        </w:rPr>
        <w:t>1</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Calibri;sans-serif" w:hAnsi="Calibri;sans-serif"/>
          <w:b w:val="false"/>
          <w:sz w:val="28"/>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 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During the call, we may present certain non-GAAP financial information relating to adjusted gross profit, adjusted gross margin, adjusted EBITDA, adjusted EBITDA margin,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r>
        <w:rPr>
          <w:rFonts w:ascii="Times New Roman" w:hAnsi="Times New Roman"/>
          <w:sz w:val="20"/>
        </w:rPr>
        <w:t xml:space="preserve"> </w:t>
      </w:r>
    </w:p>
    <w:p>
      <w:pPr>
        <w:pStyle w:val="TextBody"/>
        <w:bidi w:val="0"/>
        <w:spacing w:before="0" w:after="225"/>
        <w:jc w:val="left"/>
        <w:rPr>
          <w:rFonts w:ascii="Calibri;sans-serif" w:hAnsi="Calibri;sans-serif"/>
          <w:b w:val="false"/>
          <w:sz w:val="28"/>
        </w:rPr>
      </w:pPr>
      <w:r>
        <w:rPr>
          <w:rFonts w:ascii="Calibri;sans-serif" w:hAnsi="Calibri;sans-serif"/>
          <w:b w:val="false"/>
          <w:sz w:val="28"/>
        </w:rPr>
        <w:t>With that, I am pleased to introduce red violet’s Chairman and Chief Executive Officer, Derek Dubner.</w:t>
      </w:r>
    </w:p>
    <w:p>
      <w:pPr>
        <w:pStyle w:val="TextBody"/>
        <w:bidi w:val="0"/>
        <w:spacing w:before="0" w:after="225"/>
        <w:jc w:val="left"/>
        <w:rPr>
          <w:rFonts w:ascii="Calibri;sans-serif" w:hAnsi="Calibri;sans-serif"/>
          <w:b/>
          <w:sz w:val="28"/>
        </w:rPr>
      </w:pPr>
      <w:r>
        <w:rPr>
          <w:rFonts w:ascii="Calibri;sans-serif" w:hAnsi="Calibri;sans-serif"/>
          <w:b/>
          <w:sz w:val="28"/>
        </w:rPr>
        <w:t>Derek Dubner</w:t>
      </w:r>
    </w:p>
    <w:p>
      <w:pPr>
        <w:pStyle w:val="TextBody"/>
        <w:bidi w:val="0"/>
        <w:spacing w:before="0" w:after="160"/>
        <w:jc w:val="left"/>
        <w:rPr>
          <w:rFonts w:ascii="Times New Roman" w:hAnsi="Times New Roman"/>
          <w:sz w:val="20"/>
        </w:rPr>
      </w:pPr>
      <w:r>
        <w:rPr>
          <w:rFonts w:ascii="Calibri;sans-serif" w:hAnsi="Calibri;sans-serif"/>
          <w:b w:val="false"/>
          <w:sz w:val="28"/>
        </w:rPr>
        <w:t>Thanks Camilo. Good afternoon to all and thanks for joining us today to discuss our results for the second quarter of 2023. We are pleased to report a very strong quarter, further highlighting our ability to drive both top-line growth and profitability. We are experiencing continued strength in new customer onboarding, pipeline expansion from higher-tier prospects, and robust customer conversion at all levels. We again generated solid revenue growth, which combined with our dedication to operational efficiency, translated into healthy margins throughout the P&amp;L and solid net income, showcasing the company’s resilience and adaptability in a dynamic market environment. Given our results</w:t>
      </w:r>
      <w:r>
        <w:rPr>
          <w:rFonts w:ascii="Times New Roman" w:hAnsi="Times New Roman"/>
          <w:sz w:val="20"/>
        </w:rPr>
        <w:t xml:space="preserve"> </w:t>
      </w:r>
    </w:p>
    <w:p>
      <w:pPr>
        <w:pStyle w:val="TextBody"/>
        <w:bidi w:val="0"/>
        <w:spacing w:before="0" w:after="0"/>
        <w:jc w:val="center"/>
        <w:rPr>
          <w:rFonts w:ascii="Calibri;sans-serif" w:hAnsi="Calibri;sans-serif"/>
          <w:b w:val="false"/>
          <w:sz w:val="22"/>
        </w:rPr>
      </w:pPr>
      <w:r>
        <w:rPr>
          <w:rFonts w:ascii="Calibri;sans-serif" w:hAnsi="Calibri;sans-serif"/>
          <w:b w:val="false"/>
          <w:sz w:val="22"/>
        </w:rPr>
        <w:t>2</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Calibri;sans-serif" w:hAnsi="Calibri;sans-serif"/>
          <w:b w:val="false"/>
          <w:sz w:val="28"/>
        </w:rPr>
        <w:t>and the present pulse on the business, including closing out a very strong July, we are well-positioned for the back half of the year.</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Now, turning to the numbers. For the quarter, total revenue was $14.7 million, a 17% increase over prior year. We produced $11.4 million in adjusted gross profit, resulting in adjusted gross margin of 78% in the second quarter, up 1-percentage point. Adjusted EBITDA for the quarter was $4.6 million, up 58% over prior year. Adjusted EBITDA margin was 32% for the quarter, up 9-percentage points. We generated $1.3 million in free cash flow for the quarter, compared to generating $0.3 million in the prior year.</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Our IDI billable customer base grew by 241 customers sequentially from the first quarter, ending the second quarter at 7,497 customers. FOREWARN added 15,189 users during the second quarter, ending the quarter at 146,537 users. Over 285 Realtor® Associations are now contracted to use FOREWARN.</w:t>
      </w:r>
      <w:r>
        <w:rPr>
          <w:rFonts w:ascii="Times New Roman" w:hAnsi="Times New Roman"/>
          <w:sz w:val="20"/>
        </w:rPr>
        <w:t xml:space="preserve"> </w:t>
      </w:r>
    </w:p>
    <w:p>
      <w:pPr>
        <w:pStyle w:val="TextBody"/>
        <w:bidi w:val="0"/>
        <w:spacing w:before="0" w:after="160"/>
        <w:jc w:val="left"/>
        <w:rPr>
          <w:rFonts w:ascii="Times New Roman" w:hAnsi="Times New Roman"/>
          <w:sz w:val="20"/>
        </w:rPr>
      </w:pPr>
      <w:r>
        <w:rPr>
          <w:rFonts w:ascii="Calibri;sans-serif" w:hAnsi="Calibri;sans-serif"/>
          <w:b w:val="false"/>
          <w:sz w:val="28"/>
        </w:rPr>
        <w:t>Demand continues to be strong for identity and fraud solutions across the enterprise. We experienced healthy, proportional customer demand across all means of IDI access – API, batch and online. Last quarter, we saw our new customer applications at twelve-month highs. That trend continued throughout the second quarter just reported. As well, our higher-tier sales pipeline continues to grow and new higher-tier prospects appear to be more receptive to the idea of introducing new solutions into their workflows than they have been in the prior nine months.</w:t>
      </w:r>
      <w:r>
        <w:rPr>
          <w:rFonts w:ascii="Times New Roman" w:hAnsi="Times New Roman"/>
          <w:sz w:val="20"/>
        </w:rPr>
        <w:t xml:space="preserve"> </w:t>
      </w:r>
    </w:p>
    <w:p>
      <w:pPr>
        <w:pStyle w:val="TextBody"/>
        <w:bidi w:val="0"/>
        <w:spacing w:before="0" w:after="160"/>
        <w:jc w:val="left"/>
        <w:rPr>
          <w:rFonts w:ascii="Calibri;sans-serif" w:hAnsi="Calibri;sans-serif"/>
          <w:b w:val="false"/>
          <w:sz w:val="28"/>
        </w:rPr>
      </w:pPr>
      <w:r>
        <w:rPr>
          <w:rFonts w:ascii="Calibri;sans-serif" w:hAnsi="Calibri;sans-serif"/>
          <w:b w:val="false"/>
          <w:sz w:val="28"/>
        </w:rPr>
        <w:t>Most importantly as it relates to our view of the business and our multi-year strategic roadmap, our growth continues to be profitable, enabling reinvestment in the business. We are strengthening the business as we scale, driving robust margins and cash flow. By way of example, our $1.9 million increase in adjusted gross profit produced a $1.7 million increase in adjusted EBITDA, a 90% contribution margin. The high operating leverage of our model enables us to dynamically adjust our capital allocation plan and affords us the flexibility of investing in our product roadmap while still maintaining a healthy financial profile.</w:t>
      </w:r>
    </w:p>
    <w:p>
      <w:pPr>
        <w:pStyle w:val="TextBody"/>
        <w:bidi w:val="0"/>
        <w:spacing w:before="0" w:after="160"/>
        <w:jc w:val="left"/>
        <w:rPr>
          <w:rFonts w:ascii="Times New Roman" w:hAnsi="Times New Roman"/>
          <w:sz w:val="20"/>
        </w:rPr>
      </w:pPr>
      <w:r>
        <w:rPr>
          <w:rFonts w:ascii="Calibri;sans-serif" w:hAnsi="Calibri;sans-serif"/>
          <w:b w:val="false"/>
          <w:sz w:val="28"/>
        </w:rPr>
        <w:t>Our continued growth demonstrates that our AI/ML-powered platform, proprietary linking algorithms, and unified data assets provide us a distinct</w:t>
      </w:r>
      <w:r>
        <w:rPr>
          <w:rFonts w:ascii="Times New Roman" w:hAnsi="Times New Roman"/>
          <w:sz w:val="20"/>
        </w:rPr>
        <w:t xml:space="preserve"> </w:t>
      </w:r>
    </w:p>
    <w:p>
      <w:pPr>
        <w:pStyle w:val="TextBody"/>
        <w:bidi w:val="0"/>
        <w:spacing w:before="0" w:after="0"/>
        <w:jc w:val="center"/>
        <w:rPr>
          <w:rFonts w:ascii="Calibri;sans-serif" w:hAnsi="Calibri;sans-serif"/>
          <w:b w:val="false"/>
          <w:sz w:val="22"/>
        </w:rPr>
      </w:pPr>
      <w:r>
        <w:rPr>
          <w:rFonts w:ascii="Calibri;sans-serif" w:hAnsi="Calibri;sans-serif"/>
          <w:b w:val="false"/>
          <w:sz w:val="22"/>
        </w:rPr>
        <w:t>3</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Calibri;sans-serif" w:hAnsi="Calibri;sans-serif"/>
          <w:b w:val="false"/>
          <w:sz w:val="28"/>
        </w:rPr>
      </w:pPr>
      <w:r>
        <w:rPr>
          <w:rFonts w:ascii="Calibri;sans-serif" w:hAnsi="Calibri;sans-serif"/>
          <w:b w:val="false"/>
          <w:sz w:val="28"/>
        </w:rPr>
        <w:t>advantage in delivering innovative, accurate, and highly-scalable solutions. We have been building AI into our platform and solutions for years, specifically the use of machine learning through supervised and unsupervised learning to identify, among other things, the patterns and types of data within our platform. Today, there is much excitement around the potential of large language models and their varied applications. The potential uses of large language models could undoubtedly transform industries and change business processes. The most prominent large language models today are trained on large datasets, specifically publicly-available information on the internet. As information on the internet contains errors, the output from such models also contains errors. What is abundantly clear at this early stage of the generative AI revolution is that the winners will be those with their own internal, proprietary high-confidence data assets. We have spent the better part of the past decade acquiring, assimilating, and internally generating data and, via our proprietary linking algorithms, unifying disparate data points to create high-confidence data sets that our clients rely on in their workflow. With our AI/ML platform and high-confidence data, we believe we have an extraordinary opportunity in front of us to build a number of AI applications, including generative AI, to layer over our platform, which will not only materially enhance our platform capabilities but also enable various industries to intelligently interact with and run analytics across our high-confidence data to inform their business processes and decision-making. Given the opportunity at hand, we will take a measured approach and increase our investment in AI, and as time passes and the opportunities become more defined, we will be able to better quantify the plans around the size and the impact of this investment.</w:t>
      </w:r>
    </w:p>
    <w:p>
      <w:pPr>
        <w:pStyle w:val="TextBody"/>
        <w:bidi w:val="0"/>
        <w:spacing w:before="120" w:after="160"/>
        <w:jc w:val="left"/>
        <w:rPr>
          <w:rFonts w:ascii="Times New Roman" w:hAnsi="Times New Roman"/>
          <w:sz w:val="20"/>
        </w:rPr>
      </w:pPr>
      <w:r>
        <w:rPr>
          <w:rFonts w:ascii="Calibri;sans-serif" w:hAnsi="Calibri;sans-serif"/>
          <w:b w:val="false"/>
          <w:sz w:val="28"/>
        </w:rPr>
        <w:t>Now, as to our stock repurchase program, during the second quarter, we purchased 44,081 shares of our common stock at an average price of $16.71 per share. In total, we have purchased 105,018 shares pursuant to our $5.0 million repurchase program that was authorized on May 2, 2022. We have $3.2 million remaining for additional purchases under the program.</w:t>
      </w:r>
      <w:r>
        <w:rPr>
          <w:rFonts w:ascii="Times New Roman" w:hAnsi="Times New Roman"/>
          <w:sz w:val="20"/>
        </w:rPr>
        <w:t xml:space="preserve"> </w:t>
      </w:r>
    </w:p>
    <w:p>
      <w:pPr>
        <w:pStyle w:val="TextBody"/>
        <w:bidi w:val="0"/>
        <w:spacing w:before="0" w:after="160"/>
        <w:jc w:val="left"/>
        <w:rPr>
          <w:rFonts w:ascii="Times New Roman" w:hAnsi="Times New Roman"/>
          <w:sz w:val="20"/>
        </w:rPr>
      </w:pPr>
      <w:r>
        <w:rPr>
          <w:rFonts w:ascii="Calibri;sans-serif" w:hAnsi="Calibri;sans-serif"/>
          <w:b w:val="false"/>
          <w:sz w:val="28"/>
        </w:rPr>
        <w:t>Overall, our revenue growth and profitability demonstrate the effectiveness of our business model and the resonance of our offerings in the market. Coupled with a solid balance sheet, these results reflect our commitment to growth combined with financial stability and prudent management. As we move forward,</w:t>
      </w:r>
      <w:r>
        <w:rPr>
          <w:rFonts w:ascii="Times New Roman" w:hAnsi="Times New Roman"/>
          <w:sz w:val="20"/>
        </w:rPr>
        <w:t xml:space="preserve"> </w:t>
      </w:r>
    </w:p>
    <w:p>
      <w:pPr>
        <w:pStyle w:val="TextBody"/>
        <w:bidi w:val="0"/>
        <w:spacing w:before="0" w:after="0"/>
        <w:jc w:val="center"/>
        <w:rPr>
          <w:rFonts w:ascii="Calibri;sans-serif" w:hAnsi="Calibri;sans-serif"/>
          <w:b w:val="false"/>
          <w:sz w:val="22"/>
        </w:rPr>
      </w:pPr>
      <w:r>
        <w:rPr>
          <w:rFonts w:ascii="Calibri;sans-serif" w:hAnsi="Calibri;sans-serif"/>
          <w:b w:val="false"/>
          <w:sz w:val="22"/>
        </w:rPr>
        <w:t>4</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Calibri;sans-serif" w:hAnsi="Calibri;sans-serif"/>
          <w:b w:val="false"/>
          <w:sz w:val="28"/>
        </w:rPr>
        <w:t>we remain dedicated to driving innovation, nurturing customer relationships, and capitalizing on emerging opportunities. I’d like to extend my gratitude to the red violet team, as always, for their hard work and dedication. We are still in the early days of our long-term plan, and we are as financially strong and well positioned as we have ever been in our history.</w:t>
      </w:r>
      <w:r>
        <w:rPr>
          <w:rFonts w:ascii="Times New Roman" w:hAnsi="Times New Roman"/>
          <w:sz w:val="20"/>
        </w:rPr>
        <w:t xml:space="preserve"> </w:t>
      </w:r>
    </w:p>
    <w:p>
      <w:pPr>
        <w:pStyle w:val="TextBody"/>
        <w:bidi w:val="0"/>
        <w:spacing w:before="0" w:after="160"/>
        <w:jc w:val="left"/>
        <w:rPr>
          <w:rFonts w:ascii="Calibri;sans-serif" w:hAnsi="Calibri;sans-serif"/>
          <w:b w:val="false"/>
          <w:sz w:val="28"/>
        </w:rPr>
      </w:pPr>
      <w:r>
        <w:rPr>
          <w:rFonts w:ascii="Calibri;sans-serif" w:hAnsi="Calibri;sans-serif"/>
          <w:b w:val="false"/>
          <w:sz w:val="28"/>
        </w:rPr>
        <w:t>With that, I turn it over to Dan to discuss the financials.</w:t>
      </w:r>
    </w:p>
    <w:p>
      <w:pPr>
        <w:pStyle w:val="TextBody"/>
        <w:bidi w:val="0"/>
        <w:spacing w:before="0" w:after="225"/>
        <w:jc w:val="left"/>
        <w:rPr>
          <w:rFonts w:ascii="Calibri;sans-serif" w:hAnsi="Calibri;sans-serif"/>
          <w:b/>
          <w:sz w:val="28"/>
        </w:rPr>
      </w:pPr>
      <w:r>
        <w:rPr>
          <w:rFonts w:ascii="Calibri;sans-serif" w:hAnsi="Calibri;sans-serif"/>
          <w:b/>
          <w:sz w:val="28"/>
        </w:rPr>
        <w:t>Dan MacLachlan</w:t>
      </w:r>
    </w:p>
    <w:p>
      <w:pPr>
        <w:pStyle w:val="TextBody"/>
        <w:bidi w:val="0"/>
        <w:spacing w:before="0" w:after="225"/>
        <w:jc w:val="left"/>
        <w:rPr>
          <w:rFonts w:ascii="Times New Roman" w:hAnsi="Times New Roman"/>
          <w:sz w:val="20"/>
        </w:rPr>
      </w:pPr>
      <w:r>
        <w:rPr>
          <w:rFonts w:ascii="Calibri;sans-serif" w:hAnsi="Calibri;sans-serif"/>
          <w:b w:val="false"/>
          <w:sz w:val="28"/>
        </w:rPr>
        <w:t>Thank you, Derek, and good afternoon. We are extremely pleased with our second quarter results. We saw solid year-over-year revenue growth which flowed nicely down the P&amp;L, translating into highly profitable growth dollars. As Derek pointed out earlier, our $1.9 million increase in adjusted gross profit produced a $1.7 million increase in adjusted EBITDA. This 90% contribution is indicative of our profitability leverage and underscores our disciplined approach to driving productivity and efficiency. We continue to see strength in the expansion of our opportunity pipeline, including higher-tier prospects, and are converting those opportunities to wins.</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With that, let’s jump into our second quarter results. For clarity, all the comparisons I will discuss today will be against the second quarter of 2022, unless noted otherwise.</w:t>
      </w:r>
      <w:r>
        <w:rPr>
          <w:rFonts w:ascii="Times New Roman" w:hAnsi="Times New Roman"/>
          <w:sz w:val="20"/>
        </w:rPr>
        <w:t xml:space="preserve"> </w:t>
      </w:r>
    </w:p>
    <w:p>
      <w:pPr>
        <w:pStyle w:val="TextBody"/>
        <w:bidi w:val="0"/>
        <w:spacing w:before="0" w:after="225"/>
        <w:jc w:val="left"/>
        <w:rPr>
          <w:rFonts w:ascii="Calibri;sans-serif" w:hAnsi="Calibri;sans-serif"/>
          <w:b w:val="false"/>
          <w:sz w:val="28"/>
        </w:rPr>
      </w:pPr>
      <w:r>
        <w:rPr>
          <w:rFonts w:ascii="Calibri;sans-serif" w:hAnsi="Calibri;sans-serif"/>
          <w:b w:val="false"/>
          <w:sz w:val="28"/>
        </w:rPr>
        <w:t>Total revenue was $14.7 million, a 17% increase over prior year. We produced $11.4 million in adjusted gross profit, resulting in adjusted gross margin of 78% in the second quarter, up 1-percentage point. Adjusted EBITDA for the quarter was $4.6 million, up 58% over prior year. Adjusted EBITDA margin was 32%, up 9-percentage points. We generated $1.3 million in free cash flow for the quarter, compared to generating $0.3 million in prior year.</w:t>
      </w:r>
    </w:p>
    <w:p>
      <w:pPr>
        <w:pStyle w:val="TextBody"/>
        <w:bidi w:val="0"/>
        <w:spacing w:before="0" w:after="225"/>
        <w:jc w:val="left"/>
        <w:rPr>
          <w:rFonts w:ascii="Times New Roman" w:hAnsi="Times New Roman"/>
          <w:sz w:val="20"/>
        </w:rPr>
      </w:pPr>
      <w:r>
        <w:rPr>
          <w:rFonts w:ascii="Calibri;sans-serif" w:hAnsi="Calibri;sans-serif"/>
          <w:b w:val="false"/>
          <w:sz w:val="28"/>
        </w:rPr>
        <w:t>On the IDI side, we continue to see strong volume and double-digit revenue growth across several verticals, including Financial and Corporate Risk, Investigative, and Emerging Markets. As has been the case for several quarters, both Collections and Real Estate remained relatively flat over prior year. We do believe some tailwinds will form in Collections in the near-term and expect to see</w:t>
      </w:r>
      <w:r>
        <w:rPr>
          <w:rFonts w:ascii="Times New Roman" w:hAnsi="Times New Roman"/>
          <w:sz w:val="20"/>
        </w:rPr>
        <w:t xml:space="preserve"> </w:t>
      </w:r>
    </w:p>
    <w:p>
      <w:pPr>
        <w:pStyle w:val="TextBody"/>
        <w:bidi w:val="0"/>
        <w:spacing w:before="0" w:after="0"/>
        <w:jc w:val="center"/>
        <w:rPr>
          <w:rFonts w:ascii="Calibri;sans-serif" w:hAnsi="Calibri;sans-serif"/>
          <w:b w:val="false"/>
          <w:sz w:val="22"/>
        </w:rPr>
      </w:pPr>
      <w:r>
        <w:rPr>
          <w:rFonts w:ascii="Calibri;sans-serif" w:hAnsi="Calibri;sans-serif"/>
          <w:b w:val="false"/>
          <w:sz w:val="22"/>
        </w:rPr>
        <w:t>5</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Calibri;sans-serif" w:hAnsi="Calibri;sans-serif"/>
          <w:b w:val="false"/>
          <w:sz w:val="28"/>
        </w:rPr>
        <w:t>volumes, and corresponding revenue, increase in the not-too-distant future. As for Real Estate, volumes remain steady, but with interest rates still hovering around 7%, residential housing inventory remaining low, and commercial struggling with post-pandemic related issues and high interest rates, we expect IDI’s Real Estate segment, which does not include FOREWARN, to remain flat for the remainder of the year.</w:t>
      </w:r>
      <w:r>
        <w:rPr>
          <w:rFonts w:ascii="Times New Roman" w:hAnsi="Times New Roman"/>
          <w:sz w:val="20"/>
        </w:rPr>
        <w:t xml:space="preserve"> </w:t>
      </w:r>
    </w:p>
    <w:p>
      <w:pPr>
        <w:pStyle w:val="TextBody"/>
        <w:bidi w:val="0"/>
        <w:spacing w:before="0" w:after="225"/>
        <w:jc w:val="left"/>
        <w:rPr>
          <w:rFonts w:ascii="Calibri;sans-serif" w:hAnsi="Calibri;sans-serif"/>
          <w:b w:val="false"/>
          <w:sz w:val="28"/>
        </w:rPr>
      </w:pPr>
      <w:r>
        <w:rPr>
          <w:rFonts w:ascii="Calibri;sans-serif" w:hAnsi="Calibri;sans-serif"/>
          <w:b w:val="false"/>
          <w:sz w:val="28"/>
        </w:rPr>
        <w:t>On the FOREWARN side, which today services Real Estate as the leading fraud prevention and safety tool for realtors, we continue to see strong volume and double-digit revenue growth.</w:t>
      </w:r>
    </w:p>
    <w:p>
      <w:pPr>
        <w:pStyle w:val="TextBody"/>
        <w:bidi w:val="0"/>
        <w:spacing w:before="0" w:after="225"/>
        <w:jc w:val="left"/>
        <w:rPr>
          <w:rFonts w:ascii="Times New Roman" w:hAnsi="Times New Roman"/>
          <w:sz w:val="20"/>
        </w:rPr>
      </w:pPr>
      <w:r>
        <w:rPr>
          <w:rFonts w:ascii="Calibri;sans-serif" w:hAnsi="Calibri;sans-serif"/>
          <w:b w:val="false"/>
          <w:sz w:val="28"/>
        </w:rPr>
        <w:t>Continuing through the details of our P&amp;L, as mentioned, revenue was $14.7 million for the second quarter, consisting of revenue from new customers of $1.2 million, base revenue from existing customers of $11.7 million and growth revenue from existing customers of $1.8 million. Our IDI billable customer base grew by 241 customers sequentially from the first quarter, ending the second quarter at 7,497 customers. FOREWARN added 15,189 users during the second quarter, ending the quarter at 146,537 users. Over 285 Realtor® Associations are now contracted to use FOREWARN.</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Our contractual revenue was 79% for the quarter, down 1-percentage point from prior year. Our gross revenue retention was 94%, compared to 95% in prior year. We expect our gross revenue retention percentage to trend between 90% and 95% for the foreseeable future.</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Moving back to the P&amp;L, our cost of revenue (exclusive of depreciation and amortization) increased $0.3 million or 11% to $3.2 million. This $0.3 million increase was a result of an increase in data acquisition costs and third-party infrastructure fees. Adjusted gross profit increased 19% to $11.4 million, producing an adjusted gross margin of 78%, a 1-percentage point increase over the second quarter 2022.</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Sales and marketing expenses increased $0.3 million or 9% to $3.1 million for the quarter. This increase was due primarily to an increase in salaries and benefits and bad debt provision. The $3.1 million of sales and marketing expense for the</w:t>
      </w:r>
      <w:r>
        <w:rPr>
          <w:rFonts w:ascii="Times New Roman" w:hAnsi="Times New Roman"/>
          <w:sz w:val="20"/>
        </w:rPr>
        <w:t xml:space="preserve"> </w:t>
      </w:r>
    </w:p>
    <w:p>
      <w:pPr>
        <w:pStyle w:val="TextBody"/>
        <w:bidi w:val="0"/>
        <w:spacing w:before="0" w:after="0"/>
        <w:jc w:val="center"/>
        <w:rPr>
          <w:rFonts w:ascii="Calibri;sans-serif" w:hAnsi="Calibri;sans-serif"/>
          <w:b w:val="false"/>
          <w:sz w:val="22"/>
        </w:rPr>
      </w:pPr>
      <w:r>
        <w:rPr>
          <w:rFonts w:ascii="Calibri;sans-serif" w:hAnsi="Calibri;sans-serif"/>
          <w:b w:val="false"/>
          <w:sz w:val="22"/>
        </w:rPr>
        <w:t>6</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Calibri;sans-serif" w:hAnsi="Calibri;sans-serif"/>
          <w:b w:val="false"/>
          <w:sz w:val="28"/>
        </w:rPr>
        <w:t>quarter consisted primarily of $1.6 million in employee salaries and benefits and $0.8 million in sales commissions.</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General and administrative expenses decreased $0.2 million or 4% to $5.1 million for the quarter. This decrease was primarily the result of a $0.1 million decrease in share-based compensation expense and a $0.1 million decrease in professional fees. The $5.1 million in general and administrative expenses for the quarter consisted primarily of $2.6 million of employee salaries and benefits, $1.2 million of non-cash share-based compensation expense, and $0.8 million in accounting, IT and other professional fees.</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Depreciation and amortization increased $0.5 million or 27% to $2.1 million for the quarter. This increase was primarily the result of the amortization of internally developed software.</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Our net income for the quarter was $1.4 million, compared to a net loss of $0.2 million in prior year.</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We reported earnings of 10 cents per basic and diluted share for the quarter based on a weighted average share count of 14.0 million shares basic and 14.2 million shares diluted.</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Moving on to the balance sheet. Cash and cash equivalents were $31.4 million at June 30, 2023, compared to $31.8 million at December 31, 2022. Current assets were $39.2 million compared to $38.1 million and current liabilities were $3.5 million compared to $5.4 million.</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We generated $5.1 million in cash from operating activities for the six months ended June 30, 2023, compared to generating $5.0 million in cash from operating activities for the same period in 2022.</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Cash used in investing activities was $4.6 million for the six months ended June 30, 2023, mainly the result of $4.5 million used for software developed for internal use. Cash used in investing activities for the same period 2022 was $4.1 million.</w:t>
      </w:r>
      <w:r>
        <w:rPr>
          <w:rFonts w:ascii="Times New Roman" w:hAnsi="Times New Roman"/>
          <w:sz w:val="20"/>
        </w:rPr>
        <w:t xml:space="preserve"> </w:t>
      </w:r>
    </w:p>
    <w:p>
      <w:pPr>
        <w:pStyle w:val="TextBody"/>
        <w:bidi w:val="0"/>
        <w:spacing w:before="0" w:after="0"/>
        <w:jc w:val="center"/>
        <w:rPr>
          <w:rFonts w:ascii="Calibri;sans-serif" w:hAnsi="Calibri;sans-serif"/>
          <w:b w:val="false"/>
          <w:sz w:val="22"/>
        </w:rPr>
      </w:pPr>
      <w:r>
        <w:rPr>
          <w:rFonts w:ascii="Calibri;sans-serif" w:hAnsi="Calibri;sans-serif"/>
          <w:b w:val="false"/>
          <w:sz w:val="22"/>
        </w:rPr>
        <w:t>7</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Calibri;sans-serif" w:hAnsi="Calibri;sans-serif"/>
          <w:b w:val="false"/>
          <w:sz w:val="28"/>
        </w:rPr>
        <w:t>Cash used in financing activities was $1.0 million for the six months ended June 30, 2023, mainly the result of purchasing 55,018 shares of company common stock under our stock repurchase program at an average price of $17.04 per share. During the same period 2022, cash used in financing activities was $2.8 million, the result of acquiring 106,254 shares of company common stock from the net share tax settlement of employee restricted stock units.</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As it relates to our stock repurchase program, during the second quarter, we purchased 44,081 shares of our common stock at an average price of $16.71 per share.</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In total, we have purchased 105,018 shares pursuant to our $5.0 million repurchase program that was authorized on May 2, 2022. We have $3.2 million remaining for additional purchases under the program. We will continue to monitor prevailing market conditions and other opportunities that we have for the use or investment of our cash balances and, as applicable, strategically acquire additional shares in accordance with our repurchase program.</w:t>
      </w:r>
      <w:r>
        <w:rPr>
          <w:rFonts w:ascii="Times New Roman" w:hAnsi="Times New Roman"/>
          <w:sz w:val="20"/>
        </w:rPr>
        <w:t xml:space="preserve"> </w:t>
      </w:r>
    </w:p>
    <w:p>
      <w:pPr>
        <w:pStyle w:val="TextBody"/>
        <w:bidi w:val="0"/>
        <w:spacing w:before="0" w:after="225"/>
        <w:jc w:val="left"/>
        <w:rPr>
          <w:rFonts w:ascii="Times New Roman" w:hAnsi="Times New Roman"/>
          <w:sz w:val="20"/>
        </w:rPr>
      </w:pPr>
      <w:r>
        <w:rPr>
          <w:rFonts w:ascii="Calibri;sans-serif" w:hAnsi="Calibri;sans-serif"/>
          <w:b w:val="false"/>
          <w:sz w:val="28"/>
        </w:rPr>
        <w:t>In closing, we are pleased with our results for the first half of the year and look forward to accomplishing even more in the back half of 2023.</w:t>
      </w:r>
      <w:r>
        <w:rPr>
          <w:rFonts w:ascii="Times New Roman" w:hAnsi="Times New Roman"/>
          <w:sz w:val="20"/>
        </w:rPr>
        <w:t xml:space="preserve"> </w:t>
      </w:r>
    </w:p>
    <w:p>
      <w:pPr>
        <w:pStyle w:val="TextBody"/>
        <w:bidi w:val="0"/>
        <w:spacing w:before="0" w:after="225"/>
        <w:jc w:val="left"/>
        <w:rPr>
          <w:rFonts w:ascii="Calibri;sans-serif" w:hAnsi="Calibri;sans-serif"/>
          <w:b w:val="false"/>
          <w:sz w:val="28"/>
        </w:rPr>
      </w:pPr>
      <w:r>
        <w:rPr>
          <w:rFonts w:ascii="Calibri;sans-serif" w:hAnsi="Calibri;sans-serif"/>
          <w:b w:val="false"/>
          <w:sz w:val="28"/>
        </w:rPr>
        <w:t>With that, our operator will now open the line for Q&amp;A?</w:t>
      </w:r>
    </w:p>
    <w:p>
      <w:pPr>
        <w:pStyle w:val="TextBody"/>
        <w:bidi w:val="0"/>
        <w:spacing w:before="0" w:after="225"/>
        <w:jc w:val="left"/>
        <w:rPr>
          <w:rFonts w:ascii="Calibri;sans-serif" w:hAnsi="Calibri;sans-serif"/>
          <w:b/>
          <w:sz w:val="28"/>
        </w:rPr>
      </w:pPr>
      <w:r>
        <w:rPr>
          <w:rFonts w:ascii="Calibri;sans-serif" w:hAnsi="Calibri;sans-serif"/>
          <w:b/>
          <w:sz w:val="28"/>
        </w:rPr>
        <w:t>Operator</w:t>
      </w:r>
    </w:p>
    <w:p>
      <w:pPr>
        <w:pStyle w:val="TextBody"/>
        <w:bidi w:val="0"/>
        <w:spacing w:before="0" w:after="225"/>
        <w:jc w:val="left"/>
        <w:rPr>
          <w:rFonts w:ascii="Calibri;sans-serif" w:hAnsi="Calibri;sans-serif"/>
          <w:b w:val="false"/>
          <w:sz w:val="28"/>
        </w:rPr>
      </w:pPr>
      <w:r>
        <w:rPr>
          <w:rFonts w:ascii="Calibri;sans-serif" w:hAnsi="Calibri;sans-serif"/>
          <w:b w:val="false"/>
          <w:sz w:val="28"/>
        </w:rPr>
        <w:t>Thank you. We will now conduct a question and answer session. To ask a question, please press *11 on your telephone and wait for your name to be announced. To withdraw your question, please press *11 again. Please standby while we compile the Q&amp;A roster. Alright, I am showing no questions at this time. I will now turn the conference over to Derek Dubner for closing remarks.</w:t>
      </w:r>
    </w:p>
    <w:p>
      <w:pPr>
        <w:pStyle w:val="TextBody"/>
        <w:bidi w:val="0"/>
        <w:spacing w:before="0" w:after="225"/>
        <w:jc w:val="left"/>
        <w:rPr>
          <w:rFonts w:ascii="Calibri;sans-serif" w:hAnsi="Calibri;sans-serif"/>
          <w:b/>
          <w:sz w:val="28"/>
        </w:rPr>
      </w:pPr>
      <w:r>
        <w:rPr>
          <w:rFonts w:ascii="Calibri;sans-serif" w:hAnsi="Calibri;sans-serif"/>
          <w:b/>
          <w:sz w:val="28"/>
        </w:rPr>
        <w:t>Derek Dubner</w:t>
      </w:r>
    </w:p>
    <w:p>
      <w:pPr>
        <w:pStyle w:val="TextBody"/>
        <w:bidi w:val="0"/>
        <w:spacing w:before="0" w:after="225"/>
        <w:jc w:val="left"/>
        <w:rPr>
          <w:rFonts w:ascii="Times New Roman" w:hAnsi="Times New Roman"/>
          <w:sz w:val="20"/>
        </w:rPr>
      </w:pPr>
      <w:r>
        <w:rPr>
          <w:rFonts w:ascii="Calibri;sans-serif" w:hAnsi="Calibri;sans-serif"/>
          <w:b w:val="false"/>
          <w:sz w:val="28"/>
        </w:rPr>
        <w:t>Thank you. And thank you again for joining us today. To conclude, we are pleased to report a strong quarter of top-line growth and profitability. Given our robust customer onboarding, our progress against our growing larger-enterprise</w:t>
      </w:r>
      <w:r>
        <w:rPr>
          <w:rFonts w:ascii="Times New Roman" w:hAnsi="Times New Roman"/>
          <w:sz w:val="20"/>
        </w:rPr>
        <w:t xml:space="preserve"> </w:t>
      </w:r>
    </w:p>
    <w:p>
      <w:pPr>
        <w:pStyle w:val="TextBody"/>
        <w:bidi w:val="0"/>
        <w:spacing w:before="0" w:after="0"/>
        <w:jc w:val="center"/>
        <w:rPr>
          <w:rFonts w:ascii="Calibri;sans-serif" w:hAnsi="Calibri;sans-serif"/>
          <w:b w:val="false"/>
          <w:sz w:val="22"/>
        </w:rPr>
      </w:pPr>
      <w:r>
        <w:rPr>
          <w:rFonts w:ascii="Calibri;sans-serif" w:hAnsi="Calibri;sans-serif"/>
          <w:b w:val="false"/>
          <w:sz w:val="22"/>
        </w:rPr>
        <w:t>8</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Calibri;sans-serif" w:hAnsi="Calibri;sans-serif"/>
          <w:b w:val="false"/>
          <w:sz w:val="28"/>
        </w:rPr>
        <w:t>pipeline, the secular tailwinds in identity verification and fraud solutions, and a healthy balance sheet, we are well positioned for the back half of the year and 2024.</w:t>
      </w:r>
      <w:r>
        <w:rPr>
          <w:rFonts w:ascii="Times New Roman" w:hAnsi="Times New Roman"/>
          <w:sz w:val="20"/>
        </w:rPr>
        <w:t xml:space="preserve"> </w:t>
      </w:r>
    </w:p>
    <w:p>
      <w:pPr>
        <w:pStyle w:val="TextBody"/>
        <w:bidi w:val="0"/>
        <w:spacing w:before="0" w:after="225"/>
        <w:jc w:val="left"/>
        <w:rPr>
          <w:rFonts w:ascii="Calibri;sans-serif" w:hAnsi="Calibri;sans-serif"/>
          <w:b w:val="false"/>
          <w:sz w:val="28"/>
        </w:rPr>
      </w:pPr>
      <w:r>
        <w:rPr>
          <w:rFonts w:ascii="Calibri;sans-serif" w:hAnsi="Calibri;sans-serif"/>
          <w:b w:val="false"/>
          <w:sz w:val="28"/>
        </w:rPr>
        <w:t>Operator</w:t>
      </w:r>
    </w:p>
    <w:p>
      <w:pPr>
        <w:pStyle w:val="TextBody"/>
        <w:bidi w:val="0"/>
        <w:spacing w:before="0" w:after="225"/>
        <w:jc w:val="left"/>
        <w:rPr>
          <w:rFonts w:ascii="Calibri;sans-serif" w:hAnsi="Calibri;sans-serif"/>
          <w:b w:val="false"/>
          <w:sz w:val="28"/>
        </w:rPr>
      </w:pPr>
      <w:r>
        <w:rPr>
          <w:rFonts w:ascii="Calibri;sans-serif" w:hAnsi="Calibri;sans-serif"/>
          <w:b w:val="false"/>
          <w:sz w:val="28"/>
        </w:rPr>
        <w:t>This concludes today’s conference call. Thank you for participating. You may now disconnect.</w:t>
      </w:r>
    </w:p>
    <w:p>
      <w:pPr>
        <w:pStyle w:val="TextBody"/>
        <w:bidi w:val="0"/>
        <w:spacing w:before="0" w:after="0"/>
        <w:jc w:val="center"/>
        <w:rPr>
          <w:rFonts w:ascii="Calibri;sans-serif" w:hAnsi="Calibri;sans-serif"/>
          <w:b w:val="false"/>
          <w:sz w:val="22"/>
        </w:rPr>
      </w:pPr>
      <w:r>
        <w:rPr>
          <w:rFonts w:ascii="Calibri;sans-serif" w:hAnsi="Calibri;sans-serif"/>
          <w:b w:val="false"/>
          <w:sz w:val="22"/>
        </w:rPr>
        <w:t>9</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Times New Roman">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6682</Words>
  <Characters>35881</Characters>
  <CharactersWithSpaces>41773</CharactersWithSpaces>
  <Paragraphs>1020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