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43180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63500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 (d) OF THE SECURITIES EXCHANGE ACT OF 1934</w:t>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Pr>
          <w:p>
            <w:pPr>
              <w:spacing w:after="0"/>
              <w:rPr>
                <w:sz w:val="16"/>
                <w:szCs w:val="16"/>
                <w:color w:val="auto"/>
              </w:rPr>
            </w:pPr>
          </w:p>
        </w:tc>
        <w:tc>
          <w:tcPr>
            <w:tcW w:w="3940" w:type="dxa"/>
            <w:vAlign w:val="bottom"/>
            <w:gridSpan w:val="3"/>
          </w:tcPr>
          <w:p>
            <w:pPr>
              <w:ind w:left="40"/>
              <w:spacing w:after="0"/>
              <w:rPr>
                <w:sz w:val="20"/>
                <w:szCs w:val="20"/>
                <w:color w:val="auto"/>
              </w:rPr>
            </w:pPr>
            <w:r>
              <w:rPr>
                <w:rFonts w:ascii="Arial" w:cs="Arial" w:eastAsia="Arial" w:hAnsi="Arial"/>
                <w:sz w:val="16"/>
                <w:szCs w:val="16"/>
                <w:b w:val="1"/>
                <w:bCs w:val="1"/>
                <w:color w:val="auto"/>
              </w:rPr>
              <w:t>to</w:t>
            </w:r>
          </w:p>
        </w:tc>
      </w:tr>
      <w:tr>
        <w:trPr>
          <w:trHeight w:val="271"/>
        </w:trPr>
        <w:tc>
          <w:tcPr>
            <w:tcW w:w="214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900" w:type="dxa"/>
            <w:vAlign w:val="bottom"/>
          </w:tcPr>
          <w:p>
            <w:pPr>
              <w:ind w:left="400"/>
              <w:spacing w:after="0"/>
              <w:rPr>
                <w:sz w:val="20"/>
                <w:szCs w:val="20"/>
                <w:color w:val="auto"/>
              </w:rPr>
            </w:pPr>
            <w:r>
              <w:rPr>
                <w:rFonts w:ascii="Arial" w:cs="Arial" w:eastAsia="Arial" w:hAnsi="Arial"/>
                <w:sz w:val="16"/>
                <w:szCs w:val="16"/>
                <w:b w:val="1"/>
                <w:bCs w:val="1"/>
                <w:color w:val="auto"/>
                <w:w w:val="90"/>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46355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2" w:lineRule="exact"/>
        <w:rPr>
          <w:sz w:val="24"/>
          <w:szCs w:val="24"/>
          <w:color w:val="auto"/>
        </w:rPr>
      </w:pPr>
    </w:p>
    <w:tbl>
      <w:tblPr>
        <w:tblLayout w:type="fixed"/>
        <w:tblInd w:w="10" w:type="dxa"/>
        <w:tblCellMar>
          <w:top w:w="0" w:type="dxa"/>
          <w:left w:w="0" w:type="dxa"/>
          <w:bottom w:w="0" w:type="dxa"/>
          <w:right w:w="0" w:type="dxa"/>
        </w:tblCellMar>
      </w:tblPr>
      <w:tr>
        <w:trPr>
          <w:trHeight w:val="443"/>
        </w:trPr>
        <w:tc>
          <w:tcPr>
            <w:tcW w:w="3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80" w:type="dxa"/>
            <w:vAlign w:val="bottom"/>
            <w:gridSpan w:val="5"/>
          </w:tcPr>
          <w:p>
            <w:pPr>
              <w:jc w:val="center"/>
              <w:ind w:right="228"/>
              <w:spacing w:after="0"/>
              <w:rPr>
                <w:sz w:val="20"/>
                <w:szCs w:val="20"/>
                <w:color w:val="auto"/>
              </w:rPr>
            </w:pPr>
            <w:r>
              <w:rPr>
                <w:rFonts w:ascii="Arial" w:cs="Arial" w:eastAsia="Arial" w:hAnsi="Arial"/>
                <w:sz w:val="36"/>
                <w:szCs w:val="36"/>
                <w:b w:val="1"/>
                <w:bCs w:val="1"/>
                <w:color w:val="auto"/>
              </w:rPr>
              <w:t>RED VIOLET, INC.</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80" w:type="dxa"/>
            <w:vAlign w:val="bottom"/>
            <w:gridSpan w:val="5"/>
          </w:tcPr>
          <w:p>
            <w:pPr>
              <w:jc w:val="center"/>
              <w:ind w:right="20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780" w:type="dxa"/>
            <w:vAlign w:val="bottom"/>
            <w:gridSpan w:val="2"/>
            <w:vMerge w:val="restart"/>
          </w:tcPr>
          <w:p>
            <w:pPr>
              <w:jc w:val="center"/>
              <w:ind w:left="1786"/>
              <w:spacing w:after="0"/>
              <w:rPr>
                <w:sz w:val="20"/>
                <w:szCs w:val="20"/>
                <w:color w:val="auto"/>
              </w:rPr>
            </w:pPr>
            <w:r>
              <w:rPr>
                <w:rFonts w:ascii="Arial" w:cs="Arial" w:eastAsia="Arial" w:hAnsi="Arial"/>
                <w:sz w:val="16"/>
                <w:szCs w:val="16"/>
                <w:b w:val="1"/>
                <w:bCs w:val="1"/>
                <w:color w:val="auto"/>
                <w:w w:val="91"/>
              </w:rPr>
              <w:t>Delaware</w:t>
            </w:r>
          </w:p>
        </w:tc>
        <w:tc>
          <w:tcPr>
            <w:tcW w:w="720" w:type="dxa"/>
            <w:vAlign w:val="bottom"/>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980" w:type="dxa"/>
            <w:vAlign w:val="bottom"/>
            <w:gridSpan w:val="2"/>
            <w:vMerge w:val="restart"/>
          </w:tcPr>
          <w:p>
            <w:pPr>
              <w:jc w:val="center"/>
              <w:ind w:right="439"/>
              <w:spacing w:after="0"/>
              <w:rPr>
                <w:sz w:val="20"/>
                <w:szCs w:val="20"/>
                <w:color w:val="auto"/>
              </w:rPr>
            </w:pPr>
            <w:r>
              <w:rPr>
                <w:rFonts w:ascii="Arial" w:cs="Arial" w:eastAsia="Arial" w:hAnsi="Arial"/>
                <w:sz w:val="16"/>
                <w:szCs w:val="16"/>
                <w:b w:val="1"/>
                <w:bCs w:val="1"/>
                <w:color w:val="auto"/>
                <w:w w:val="91"/>
              </w:rPr>
              <w:t>82-2408531</w:t>
            </w:r>
          </w:p>
        </w:tc>
        <w:tc>
          <w:tcPr>
            <w:tcW w:w="0" w:type="dxa"/>
            <w:vAlign w:val="bottom"/>
          </w:tcPr>
          <w:p>
            <w:pPr>
              <w:spacing w:after="0"/>
              <w:rPr>
                <w:sz w:val="1"/>
                <w:szCs w:val="1"/>
                <w:color w:val="auto"/>
              </w:rPr>
            </w:pPr>
          </w:p>
        </w:tc>
      </w:tr>
      <w:tr>
        <w:trPr>
          <w:trHeight w:val="245"/>
        </w:trPr>
        <w:tc>
          <w:tcPr>
            <w:tcW w:w="3780" w:type="dxa"/>
            <w:vAlign w:val="bottom"/>
            <w:gridSpan w:val="2"/>
            <w:vMerge w:val="continue"/>
          </w:tcPr>
          <w:p>
            <w:pPr>
              <w:spacing w:after="0"/>
              <w:rPr>
                <w:sz w:val="21"/>
                <w:szCs w:val="21"/>
                <w:color w:val="auto"/>
              </w:rPr>
            </w:pPr>
          </w:p>
        </w:tc>
        <w:tc>
          <w:tcPr>
            <w:tcW w:w="7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780" w:type="dxa"/>
            <w:vAlign w:val="bottom"/>
            <w:gridSpan w:val="2"/>
          </w:tcPr>
          <w:p>
            <w:pPr>
              <w:jc w:val="center"/>
              <w:ind w:left="1786"/>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7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80" w:type="dxa"/>
            <w:vAlign w:val="bottom"/>
            <w:gridSpan w:val="2"/>
          </w:tcPr>
          <w:p>
            <w:pPr>
              <w:jc w:val="center"/>
              <w:ind w:right="439"/>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2"/>
        </w:trPr>
        <w:tc>
          <w:tcPr>
            <w:tcW w:w="3780" w:type="dxa"/>
            <w:vAlign w:val="bottom"/>
            <w:gridSpan w:val="2"/>
          </w:tcPr>
          <w:p>
            <w:pPr>
              <w:jc w:val="center"/>
              <w:ind w:left="1786"/>
              <w:spacing w:after="0"/>
              <w:rPr>
                <w:sz w:val="20"/>
                <w:szCs w:val="20"/>
                <w:color w:val="auto"/>
              </w:rPr>
            </w:pPr>
            <w:r>
              <w:rPr>
                <w:rFonts w:ascii="Arial" w:cs="Arial" w:eastAsia="Arial" w:hAnsi="Arial"/>
                <w:sz w:val="13"/>
                <w:szCs w:val="13"/>
                <w:b w:val="1"/>
                <w:bCs w:val="1"/>
                <w:color w:val="auto"/>
                <w:w w:val="88"/>
              </w:rPr>
              <w:t>incorporation or organization)</w:t>
            </w: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jc w:val="center"/>
              <w:ind w:right="439"/>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33"/>
        </w:trPr>
        <w:tc>
          <w:tcPr>
            <w:tcW w:w="3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0" w:type="dxa"/>
            <w:vAlign w:val="bottom"/>
            <w:gridSpan w:val="4"/>
          </w:tcPr>
          <w:p>
            <w:pPr>
              <w:jc w:val="center"/>
              <w:ind w:left="392"/>
              <w:spacing w:after="0"/>
              <w:rPr>
                <w:sz w:val="20"/>
                <w:szCs w:val="20"/>
                <w:color w:val="auto"/>
              </w:rPr>
            </w:pPr>
            <w:r>
              <w:rPr>
                <w:rFonts w:ascii="Arial" w:cs="Arial" w:eastAsia="Arial" w:hAnsi="Arial"/>
                <w:sz w:val="16"/>
                <w:szCs w:val="16"/>
                <w:b w:val="1"/>
                <w:bCs w:val="1"/>
                <w:color w:val="auto"/>
                <w:w w:val="95"/>
              </w:rPr>
              <w:t>2650 North Military Trail, Suite 300,</w:t>
            </w: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Boca Raton, Florida 33431</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0" w:type="dxa"/>
            <w:vAlign w:val="bottom"/>
            <w:gridSpan w:val="4"/>
          </w:tcPr>
          <w:p>
            <w:pPr>
              <w:jc w:val="center"/>
              <w:ind w:left="412"/>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80" w:type="dxa"/>
            <w:vAlign w:val="bottom"/>
            <w:gridSpan w:val="5"/>
          </w:tcPr>
          <w:p>
            <w:pPr>
              <w:jc w:val="center"/>
              <w:ind w:right="208"/>
              <w:spacing w:after="0"/>
              <w:rPr>
                <w:sz w:val="20"/>
                <w:szCs w:val="20"/>
                <w:color w:val="auto"/>
              </w:rPr>
            </w:pPr>
            <w:r>
              <w:rPr>
                <w:rFonts w:ascii="Arial" w:cs="Arial" w:eastAsia="Arial" w:hAnsi="Arial"/>
                <w:sz w:val="13"/>
                <w:szCs w:val="13"/>
                <w:b w:val="1"/>
                <w:bCs w:val="1"/>
                <w:color w:val="auto"/>
                <w:w w:val="86"/>
              </w:rPr>
              <w:t>Registrant’s telephone number, including area code: (561) 757-4000</w:t>
            </w: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780" w:type="dxa"/>
            <w:vAlign w:val="bottom"/>
            <w:gridSpan w:val="2"/>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32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gridSpan w:val="2"/>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27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520" w:type="dxa"/>
            <w:vAlign w:val="bottom"/>
            <w:tcBorders>
              <w:bottom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jc w:val="center"/>
              <w:ind w:right="459"/>
              <w:spacing w:after="0"/>
              <w:rPr>
                <w:sz w:val="20"/>
                <w:szCs w:val="20"/>
                <w:color w:val="auto"/>
              </w:rPr>
            </w:pPr>
            <w:r>
              <w:rPr>
                <w:rFonts w:ascii="Arial" w:cs="Arial" w:eastAsia="Arial" w:hAnsi="Arial"/>
                <w:sz w:val="13"/>
                <w:szCs w:val="13"/>
                <w:color w:val="auto"/>
                <w:w w:val="89"/>
              </w:rPr>
              <w:t>Trading Symbol (s)</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3"/>
                <w:szCs w:val="13"/>
                <w:color w:val="auto"/>
              </w:rPr>
              <w:t>Name of each exchange on which registered</w:t>
            </w:r>
          </w:p>
        </w:tc>
        <w:tc>
          <w:tcPr>
            <w:tcW w:w="0" w:type="dxa"/>
            <w:vAlign w:val="bottom"/>
          </w:tcPr>
          <w:p>
            <w:pPr>
              <w:spacing w:after="0"/>
              <w:rPr>
                <w:sz w:val="1"/>
                <w:szCs w:val="1"/>
                <w:color w:val="auto"/>
              </w:rPr>
            </w:pPr>
          </w:p>
        </w:tc>
      </w:tr>
      <w:tr>
        <w:trPr>
          <w:trHeight w:val="196"/>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1199"/>
              <w:spacing w:after="0"/>
              <w:rPr>
                <w:sz w:val="20"/>
                <w:szCs w:val="20"/>
                <w:color w:val="auto"/>
              </w:rPr>
            </w:pPr>
            <w:r>
              <w:rPr>
                <w:rFonts w:ascii="Arial" w:cs="Arial" w:eastAsia="Arial" w:hAnsi="Arial"/>
                <w:sz w:val="16"/>
                <w:szCs w:val="16"/>
                <w:color w:val="auto"/>
              </w:rPr>
              <w:t>RDVT</w:t>
            </w:r>
          </w:p>
        </w:tc>
        <w:tc>
          <w:tcPr>
            <w:tcW w:w="480" w:type="dxa"/>
            <w:vAlign w:val="bottom"/>
            <w:tcBorders>
              <w:bottom w:val="single" w:sz="8" w:color="auto"/>
            </w:tcBorders>
            <w:gridSpan w:val="2"/>
          </w:tcPr>
          <w:p>
            <w:pPr>
              <w:spacing w:after="0"/>
              <w:rPr>
                <w:sz w:val="17"/>
                <w:szCs w:val="17"/>
                <w:color w:val="auto"/>
              </w:rPr>
            </w:pPr>
          </w:p>
        </w:tc>
        <w:tc>
          <w:tcPr>
            <w:tcW w:w="27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44"/>
        </w:trPr>
        <w:tc>
          <w:tcPr>
            <w:tcW w:w="3260" w:type="dxa"/>
            <w:vAlign w:val="bottom"/>
          </w:tcPr>
          <w:p>
            <w:pPr>
              <w:spacing w:after="0"/>
              <w:rPr>
                <w:sz w:val="21"/>
                <w:szCs w:val="21"/>
                <w:color w:val="auto"/>
              </w:rPr>
            </w:pPr>
          </w:p>
        </w:tc>
        <w:tc>
          <w:tcPr>
            <w:tcW w:w="4500" w:type="dxa"/>
            <w:vAlign w:val="bottom"/>
            <w:gridSpan w:val="6"/>
          </w:tcPr>
          <w:p>
            <w:pPr>
              <w:jc w:val="center"/>
              <w:ind w:left="139"/>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6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500" w:type="dxa"/>
            <w:vAlign w:val="bottom"/>
            <w:gridSpan w:val="3"/>
          </w:tcPr>
          <w:p>
            <w:pPr>
              <w:spacing w:after="0"/>
              <w:rPr>
                <w:sz w:val="6"/>
                <w:szCs w:val="6"/>
                <w:color w:val="auto"/>
              </w:rPr>
            </w:pPr>
          </w:p>
        </w:tc>
        <w:tc>
          <w:tcPr>
            <w:tcW w:w="2240" w:type="dxa"/>
            <w:vAlign w:val="bottom"/>
            <w:tcBorders>
              <w:bottom w:val="single" w:sz="8" w:color="auto"/>
            </w:tcBorders>
            <w:gridSpan w:val="2"/>
          </w:tcPr>
          <w:p>
            <w:pPr>
              <w:spacing w:after="0"/>
              <w:rPr>
                <w:sz w:val="6"/>
                <w:szCs w:val="6"/>
                <w:color w:val="auto"/>
              </w:rPr>
            </w:pPr>
          </w:p>
        </w:tc>
        <w:tc>
          <w:tcPr>
            <w:tcW w:w="1020" w:type="dxa"/>
            <w:vAlign w:val="bottom"/>
            <w:gridSpan w:val="2"/>
          </w:tcPr>
          <w:p>
            <w:pPr>
              <w:spacing w:after="0"/>
              <w:rPr>
                <w:sz w:val="6"/>
                <w:szCs w:val="6"/>
                <w:color w:val="auto"/>
              </w:rPr>
            </w:pPr>
          </w:p>
        </w:tc>
        <w:tc>
          <w:tcPr>
            <w:tcW w:w="62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36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76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4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36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5" w:lineRule="exact"/>
        <w:rPr>
          <w:sz w:val="24"/>
          <w:szCs w:val="24"/>
          <w:color w:val="auto"/>
        </w:rPr>
      </w:pPr>
    </w:p>
    <w:p>
      <w:pPr>
        <w:ind w:right="4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4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4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4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4720" w:type="dxa"/>
            <w:vAlign w:val="bottom"/>
          </w:tcPr>
          <w:p>
            <w:pPr>
              <w:ind w:left="248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6780" w:val="left"/>
          <w:tab w:leader="none" w:pos="7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4" w:lineRule="exact"/>
        <w:rPr>
          <w:sz w:val="24"/>
          <w:szCs w:val="24"/>
          <w:color w:val="auto"/>
        </w:rPr>
      </w:pPr>
    </w:p>
    <w:p>
      <w:pPr>
        <w:ind w:right="40"/>
        <w:spacing w:after="0" w:line="290" w:lineRule="auto"/>
        <w:rPr>
          <w:sz w:val="20"/>
          <w:szCs w:val="20"/>
          <w:color w:val="auto"/>
        </w:rPr>
      </w:pPr>
      <w:r>
        <w:rPr>
          <w:rFonts w:ascii="Arial" w:cs="Arial" w:eastAsia="Arial" w:hAnsi="Arial"/>
          <w:sz w:val="16"/>
          <w:szCs w:val="16"/>
          <w:color w:val="auto"/>
        </w:rPr>
        <w:t>On June 28, 2019, the last business day of the registrant’s most recently completed second fiscal quarter, the aggregate market value (based on the closing per share sales price of its common stock on that date) of the voting stock held by non-affiliates of the registrant was approximately $68.3 million.</w:t>
      </w:r>
    </w:p>
    <w:p>
      <w:pPr>
        <w:spacing w:after="0"/>
        <w:rPr>
          <w:sz w:val="20"/>
          <w:szCs w:val="20"/>
          <w:color w:val="auto"/>
        </w:rPr>
      </w:pPr>
      <w:r>
        <w:rPr>
          <w:rFonts w:ascii="Arial" w:cs="Arial" w:eastAsia="Arial" w:hAnsi="Arial"/>
          <w:sz w:val="16"/>
          <w:szCs w:val="16"/>
          <w:color w:val="auto"/>
        </w:rPr>
        <w:t>The number of shares outstanding of the registrant’s common stock, as of March 9, 2020, was 11,590,015.</w:t>
      </w:r>
    </w:p>
    <w:p>
      <w:pPr>
        <w:spacing w:after="0" w:line="55"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49" w:lineRule="exact"/>
        <w:rPr>
          <w:sz w:val="24"/>
          <w:szCs w:val="24"/>
          <w:color w:val="auto"/>
        </w:rPr>
      </w:pPr>
    </w:p>
    <w:p>
      <w:pPr>
        <w:ind w:right="320"/>
        <w:spacing w:after="0" w:line="292" w:lineRule="auto"/>
        <w:rPr>
          <w:sz w:val="20"/>
          <w:szCs w:val="20"/>
          <w:color w:val="auto"/>
        </w:rPr>
      </w:pPr>
      <w:r>
        <w:rPr>
          <w:rFonts w:ascii="Arial" w:cs="Arial" w:eastAsia="Arial" w:hAnsi="Arial"/>
          <w:sz w:val="16"/>
          <w:szCs w:val="16"/>
          <w:color w:val="auto"/>
        </w:rPr>
        <w:t>Portions of the registrant’s Proxy Statement relating to its 2020 Annual Meeting of Stockholders to be filed with the SEC within 120 days after the end of the fiscal year ended December 31, 2019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5"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8"/>
          </w:tcPr>
          <w:p>
            <w:pPr>
              <w:jc w:val="center"/>
              <w:ind w:right="3760"/>
              <w:spacing w:after="0"/>
              <w:rPr>
                <w:sz w:val="20"/>
                <w:szCs w:val="20"/>
                <w:color w:val="auto"/>
              </w:rPr>
            </w:pPr>
            <w:r>
              <w:rPr>
                <w:rFonts w:ascii="Arial" w:cs="Arial" w:eastAsia="Arial" w:hAnsi="Arial"/>
                <w:sz w:val="18"/>
                <w:szCs w:val="18"/>
                <w:b w:val="1"/>
                <w:bCs w:val="1"/>
                <w:color w:val="auto"/>
              </w:rPr>
              <w:t>RED VIOLET, INC.</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6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9"/>
              </w:rPr>
              <w:t>TABLE OF CONTENTS FOR FORM 10-K</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00" w:type="dxa"/>
            <w:vAlign w:val="bottom"/>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90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600" w:type="dxa"/>
            <w:vAlign w:val="bottom"/>
            <w:tcBorders>
              <w:bottom w:val="single" w:sz="8" w:color="0000EE"/>
            </w:tcBorders>
            <w:vMerge w:val="continue"/>
          </w:tcPr>
          <w:p>
            <w:pPr>
              <w:spacing w:after="0"/>
              <w:rPr>
                <w:sz w:val="16"/>
                <w:szCs w:val="16"/>
                <w:color w:val="auto"/>
              </w:rPr>
            </w:pPr>
          </w:p>
        </w:tc>
        <w:tc>
          <w:tcPr>
            <w:tcW w:w="90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060" w:type="dxa"/>
            <w:vAlign w:val="bottom"/>
            <w:gridSpan w:val="19"/>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7800" w:type="dxa"/>
            <w:vAlign w:val="bottom"/>
            <w:gridSpan w:val="17"/>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Unresolved Staff Comments</w:t>
              </w:r>
            </w:hyperlink>
          </w:p>
        </w:tc>
        <w:tc>
          <w:tcPr>
            <w:tcW w:w="6660" w:type="dxa"/>
            <w:vAlign w:val="bottom"/>
            <w:gridSpan w:val="11"/>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Properties</w:t>
              </w:r>
            </w:hyperlink>
          </w:p>
        </w:tc>
        <w:tc>
          <w:tcPr>
            <w:tcW w:w="7980" w:type="dxa"/>
            <w:vAlign w:val="bottom"/>
            <w:gridSpan w:val="18"/>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3.</w:t>
            </w:r>
          </w:p>
        </w:tc>
        <w:tc>
          <w:tcPr>
            <w:tcW w:w="870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4.</w:t>
            </w:r>
          </w:p>
        </w:tc>
        <w:tc>
          <w:tcPr>
            <w:tcW w:w="870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500" w:type="dxa"/>
            <w:vAlign w:val="bottom"/>
            <w:gridSpan w:val="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Borders>
              <w:top w:val="single" w:sz="8" w:color="0000EE"/>
            </w:tcBorders>
            <w:gridSpan w:val="2"/>
          </w:tcPr>
          <w:p>
            <w:pPr>
              <w:ind w:left="20"/>
              <w:spacing w:after="0"/>
              <w:rPr>
                <w:sz w:val="20"/>
                <w:szCs w:val="20"/>
                <w:color w:val="auto"/>
              </w:rPr>
            </w:pPr>
            <w:r>
              <w:rPr>
                <w:rFonts w:ascii="Arial" w:cs="Arial" w:eastAsia="Arial" w:hAnsi="Arial"/>
                <w:sz w:val="18"/>
                <w:szCs w:val="18"/>
                <w:color w:val="auto"/>
              </w:rPr>
              <w:t>Item 5.</w:t>
            </w:r>
          </w:p>
        </w:tc>
        <w:tc>
          <w:tcPr>
            <w:tcW w:w="840" w:type="dxa"/>
            <w:vAlign w:val="bottom"/>
            <w:gridSpan w:val="4"/>
          </w:tcPr>
          <w:p>
            <w:pPr>
              <w:spacing w:after="0"/>
              <w:rPr>
                <w:sz w:val="24"/>
                <w:szCs w:val="24"/>
                <w:color w:val="auto"/>
              </w:rPr>
            </w:pPr>
          </w:p>
        </w:tc>
        <w:tc>
          <w:tcPr>
            <w:tcW w:w="80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Market for Registrant’s Common Equity, Related Stockholder Matters and Issuer Purchases of Equity Securities</w:t>
              </w:r>
            </w:hyperlink>
          </w:p>
        </w:tc>
        <w:tc>
          <w:tcPr>
            <w:tcW w:w="6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6.</w:t>
            </w:r>
          </w:p>
        </w:tc>
        <w:tc>
          <w:tcPr>
            <w:tcW w:w="17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Selected Financial Data</w:t>
              </w:r>
            </w:hyperlink>
          </w:p>
        </w:tc>
        <w:tc>
          <w:tcPr>
            <w:tcW w:w="7000" w:type="dxa"/>
            <w:vAlign w:val="bottom"/>
            <w:gridSpan w:val="14"/>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7.</w:t>
            </w:r>
          </w:p>
        </w:tc>
        <w:tc>
          <w:tcPr>
            <w:tcW w:w="87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2260" w:type="dxa"/>
            <w:vAlign w:val="bottom"/>
            <w:gridSpan w:val="4"/>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4360" w:type="dxa"/>
            <w:vAlign w:val="bottom"/>
            <w:gridSpan w:val="6"/>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9.</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Changes in and Disagreements with Accountants on Accounting and Financial Disclosure</w:t>
              </w:r>
            </w:hyperlink>
          </w:p>
        </w:tc>
        <w:tc>
          <w:tcPr>
            <w:tcW w:w="2240" w:type="dxa"/>
            <w:vAlign w:val="bottom"/>
            <w:gridSpan w:val="3"/>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9A.</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Controls and Procedures</w:t>
              </w:r>
            </w:hyperlink>
          </w:p>
        </w:tc>
        <w:tc>
          <w:tcPr>
            <w:tcW w:w="6940" w:type="dxa"/>
            <w:vAlign w:val="bottom"/>
            <w:gridSpan w:val="13"/>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9B.</w:t>
            </w:r>
          </w:p>
        </w:tc>
        <w:tc>
          <w:tcPr>
            <w:tcW w:w="87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III</w:t>
              </w:r>
            </w:hyperlink>
          </w:p>
        </w:tc>
        <w:tc>
          <w:tcPr>
            <w:tcW w:w="7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10.</w:t>
            </w:r>
          </w:p>
        </w:tc>
        <w:tc>
          <w:tcPr>
            <w:tcW w:w="40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Directors, Executive Officers and Corporate Governance</w:t>
              </w:r>
            </w:hyperlink>
          </w:p>
        </w:tc>
        <w:tc>
          <w:tcPr>
            <w:tcW w:w="4620" w:type="dxa"/>
            <w:vAlign w:val="bottom"/>
            <w:gridSpan w:val="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Executive Compensation</w:t>
              </w:r>
            </w:hyperlink>
          </w:p>
        </w:tc>
        <w:tc>
          <w:tcPr>
            <w:tcW w:w="6900" w:type="dxa"/>
            <w:vAlign w:val="bottom"/>
            <w:gridSpan w:val="12"/>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12.</w:t>
            </w:r>
          </w:p>
        </w:tc>
        <w:tc>
          <w:tcPr>
            <w:tcW w:w="72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Security Ownership of Certain Beneficial Owners and Management and Related Stockholder Matters</w:t>
              </w:r>
            </w:hyperlink>
          </w:p>
        </w:tc>
        <w:tc>
          <w:tcPr>
            <w:tcW w:w="1420" w:type="dxa"/>
            <w:vAlign w:val="bottom"/>
            <w:gridSpan w:val="2"/>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13.</w:t>
            </w:r>
          </w:p>
        </w:tc>
        <w:tc>
          <w:tcPr>
            <w:tcW w:w="54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Certain Relationships and Related Transactions, and Director Independence</w:t>
              </w:r>
            </w:hyperlink>
          </w:p>
        </w:tc>
        <w:tc>
          <w:tcPr>
            <w:tcW w:w="3260" w:type="dxa"/>
            <w:vAlign w:val="bottom"/>
            <w:gridSpan w:val="5"/>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14.</w:t>
            </w:r>
          </w:p>
        </w:tc>
        <w:tc>
          <w:tcPr>
            <w:tcW w:w="87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Principal Accounting Fees and Services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500" w:type="dxa"/>
            <w:vAlign w:val="bottom"/>
            <w:gridSpan w:val="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20" w:type="dxa"/>
            <w:vAlign w:val="bottom"/>
            <w:tcBorders>
              <w:top w:val="single" w:sz="8" w:color="0000EE"/>
            </w:tcBorders>
            <w:gridSpan w:val="3"/>
          </w:tcPr>
          <w:p>
            <w:pPr>
              <w:ind w:left="20"/>
              <w:spacing w:after="0"/>
              <w:rPr>
                <w:sz w:val="20"/>
                <w:szCs w:val="20"/>
                <w:color w:val="auto"/>
              </w:rPr>
            </w:pPr>
            <w:r>
              <w:rPr>
                <w:rFonts w:ascii="Arial" w:cs="Arial" w:eastAsia="Arial" w:hAnsi="Arial"/>
                <w:sz w:val="18"/>
                <w:szCs w:val="18"/>
                <w:color w:val="auto"/>
              </w:rPr>
              <w:t>Item 15.</w:t>
            </w:r>
          </w:p>
        </w:tc>
        <w:tc>
          <w:tcPr>
            <w:tcW w:w="780" w:type="dxa"/>
            <w:vAlign w:val="bottom"/>
            <w:gridSpan w:val="3"/>
          </w:tcPr>
          <w:p>
            <w:pPr>
              <w:spacing w:after="0"/>
              <w:rPr>
                <w:sz w:val="24"/>
                <w:szCs w:val="24"/>
                <w:color w:val="auto"/>
              </w:rPr>
            </w:pPr>
          </w:p>
        </w:tc>
        <w:tc>
          <w:tcPr>
            <w:tcW w:w="87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 Financial Statement Schedules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16.</w:t>
            </w:r>
          </w:p>
        </w:tc>
        <w:tc>
          <w:tcPr>
            <w:tcW w:w="15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582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50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60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i w:val="1"/>
          <w:iCs w:val="1"/>
          <w:color w:val="auto"/>
        </w:rPr>
        <w:t>This business description should be read in conjunction with our audited consolidated financial statements and accompanying notes thereto appearing elsewhere in this Annual Report on Form 10-K for the year ended December 31, 2019 (the “2019 Form 10-K”), which are incorporated herein by this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Red Violet, Inc. (“we,” “us,” “our,” “red violet,” or the “Company”) is dedicated to making the world a safer place and reducing the cost of doing business. We specialize in data fusion and analytics, providing cloud-based, mission-critical analytics and information solutions to enterprises with use cases including fraud detection, risk mitigation, due diligence and marketing. Through our intelligent platform, CORE</w:t>
      </w:r>
      <w:r>
        <w:rPr>
          <w:rFonts w:ascii="Arial" w:cs="Arial" w:eastAsia="Arial" w:hAnsi="Arial"/>
          <w:sz w:val="13"/>
          <w:szCs w:val="13"/>
          <w:color w:val="auto"/>
        </w:rPr>
        <w:t>TM</w:t>
      </w:r>
      <w:r>
        <w:rPr>
          <w:rFonts w:ascii="Arial" w:cs="Arial" w:eastAsia="Arial" w:hAnsi="Arial"/>
          <w:sz w:val="16"/>
          <w:szCs w:val="16"/>
          <w:color w:val="auto"/>
        </w:rPr>
        <w:t>, we uncover the relevance of disparate data points utilizing our analytical capabilities to provide real-time and insightful views of people, businesses, assets and their interrelationships.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Leveraging proprietary technology and applying machine learning and advanced analytical and decision-making capabilities, CORE provides compelling solutions to public and private sector organizations through intuitive, easy-to-use analytical applications. We empower clients across markets and industries to better execute all aspects of their business, from managing risk, recovering debt, identifying fraud and abuse, and ensuring legislative compliance, to identifying and acquiring customers. With a massive data repository of approximately nine petabytes of public-record, proprietary and publicly-available data, as well as self-reported consumer information and behavioral signals, we transform data into intelligence for our customers to enable better data-driven decisioning.</w:t>
      </w:r>
    </w:p>
    <w:p>
      <w:pPr>
        <w:spacing w:after="0" w:line="19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presently market our solutions primarily through two brands, idiCORE™, our flagship product, and FOREWARN</w:t>
      </w:r>
      <w:r>
        <w:rPr>
          <w:rFonts w:ascii="Arial" w:cs="Arial" w:eastAsia="Arial" w:hAnsi="Arial"/>
          <w:sz w:val="14"/>
          <w:szCs w:val="14"/>
          <w:color w:val="auto"/>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legislative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2019 and 2018, idiCORE had 5,064 and 3,627 billable customers and FOREWARN had 30,577 and 11,397 users, respectively. The Company defines a billable customer of idiCORE as a single entity that generated revenue in the last month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8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65% and 58% of total revenue for the years ended December 31, 2019 and 2018, respectively.</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Our sales model generally begins with a free trial followed by an initial purchase on a transactional basis or minimum-committed monthly spend. As organizations derive benefits from our solutions, we are able to “land and expand” within larger organizations as additional use cases expand across departments, divisions and geographic locations and customers become increasingly reliant on our solutions in their daily workflow.</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March 26, 2018, Fluent, Inc. (“Fluent”) spun off its risk management business by way of a distribution of all of the shares of common stock of its then wholly-owned subsidiary, red violet, to its stockholders as of the record date and certain warrant holders (the “Spin-off”). Upon the Spin-off, red violet owned Fluent subsidiaries that previously operated Fluent’s risk management business, and red violet became an independent public company. For periods prior to the Spin-off, the financial statements were prepared on a consolidated and combined basis because certain of the entities were under common control.</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 w:name="page4"/>
    <w:bookmarkEnd w:id="3"/>
    <w:p>
      <w:pPr>
        <w:ind w:right="100"/>
        <w:spacing w:after="0" w:line="255" w:lineRule="auto"/>
        <w:rPr>
          <w:sz w:val="20"/>
          <w:szCs w:val="20"/>
          <w:color w:val="auto"/>
        </w:rPr>
      </w:pPr>
      <w:r>
        <w:rPr>
          <w:rFonts w:ascii="Arial" w:cs="Arial" w:eastAsia="Arial" w:hAnsi="Arial"/>
          <w:sz w:val="18"/>
          <w:szCs w:val="18"/>
          <w:color w:val="auto"/>
        </w:rPr>
        <w:t>For the years ended December 31, 2019 and 2018, we had revenue of $30.3 million and $16.3 million, net loss of $11.1 million and $6.9 million, and adjusted EBITDA of $1.9 million and negative $4.3 million, respectively. Adjusted EBITDA is a non-GAAP financial measure equal to net loss, the most directly comparable financial measure based on US GAAP, excluding interest income, net, depreciation and amortization, share-based compensation expense, litigation costs, net, sales and use tax expense, insurance proceeds in relation to settled litigation, transition service income, and write-off of long-lived assets and others, as noted in the tables included in “Use and Reconciliation of Non-GAAP Financial Measures” of Item 7, “Management’s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target market for our products and solutions today consists primarily of organizations within the risk management industry.</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big data and analytics sector continues to grow at an accelerated pace due to the proliferation of data generated over the past two decades from both traditional and emerging sources, including e-commerce, mobile and social media. International Data Corporation, a global provider of market intelligence and advisory services, estimates that worldwide revenue for big data and business analytics services is expected to reach $274.3 billion in the year 2022, representing a compound annual growth rate (“CAGR”) of 13.2% from 2018 through 2022. Continued, rapid innovation and adoption of new technologies presents enormous challenges for organizations of all types to sort through this sea of data to glean actionable intelligence and address their mission-critical business functions. These challenges serve as key drivers of the sector’s growth. Our industry-agnostic platform, solutions, and analytical capabilities are designed to solve the myriad of complex problems that organizations face on a daily basis.</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Risk management and fraud analytics has become increasingly important not only in the banking and financial services sectors but across multiple other industries and use cases. According to the market research company MarketsAndMarkets, the risk analytics market is projected to grow to $45.9 billion by 2024, representing CAGR of 14.8% from 2019 through 2024, with North America estimated to hold the largest market share in the risk analytics market. Data fusion analytics and the information derived therefrom is now the primary service product for risk management associated with key purchasers such as banking and financial services companies, insurance companies, healthcare companies, law enforcement and government, collection agencies, law firms, retail, telecommunications companies and investigative firms. Primary use cases include, but are not limited to, obtaining information on consumers, businesses and assets (and their interrelationships) to facilitate the location of individuals and assets, identity verification, legislative compliance and to support criminal, legal, financial, insurance, and corporate investigations, due diligence and the assessment and mitigation of counterparty risk.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Challenges Facing our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products and solutions address the challenges that the industry faces today, which include:</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i w:val="1"/>
          <w:iCs w:val="1"/>
          <w:color w:val="auto"/>
        </w:rPr>
        <w:t>Actionable Insights Through A Single Platform</w:t>
      </w:r>
      <w:r>
        <w:rPr>
          <w:rFonts w:ascii="Arial" w:cs="Arial" w:eastAsia="Arial" w:hAnsi="Arial"/>
          <w:sz w:val="16"/>
          <w:szCs w:val="16"/>
          <w:color w:val="auto"/>
        </w:rPr>
        <w:t>— As the velocity and volume of data continues to grow exponentially, enterprises have become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overwhelmed with data and their inability to glean actionable insights from such data to derive successful business decisions in real-time. Customers demand full-suite, turn-key solutions that are agile, flexible, and available on-demand in order to gain the speed, scale and insight necessary to drive their business models. As the breadth and depth of data increases, providers will need to deploy new technologies that enable both the ingestion of data at massive scale in real-time, irrespective of structure or form, and the analytics components necessary to function across multiple channels. The continued digitization of human interactions, and the corresponding availability of the data resulting therefrom, is driving demand for data capture, management and analysis software. As a result, customers are looking for flexible and efficient solutions to fuse disparate sets of not only transactional data but also demographic, ethnographic and behavioral data as well, in order to provide insights that are truly actionable.</w:t>
      </w:r>
    </w:p>
    <w:p>
      <w:pPr>
        <w:spacing w:after="0" w:line="163"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i w:val="1"/>
          <w:iCs w:val="1"/>
          <w:color w:val="auto"/>
        </w:rPr>
        <w:t>Cost and Performance Pressures</w:t>
      </w:r>
      <w:r>
        <w:rPr>
          <w:rFonts w:ascii="Arial" w:cs="Arial" w:eastAsia="Arial" w:hAnsi="Arial"/>
          <w:sz w:val="16"/>
          <w:szCs w:val="16"/>
          <w:color w:val="auto"/>
        </w:rPr>
        <w:t>—As our customers face constant cost pressures, they need to continually improve the value they receive from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solutions. Whether it is identity verification, managing risk, skip tracing or regulatory compliance, customers are increasingly more sophisticated, requiring enhanced performance that provides fast, accurate, and cost-effective solutions to satisfy their business objectives. Improving performance can mean delivering the right data at the right time, or providing the most intuitive information as rapidly as possible to capitalize on opportunities or reduce risk. Superior data fusion with unique data sources delivers customers an advantage as they cope with these pressures.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4" w:name="page5"/>
    <w:bookmarkEnd w:id="4"/>
    <w:p>
      <w:pPr>
        <w:ind w:right="20"/>
        <w:spacing w:after="0" w:line="256" w:lineRule="auto"/>
        <w:rPr>
          <w:sz w:val="20"/>
          <w:szCs w:val="20"/>
          <w:color w:val="auto"/>
        </w:rPr>
      </w:pPr>
      <w:r>
        <w:rPr>
          <w:rFonts w:ascii="Arial" w:cs="Arial" w:eastAsia="Arial" w:hAnsi="Arial"/>
          <w:sz w:val="18"/>
          <w:szCs w:val="18"/>
          <w:b w:val="1"/>
          <w:bCs w:val="1"/>
          <w:i w:val="1"/>
          <w:iCs w:val="1"/>
          <w:color w:val="auto"/>
        </w:rPr>
        <w:t>Delivering Solutions for Complex Problems Using Scalable Data Analytics</w:t>
      </w:r>
      <w:r>
        <w:rPr>
          <w:rFonts w:ascii="Arial" w:cs="Arial" w:eastAsia="Arial" w:hAnsi="Arial"/>
          <w:sz w:val="18"/>
          <w:szCs w:val="18"/>
          <w:color w:val="auto"/>
        </w:rPr>
        <w:t>—The larger and more complex a data repository, the more difficult it is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sustained levels of performance and insight. The highly-fragmented nature of data across multiple mediums, proliferation of data and lack of robust technology limits the ability to aggregate actionable information into a comprehensive view. There is an inherent need for information solutions that allow businesses to leverage data that provides actionable intelligence to support fraud detection and prevention, investigations, due diligence, identity verification, and legislative compliance in a more efficient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our leading-edge technology platform, massive database of consumer profiles, and dynamic and intuitive solutions deliver superior capabilities to our customers. Our solutions enable our customers to make more informed inquiries regarding their challenges and better decisions to solve their most complex problems. We believe the following competitive strengths will continue to deliver an unrivaled value proposition that further drives our differentiation:</w:t>
      </w:r>
    </w:p>
    <w:p>
      <w:pPr>
        <w:spacing w:after="0" w:line="1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Transformative and Innovative Technology Platform</w:t>
      </w:r>
      <w:r>
        <w:rPr>
          <w:rFonts w:ascii="Arial" w:cs="Arial" w:eastAsia="Arial" w:hAnsi="Arial"/>
          <w:sz w:val="18"/>
          <w:szCs w:val="18"/>
          <w:color w:val="auto"/>
        </w:rPr>
        <w:t>—Through the power of our platform, CORE, we offer a comprehensive suite of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Our cloud-based, data and industry agnostic platform allows us to assimilate, structure, and fuse billions of disparate records to create comprehensive profiles of individuals and to present these insights in real-time via analytical applications. We believe our platform’s speed, power, and scalability are key differentiators in the marketplace.</w:t>
      </w:r>
    </w:p>
    <w:p>
      <w:pPr>
        <w:spacing w:after="0" w:line="18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Massive Database of Holistic Consumer Profiles</w:t>
      </w:r>
      <w:r>
        <w:rPr>
          <w:rFonts w:ascii="Arial" w:cs="Arial" w:eastAsia="Arial" w:hAnsi="Arial"/>
          <w:sz w:val="17"/>
          <w:szCs w:val="17"/>
          <w:color w:val="auto"/>
        </w:rPr>
        <w:t>—Data is the lifeblood of our technology platform. We leverage our CORE platform to build massive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datasets and apply analytics in real-time to provide actionable insights. Our data is compiled from a myriad of online and offline sources, both structured and unstructured, including public record, publicly-available, proprietary, and self-reported data. Public record data includes personally identifiable information, as well as property, identity, bankruptcy, lien, judgment, automotive, phone and other information aggregated from companies specializing in data aggregation, public record repositories, and publicly-available sources. Proprietary data includes holistic consumer profiles combined with data internally generated by proprietary algorithms and analytic processes. Through next-generation technology and proprietary algorithms, we efficiently ingest these datasets, structure them into normalized form, and utilize the process of data fusion to resolve unique identities so as to create an actionable, real-time view of the data for various use cases, delivering greater intelligence to our customers and enhancing their decision-making capabilities across all markets and industries.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Solutions</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Leveraging leading-edge technology, proprietary algorithms, and massive datasets, and through intuitive and powerful analytics, we provide industry-agnostic analytical solutions for organizations within the risk management industry. These organizations use our services to perform due diligence, collect debt, verify consumer identities, investigate fraud and abuse, mitigate risk, and locate assets, among other things. Our core capabilities and technology platform allow us to serve a broad and diverse set of industries and to solve a wide range of issues facing organizations daily.</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CORE—our advanced analytical platform, provides cloud-based, mission-critical solutions to a variety of markets and industries. Our primary investigative solution, idiCORE, provides instant, comprehensive views of individuals, businesses, assets and their interrelationships to multiple industries, including law enforcement, government, financial services, insurance, and corporate risk for purposes such as identity verification, risk assessment, fraud detection, and compliance.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Distribution and Marketing</w:t>
      </w:r>
    </w:p>
    <w:p>
      <w:pPr>
        <w:spacing w:after="0" w:line="229" w:lineRule="exact"/>
        <w:rPr>
          <w:sz w:val="20"/>
          <w:szCs w:val="20"/>
          <w:color w:val="auto"/>
        </w:rPr>
      </w:pPr>
    </w:p>
    <w:p>
      <w:pPr>
        <w:ind w:right="220"/>
        <w:spacing w:after="0" w:line="341" w:lineRule="auto"/>
        <w:rPr>
          <w:sz w:val="20"/>
          <w:szCs w:val="20"/>
          <w:color w:val="auto"/>
        </w:rPr>
      </w:pPr>
      <w:r>
        <w:rPr>
          <w:rFonts w:ascii="Arial" w:cs="Arial" w:eastAsia="Arial" w:hAnsi="Arial"/>
          <w:sz w:val="16"/>
          <w:szCs w:val="16"/>
          <w:b w:val="1"/>
          <w:bCs w:val="1"/>
          <w:i w:val="1"/>
          <w:iCs w:val="1"/>
          <w:color w:val="auto"/>
        </w:rPr>
        <w:t>Inside Sales</w:t>
      </w:r>
      <w:r>
        <w:rPr>
          <w:rFonts w:ascii="Arial" w:cs="Arial" w:eastAsia="Arial" w:hAnsi="Arial"/>
          <w:sz w:val="16"/>
          <w:szCs w:val="16"/>
          <w:i w:val="1"/>
          <w:iCs w:val="1"/>
          <w:color w:val="auto"/>
        </w:rPr>
        <w:t>—</w:t>
      </w:r>
      <w:r>
        <w:rPr>
          <w:rFonts w:ascii="Arial" w:cs="Arial" w:eastAsia="Arial" w:hAnsi="Arial"/>
          <w:sz w:val="16"/>
          <w:szCs w:val="16"/>
          <w:color w:val="auto"/>
        </w:rPr>
        <w:t>Our inside sales team cultivates relationships, and ultimately closes business, with their end-user markets. These professionals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relationship-based sellers with experience in identifying clients’ needs and clearly explaining and defining products that provide solutions to those needs.</w:t>
      </w:r>
    </w:p>
    <w:p>
      <w:pPr>
        <w:spacing w:after="0" w:line="124" w:lineRule="exact"/>
        <w:rPr>
          <w:sz w:val="20"/>
          <w:szCs w:val="20"/>
          <w:color w:val="auto"/>
        </w:rPr>
      </w:pPr>
    </w:p>
    <w:p>
      <w:pPr>
        <w:ind w:right="40"/>
        <w:spacing w:after="0" w:line="307" w:lineRule="auto"/>
        <w:rPr>
          <w:sz w:val="20"/>
          <w:szCs w:val="20"/>
          <w:color w:val="auto"/>
        </w:rPr>
      </w:pPr>
      <w:r>
        <w:rPr>
          <w:rFonts w:ascii="Arial" w:cs="Arial" w:eastAsia="Arial" w:hAnsi="Arial"/>
          <w:sz w:val="17"/>
          <w:szCs w:val="17"/>
          <w:b w:val="1"/>
          <w:bCs w:val="1"/>
          <w:i w:val="1"/>
          <w:iCs w:val="1"/>
          <w:color w:val="auto"/>
        </w:rPr>
        <w:t>Strategic Sales</w:t>
      </w:r>
      <w:r>
        <w:rPr>
          <w:rFonts w:ascii="Arial" w:cs="Arial" w:eastAsia="Arial" w:hAnsi="Arial"/>
          <w:sz w:val="17"/>
          <w:szCs w:val="17"/>
          <w:i w:val="1"/>
          <w:iCs w:val="1"/>
          <w:color w:val="auto"/>
        </w:rPr>
        <w:t>—</w:t>
      </w:r>
      <w:r>
        <w:rPr>
          <w:rFonts w:ascii="Arial" w:cs="Arial" w:eastAsia="Arial" w:hAnsi="Arial"/>
          <w:sz w:val="17"/>
          <w:szCs w:val="17"/>
          <w:color w:val="auto"/>
        </w:rPr>
        <w:t>While the majority of our direct sales efforts are supported through professional inside sales staff, major accounts within certain industries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 a more personal, face-to-face strategic sales approach. We continue to expand this team to meet the demand of the markets.</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Distributors, Resellers, and Strategic Partners</w:t>
      </w:r>
      <w:r>
        <w:rPr>
          <w:rFonts w:ascii="Arial" w:cs="Arial" w:eastAsia="Arial" w:hAnsi="Arial"/>
          <w:sz w:val="18"/>
          <w:szCs w:val="18"/>
          <w:i w:val="1"/>
          <w:iCs w:val="1"/>
          <w:color w:val="auto"/>
        </w:rPr>
        <w:t>—</w:t>
      </w:r>
      <w:r>
        <w:rPr>
          <w:rFonts w:ascii="Arial" w:cs="Arial" w:eastAsia="Arial" w:hAnsi="Arial"/>
          <w:sz w:val="18"/>
          <w:szCs w:val="18"/>
          <w:color w:val="auto"/>
        </w:rPr>
        <w:t>In conjunction with direct-to-client sales efforts, we engage value-added distributors, resellers,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that have a significant foothold in many of the industries that we have not historically served, as well as to further penetrate those industries that we do serve. This allows us to rapidly penetrate these markets while also significantly reducing overhead associated with direct sales and support efforts.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5" w:name="page6"/>
    <w:bookmarkEnd w:id="5"/>
    <w:p>
      <w:pPr>
        <w:ind w:right="340"/>
        <w:spacing w:after="0" w:line="263" w:lineRule="auto"/>
        <w:rPr>
          <w:sz w:val="20"/>
          <w:szCs w:val="20"/>
          <w:color w:val="auto"/>
        </w:rPr>
      </w:pPr>
      <w:r>
        <w:rPr>
          <w:rFonts w:ascii="Arial" w:cs="Arial" w:eastAsia="Arial" w:hAnsi="Arial"/>
          <w:sz w:val="18"/>
          <w:szCs w:val="18"/>
          <w:b w:val="1"/>
          <w:bCs w:val="1"/>
          <w:i w:val="1"/>
          <w:iCs w:val="1"/>
          <w:color w:val="auto"/>
        </w:rPr>
        <w:t>Marketing</w:t>
      </w:r>
      <w:r>
        <w:rPr>
          <w:rFonts w:ascii="Arial" w:cs="Arial" w:eastAsia="Arial" w:hAnsi="Arial"/>
          <w:sz w:val="18"/>
          <w:szCs w:val="18"/>
          <w:i w:val="1"/>
          <w:iCs w:val="1"/>
          <w:color w:val="auto"/>
        </w:rPr>
        <w:t>—</w:t>
      </w:r>
      <w:r>
        <w:rPr>
          <w:rFonts w:ascii="Arial" w:cs="Arial" w:eastAsia="Arial" w:hAnsi="Arial"/>
          <w:sz w:val="18"/>
          <w:szCs w:val="18"/>
          <w:color w:val="auto"/>
        </w:rPr>
        <w:t>We have implemented several methods to market our products, including participation in trade shows and seminars, advertising,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 distribution of sales literature and product specifications and ongoing communication with prospective clients, distributors, resellers, strategic partners and our installed base of current clients.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developing unique technology and using our analytical capabilities to deliver solutions that transform the way organizations view data.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advancing our business through the following strategic approach:</w:t>
      </w:r>
    </w:p>
    <w:p>
      <w:pPr>
        <w:spacing w:after="0" w:line="206" w:lineRule="exact"/>
        <w:rPr>
          <w:sz w:val="20"/>
          <w:szCs w:val="20"/>
          <w:color w:val="auto"/>
        </w:rPr>
      </w:pPr>
    </w:p>
    <w:p>
      <w:pPr>
        <w:ind w:left="280" w:right="120" w:hanging="272"/>
        <w:spacing w:after="0" w:line="281"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 Risk Management Industry</w:t>
      </w:r>
      <w:r>
        <w:rPr>
          <w:rFonts w:ascii="Arial" w:cs="Arial" w:eastAsia="Arial" w:hAnsi="Arial"/>
          <w:sz w:val="18"/>
          <w:szCs w:val="18"/>
          <w:color w:val="auto"/>
        </w:rPr>
        <w:t>—providing actionable intelligence in support of a multitude of use cases, such as the verification and authentication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consumer identities, due diligence, prevention of fraud and abuse, legislative compliance, and debt collection.</w:t>
      </w:r>
    </w:p>
    <w:p>
      <w:pPr>
        <w:spacing w:after="0" w:line="54" w:lineRule="exact"/>
        <w:rPr>
          <w:rFonts w:ascii="Arial" w:cs="Arial" w:eastAsia="Arial" w:hAnsi="Arial"/>
          <w:sz w:val="18"/>
          <w:szCs w:val="18"/>
          <w:color w:val="auto"/>
        </w:rPr>
      </w:pPr>
    </w:p>
    <w:p>
      <w:pPr>
        <w:ind w:left="280" w:right="120" w:hanging="272"/>
        <w:spacing w:after="0" w:line="281"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Custom Analytics</w:t>
      </w:r>
      <w:r>
        <w:rPr>
          <w:rFonts w:ascii="Arial" w:cs="Arial" w:eastAsia="Arial" w:hAnsi="Arial"/>
          <w:sz w:val="18"/>
          <w:szCs w:val="18"/>
          <w:color w:val="auto"/>
        </w:rPr>
        <w:t>—enabling the public and private sectors to leverage our advanced data fusion platform and analytical applications to obtain insight</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 to decision-making processes throughout each client organization.</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will remain focused on building the business organically and will continue to devote resources to the following to ensure that we are well positioned within the industry:</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Continuous Advancement of Our Technology and Data to Cross-sell and Upsell</w:t>
      </w:r>
      <w:r>
        <w:rPr>
          <w:rFonts w:ascii="Arial" w:cs="Arial" w:eastAsia="Arial" w:hAnsi="Arial"/>
          <w:sz w:val="17"/>
          <w:szCs w:val="17"/>
          <w:color w:val="auto"/>
        </w:rPr>
        <w:t>—We strongly believe that our ability to continually innovate and invest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into our technology and data is a key foundation to our success. In addition to improving our predictive software and underlying technology platform, we aim to provide new solutions from our data repository in an effort to offer the greatest value to our clients. We believe this allocation of resources will augment our value proposition for both existing and prospective clients. As we invest in our technology platform and data assets, we will always do so with a view towards providing solutions that deliver scalability, functionality and interoperability. Our technology platform is designed to deliver reliable and accurate information with the scale of global populations and cohorts in mind. Derived semantic insight increases exponentially with each new data asset, creating compounded additional value that can be used by supervised and unsupervised machine learning algorithms. As a result of our ability to process transactional data, self-reported data, and other proprietary datasets at massive scale, we are focused on creating a dynamic platform that maximizes interoperability and continues to drive growth opportunities within our installed customer base.</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Selective Acquisitions</w:t>
      </w:r>
      <w:r>
        <w:rPr>
          <w:rFonts w:ascii="Arial" w:cs="Arial" w:eastAsia="Arial" w:hAnsi="Arial"/>
          <w:sz w:val="17"/>
          <w:szCs w:val="17"/>
          <w:i w:val="1"/>
          <w:iCs w:val="1"/>
          <w:color w:val="auto"/>
        </w:rPr>
        <w:t>—</w:t>
      </w:r>
      <w:r>
        <w:rPr>
          <w:rFonts w:ascii="Arial" w:cs="Arial" w:eastAsia="Arial" w:hAnsi="Arial"/>
          <w:sz w:val="17"/>
          <w:szCs w:val="17"/>
          <w:color w:val="auto"/>
        </w:rPr>
        <w:t>In addition to organic growth, we may, in the future, make acquisitions of businesses or technologies that advance our objectives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that enhance shareholder value. We are focused on identifying complementary technologies and businesses that advance our strategic approach. While we maintain our long-term strategy of increasing revenue, gaining market share and enhancing shareholder value through internal development and organic growth, we will continually seek to identify and pursue acquisition opportunities that fit within our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Competition in the big data and analytics sector centers on innovation, product stability, pricing and customer service. The market for our products and services is highly competitive and is subject to constant change. We compete on the basis of differentiated solutions, analytical capabilities, integration with our clients’ technology, client relationships, service stability, innovation and price. We believe we are well-positioned to effectively compete on all fronts.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competitors vary widely in size and nature of the products and services they offer. There are a large number of competitors who offer products and services in specialized areas, such as fraud prevention, risk management and decisioning solutions. We believe our next-generation data fusion technology, analytical capabilities, robust database, and the intelligent design of our cloud-based infrastructure will allow us to differentiate ourselves from our competition in flexibility, capability, service and price.</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6" w:name="page7"/>
    <w:bookmarkEnd w:id="6"/>
    <w:p>
      <w:pPr>
        <w:spacing w:after="0" w:line="296" w:lineRule="auto"/>
        <w:rPr>
          <w:sz w:val="20"/>
          <w:szCs w:val="20"/>
          <w:color w:val="auto"/>
        </w:rPr>
      </w:pPr>
      <w:r>
        <w:rPr>
          <w:rFonts w:ascii="Arial" w:cs="Arial" w:eastAsia="Arial" w:hAnsi="Arial"/>
          <w:sz w:val="16"/>
          <w:szCs w:val="16"/>
          <w:color w:val="auto"/>
        </w:rPr>
        <w:t>Certain companies in the big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big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Customers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2019 and 2018, one individual customer accounted for 15% and 11% of total revenue,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no individual customer accounted for more than 10% of the Company’s accounts receivable.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products and services depend extensively upon continued access to and receipt of data from external sources, including data received from the major credit bureaus, including our largest data supplier. The Company’s other data suppliers include strategic partners, as well as various government and public record repositories. Our largest data supplier, with whom we have expanded our relationship while securing what we believe to be favorable business terms over the years, accounted for 40% of our total data acquisition costs for the year ended December 31, 2019 compared to 46% for the year ended December 31, 2018. The initial term of the agreement, as amended, with this supplier ends April 30, 2022, and continues thereafter on a month-to-month basis unless and until either party provides the other with a minimum of 30 days’ written notice of termination.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150 days’ advance written notice to us and we may terminate this agreement by providing not less than 24 months’ advance written notice to this supplier. The remaining minimum purchase commitments through the end of the initial term is $10.4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avail ourself of applicable trade secret and unfair competition laws to protect our proprietary technology, trademark law to protect our trademarks and domain names, and copyright laws to protect our content relating to, among other things, websites and marketing materials. Our intellectual property rights are embodied in confidential and proprietary technology and data, trademarked brands relating to our business units, products, services, and solutions, original content on our materials such as websites and marketing materials, and domain names. With respect to our trademarks, we maintain an extensive portfolio of perpetual common law and federally-registered trademark rights across several brands. We have also sought protection and registration of certain brands and trademarks internationally, such as in Europe and Canada. At present, we do not hold any issued patents.</w:t>
      </w:r>
    </w:p>
    <w:p>
      <w:pPr>
        <w:spacing w:after="0" w:line="1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use data acquired through licensing rights from approximately 20 providers. The loss of any one of these providers could have an immediate near-term impact on our financial position, results of operations, and liquidity. Also see “Concentration of Suppliers” above.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2"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business is subject to various federal, state, and local laws, rules, and regulations, including, without limitation, the Gramm-Leach-Bliley Act (15 U.S.C. §§ 6801- 6809) (“GLBA”), the Driver’s Privacy Protection Act (18 U.S.C. §§ 2721- 2725) (“DPPA”) and the Federal Trade Commission Act (“FTC Act”). A change in any one of a number of the laws, rules, or regulations applicable to our business or the enactment of new or amended legislation or industry regulations pertaining to consumer or private sector privacy issues could have a material adverse impact on information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clients’ requirements and our profitability and cash flow targets.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are subject to seasonal fluctuation. Historically, certain products experience seasonal pressure during the fourth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Our management team has a track record of strong performance and significant expertise in the markets we serve. We have built the leading companies in our industry, creating significant shareholder value. We continue to attract and retain experienced management talent for our business. Our team has deep knowledge of the big data and analytics sector and expertise across the various industries that we serve. Our team has overseen the expansion of our proprietary technology platform while managing ongoing initiatives, including the transition from a development-focused company to a sales-driven company. As a result, we are well positioned to continue to successfully drive growth organically.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We employ 107 full-time employees and one part-time employee as of December 31, 2019. None of our employees are represented by a labor organization, and none are party to any collective bargaining agreement. We have not experienced any work stoppages and consider our relations with our employees to be good. Competition in the recruiting of personnel in the big data and analytics sector is intense. We believe that our future success will depend in part on our continued ability to hire, motivate and retain qualified sales and marketing, executive and administrative and technical personnel. To date, we have not experienced significant difficulties in attracting or retaining qualified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Our principal executive offices are located at 2650 North Military Trail, Suite 300, Boca Raton, Florida 33431 and our telephone number is (561) 757-4000. Our corporate website is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The website address provided in this 2019 Form 10-K is not intended to function as a hyperlink and information obtained on the website is not and should not be considered part of this 2019 Form 10-K and is not incorporated by reference in this 2019 Form 10-K or any filing with the Securities and Exchange Commission (the “SEC”). Our Annual Report on Form 10-K, Quarterly Reports on Form 10-Q, Current Reports on Form 8-K, and amendments to reports filed or furnished pursuant to Sections 13(a) and 15(d) of the Securities Exchange Act of 1934, as amended (the “Exchange Act”), are available, free of charge, under the “Investors” section of our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as soon as reasonably practicable after we electronically file such material with, or furnish it to, the SEC. The SEC maintains an internet website located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that contains the information we file or furnish electronically with the SEC.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Information About Our Executive Officers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31"/>
        </w:trPr>
        <w:tc>
          <w:tcPr>
            <w:tcW w:w="4440" w:type="dxa"/>
            <w:vAlign w:val="bottom"/>
          </w:tcPr>
          <w:p>
            <w:pPr>
              <w:spacing w:after="0"/>
              <w:rPr>
                <w:sz w:val="20"/>
                <w:szCs w:val="20"/>
                <w:color w:val="auto"/>
              </w:rPr>
            </w:pPr>
            <w:r>
              <w:rPr>
                <w:rFonts w:ascii="Arial" w:cs="Arial" w:eastAsia="Arial" w:hAnsi="Arial"/>
                <w:sz w:val="18"/>
                <w:szCs w:val="18"/>
                <w:color w:val="auto"/>
              </w:rPr>
              <w:t>Our executive officers are as follows: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431"/>
        </w:trPr>
        <w:tc>
          <w:tcPr>
            <w:tcW w:w="4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00" w:type="dxa"/>
            <w:vAlign w:val="bottom"/>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4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c>
          <w:tcPr>
            <w:tcW w:w="1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Interim Chairman</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James Reilly</w:t>
            </w:r>
          </w:p>
        </w:tc>
        <w:tc>
          <w:tcPr>
            <w:tcW w:w="1300" w:type="dxa"/>
            <w:vAlign w:val="bottom"/>
          </w:tcPr>
          <w:p>
            <w:pPr>
              <w:spacing w:after="0"/>
              <w:rPr>
                <w:sz w:val="18"/>
                <w:szCs w:val="18"/>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President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Daniel MacLachlan</w:t>
            </w:r>
          </w:p>
        </w:tc>
        <w:tc>
          <w:tcPr>
            <w:tcW w:w="1300" w:type="dxa"/>
            <w:vAlign w:val="bottom"/>
          </w:tcPr>
          <w:p>
            <w:pPr>
              <w:spacing w:after="0"/>
              <w:rPr>
                <w:sz w:val="18"/>
                <w:szCs w:val="18"/>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Jeff Dell</w:t>
            </w:r>
          </w:p>
        </w:tc>
        <w:tc>
          <w:tcPr>
            <w:tcW w:w="1300" w:type="dxa"/>
            <w:vAlign w:val="bottom"/>
          </w:tcPr>
          <w:p>
            <w:pPr>
              <w:spacing w:after="0"/>
              <w:rPr>
                <w:sz w:val="20"/>
                <w:szCs w:val="20"/>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Chief Information Officer</w:t>
            </w:r>
          </w:p>
        </w:tc>
      </w:tr>
      <w:tr>
        <w:trPr>
          <w:trHeight w:val="431"/>
        </w:trPr>
        <w:tc>
          <w:tcPr>
            <w:tcW w:w="44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31"/>
        </w:trPr>
        <w:tc>
          <w:tcPr>
            <w:tcW w:w="44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line="270" w:lineRule="auto"/>
        <w:rPr>
          <w:sz w:val="20"/>
          <w:szCs w:val="20"/>
          <w:color w:val="auto"/>
        </w:rPr>
      </w:pPr>
      <w:r>
        <w:rPr>
          <w:rFonts w:ascii="Arial" w:cs="Arial" w:eastAsia="Arial" w:hAnsi="Arial"/>
          <w:sz w:val="17"/>
          <w:szCs w:val="17"/>
          <w:b w:val="1"/>
          <w:bCs w:val="1"/>
          <w:color w:val="auto"/>
        </w:rPr>
        <w:t>Mr. Derek Dubner</w:t>
      </w:r>
      <w:r>
        <w:rPr>
          <w:rFonts w:ascii="Arial" w:cs="Arial" w:eastAsia="Arial" w:hAnsi="Arial"/>
          <w:sz w:val="17"/>
          <w:szCs w:val="17"/>
          <w:color w:val="auto"/>
        </w:rPr>
        <w:t>, 48, has served as the Chief Executive Officer and a director of the Company since its formation in August 2017 and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Spin-off from cogint. Mr. Dubner was appointed as Interim Chairman of our board of directors in September 2018. Mr. Dubner served as the Chief Executive Officer and a director of cogint, from March 2016 until the Spin-off. Mr. Dubner served as our Co-Chief Executive Officer from March 2015 until March 2016, when he was appointed cogint’s Chief Executive Officer. Mr. Dubner has over 20 years of experience in the data and analytics industry. Mr. Dubner has served as the Chief Executive Officer of our subsidiary The Best One, Inc. (“TBO”), now known as the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w:t>
      </w:r>
    </w:p>
    <w:p>
      <w:pPr>
        <w:spacing w:after="0" w:line="17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Mr. James Reilly</w:t>
      </w:r>
      <w:r>
        <w:rPr>
          <w:rFonts w:ascii="Arial" w:cs="Arial" w:eastAsia="Arial" w:hAnsi="Arial"/>
          <w:sz w:val="18"/>
          <w:szCs w:val="18"/>
          <w:color w:val="auto"/>
        </w:rPr>
        <w:t>, 45, has served as President of the Company since its formation in August 2017 and continuing through its Spin-off from cogint. Mr.</w:t>
      </w:r>
      <w:r>
        <w:rPr>
          <w:rFonts w:ascii="Arial" w:cs="Arial" w:eastAsia="Arial" w:hAnsi="Arial"/>
          <w:sz w:val="18"/>
          <w:szCs w:val="18"/>
          <w:b w:val="1"/>
          <w:bCs w:val="1"/>
          <w:color w:val="auto"/>
        </w:rPr>
        <w:t xml:space="preserve"> </w:t>
      </w:r>
      <w:r>
        <w:rPr>
          <w:rFonts w:ascii="Arial" w:cs="Arial" w:eastAsia="Arial" w:hAnsi="Arial"/>
          <w:sz w:val="18"/>
          <w:szCs w:val="18"/>
          <w:color w:val="auto"/>
        </w:rPr>
        <w:t>Reilly served as President of cogint from July 2017 until the Spin-off, and previously from June 2015 until June 30, 2016 and as President and Chief Operating Officer of two of our subsidiaries, IDI Holdings and Interactive Data from October 2014 until June 2016. From July 2016 to June 2017, Mr. Reilly was enjoined from providing services for cogint or its subsidiaries. From January 2014 through September 2014, Mr. Reilly served as Vice President of Sales at TRADS. From August 2010 through its acquisition of substantially all of the assets by TRADS in December 2013, Mr. Reilly served as Senior Vice President of TLO.</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Mr. Daniel MacLachlan</w:t>
      </w:r>
      <w:r>
        <w:rPr>
          <w:rFonts w:ascii="Arial" w:cs="Arial" w:eastAsia="Arial" w:hAnsi="Arial"/>
          <w:sz w:val="17"/>
          <w:szCs w:val="17"/>
          <w:color w:val="auto"/>
        </w:rPr>
        <w:t>, 41, has served as the Chief Financial Officer of the Company since its formation in August 2017 and continuing through its</w:t>
      </w:r>
      <w:r>
        <w:rPr>
          <w:rFonts w:ascii="Arial" w:cs="Arial" w:eastAsia="Arial" w:hAnsi="Arial"/>
          <w:sz w:val="17"/>
          <w:szCs w:val="17"/>
          <w:b w:val="1"/>
          <w:bCs w:val="1"/>
          <w:color w:val="auto"/>
        </w:rPr>
        <w:t xml:space="preserve"> </w:t>
      </w:r>
      <w:r>
        <w:rPr>
          <w:rFonts w:ascii="Arial" w:cs="Arial" w:eastAsia="Arial" w:hAnsi="Arial"/>
          <w:sz w:val="17"/>
          <w:szCs w:val="17"/>
          <w:color w:val="auto"/>
        </w:rPr>
        <w:t>Spin-off from cogint. Mr. MacLachlan served as Chief Financial Officer of cogint from March 2016 until the Spin-off and brings over a decade of experience as the chief financial officer of data-driven technology companies. Mr. MacLachlan served as an Independent Director, Audit and Compensation Committee Chairman for Vapor Corp., a U.S.-based distributor and retailer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substantially all of the assets of TLO, through a 363 sale process in December 2013. Mr. MacLachlan was the Chief Financial Officer of TLO from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w:t>
      </w:r>
    </w:p>
    <w:p>
      <w:pPr>
        <w:spacing w:after="0" w:line="17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color w:val="auto"/>
        </w:rPr>
        <w:t>Mr. Jeff Dell</w:t>
      </w:r>
      <w:r>
        <w:rPr>
          <w:rFonts w:ascii="Arial" w:cs="Arial" w:eastAsia="Arial" w:hAnsi="Arial"/>
          <w:sz w:val="17"/>
          <w:szCs w:val="17"/>
          <w:color w:val="auto"/>
        </w:rPr>
        <w:t>, 48, has served as the Chief Information Officer of the Company since its formation in August 2017 and continuing through its Spin-off from</w:t>
      </w:r>
      <w:r>
        <w:rPr>
          <w:rFonts w:ascii="Arial" w:cs="Arial" w:eastAsia="Arial" w:hAnsi="Arial"/>
          <w:sz w:val="17"/>
          <w:szCs w:val="17"/>
          <w:b w:val="1"/>
          <w:bCs w:val="1"/>
          <w:color w:val="auto"/>
        </w:rPr>
        <w:t xml:space="preserve"> </w:t>
      </w:r>
      <w:r>
        <w:rPr>
          <w:rFonts w:ascii="Arial" w:cs="Arial" w:eastAsia="Arial" w:hAnsi="Arial"/>
          <w:sz w:val="17"/>
          <w:szCs w:val="17"/>
          <w:color w:val="auto"/>
        </w:rPr>
        <w:t>cogint. Mr. Dell served as Chief Information Officer of cogint from September 2016 until the Spin-off and served as the Interim Chief Information Officer of cogint from June 2016 through September 2016. From July 2015 through May 2016, Mr. Dell served as the VP Information Security of cogint.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 leading provider in the data fusion industry.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Our business, financial condition, operating results, and cash flows may be impacted by a number of factors, many of which are beyond our control, including those set forth below and elsewhere in this 2019 Form 10-K, the occurrence of any one of which could have a material adverse effect on our actual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makes our future results uncertain.</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Since inception, we have incurred operating losses. We need to generate greater revenue from the sale of our products and services if we are to achieve and sustain profitability. If we are unable to generate greater revenue, we may not be able to achieve profitability or continue to generate positive cash flow from operations in the future.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ind w:right="440"/>
        <w:spacing w:after="0" w:line="307" w:lineRule="auto"/>
        <w:rPr>
          <w:sz w:val="20"/>
          <w:szCs w:val="20"/>
          <w:color w:val="auto"/>
        </w:rPr>
      </w:pPr>
      <w:r>
        <w:rPr>
          <w:rFonts w:ascii="Arial" w:cs="Arial" w:eastAsia="Arial" w:hAnsi="Arial"/>
          <w:sz w:val="17"/>
          <w:szCs w:val="17"/>
          <w:b w:val="1"/>
          <w:bCs w:val="1"/>
          <w:i w:val="1"/>
          <w:iCs w:val="1"/>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products and services are highly technical and complex. Our products and services have contained and may contain one or more undetected errors, defects or security vulnerabilities. Some errors in our products and services may only be discovered after a product or service has been used by end customers. Any errors or security vulnerabilities discovered in our products after commercial release could result in loss of revenue or delay in revenue recognition, or loss of customers, any of which could adversely affect our business and results of operations. In addition, we could face claims for product liability or breach of personally identifiable information.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9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r>
        <w:rPr>
          <w:rFonts w:ascii="Arial" w:cs="Arial" w:eastAsia="Arial" w:hAnsi="Arial"/>
          <w:sz w:val="18"/>
          <w:szCs w:val="18"/>
          <w:b w:val="1"/>
          <w:bCs w:val="1"/>
          <w:color w:val="auto"/>
        </w:rPr>
        <w:t>.</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our business is conducted largely online, it is dependent on our networks being accessible and secure. If an actual or perceived breach of network security occurs, regardless of whether the breach is attributable to our network security controls, the market perception of the effectiveness of our network security could be harmed resulting in loss of current and potential end user customers, data suppliers, or cause us to lose potential value-added resellers. Our business is largely dependent on our customer-facing websites and our websites may be inaccessible because of service interruptions or subject to hacking or computer attacks. Because the techniques used by computer hackers to access or sabotage networks change frequently and generally are not recognized until launched against a target, we may be unable to anticipate these techniques. If an actual or perceived breach were to occur, we cannot assure you that we would not lose revenue or not sustain operating losses as a result.</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also rely heavily on large information technology databases and the ability to provide services using that information. A party who is able to breach the security measures on our networks or who otherwise is able to access our system through unauthorized means could misappropriate either our proprietary information or the personal information of consumers that we collect, or otherwise cause interruptions or malfunctions to our operations. Hacking of computer data systems is a growing problem throughout the United States. If we grow and obtain more visibility, we may be more vulnerable to hacking or other attempts to gain unauthorized access to our system. Moreover, the increased use of mobile devices also increases the risk of intentional and unintentional theft or disclosure of data including personal information. We may be unable to anticipate all of these vulnerabilities and implement adequate preventative measures and, in some cases, we may not be able to immediately detect a security incident. Any security incident may also result in a misappropriation of our proprietary information or that of our users, clients, and third-party vendors, which could result in legal and financial liability, as well as harm to our reputation.</w:t>
      </w:r>
    </w:p>
    <w:p>
      <w:pPr>
        <w:spacing w:after="0" w:line="17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may be required to expend significant capital and other resources to protect against such threats or to alleviate problems caused by breaches in security. Additionally, any server interruptions, break-downs or system failures, including failures which may be attributable to events within our control, could increase our future operating costs and cause us to lose business. We maintain insurance policies covering losses relating to our network systems or other assets. However, these policies may not cover the entire cost of a claim. Any future disruptions in our information technology systems, whether caused by hacking or otherwise, may have a material adverse effect on our future results.</w:t>
      </w:r>
    </w:p>
    <w:p>
      <w:pPr>
        <w:spacing w:after="0" w:line="17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Privacy concerns relating to the collection, use, accuracy, correction and sharing of personal information and any perceived or actual unauthorized disclosure of personally identifiable information, whether through breach of our network by an unauthorized party, employee theft, misuse, or error could harm our reputation, impair our ability to attract website visitors and to attract and retain clients, result in a loss of confidence in the security of our products and services, or subject us to claims or litigation arising from damages suffered by consumers, and thereby harm our business and results of operations. In addition, we could incur significant costs for which our insurance policies may not adequately cover and cause us to expend significant resources in protecting against security breaches and complying with the multitude of state and federal laws regarding data privacy and data breach notification obligations.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must adequately protect our intellectual property in order to prevent loss of valuable proprietary information.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primarily upon a combination of patent, copyright, trademark and trade secret laws, as well as other intellectual property laws, and confidentiality procedures and contractual agreements, such as non-disclosure agreements, to protect our proprietary technology. However, unauthorized parties may attempt to copy or reverse engineer aspects of our products or services or to obtain and use information that we regard as proprietary. Policing unauthorized use of our products or services is difficult, and we cannot be certain that the steps we have taken will prevent misappropriation of our intellectual property. If the protection of our intellectual property proves to be inadequate or unenforceable, others may be able to use our proprietary developments without compensation to us, resulting in potential cost advantages to our competitors.</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Some of our systems and technologies are not covered by any copyright, patent or patent application. We cannot guarantee that: (i) our intellectual property rights will provide us with a competitive advantage;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on the merits. In addition, others may independently discover trade secrets and proprietary information, and in such cases we could not assert any trade secret rights against such parties.</w:t>
      </w:r>
    </w:p>
    <w:p>
      <w:pPr>
        <w:spacing w:after="0" w:line="185"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b w:val="1"/>
          <w:bCs w:val="1"/>
          <w:i w:val="1"/>
          <w:iCs w:val="1"/>
          <w:color w:val="auto"/>
        </w:rPr>
        <w:t>We depend, in part, on strategic alliances, joint ventures and acquisitions to grow our business. If we are unable to make strategic acquisitions and develop and maintain these strategic alliances and joint ventures, our growth may be adversely affected.</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 important focus of our business is to identify business partners who can enhance our services, enable us to develop solutions that differentiate us from our competitors, drive users to our websites and monetize our data. We have entered into several alliance agreements or license agreements with respect to certain of our datasets and services and may enter into similar agreements in the future. These arrangements may require us to restrict our use of certain of our technologies or datasets among certain customer industries, restrict content on our websites or grant licenses on terms that ultimately may prove to be unfavorable to us, any of which could adversely affect our business, financial condition or results of operations. Relationships with our alliance agreement partners may include risks due to incomplete information regarding the marketplace and commercial strategies of our partners, and our alliance agreements or other licensing agreements may be the subject of contractual disputes. If we or our alliance agreements’ partners are not successful in maintaining or commercializing the alliance agreements’ services, such commercial failure could adversely affect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consummate any future acquisitions, we will be subject to the risks inherent in identifying, acquiring and operating a newly acquired business</w:t>
      </w:r>
      <w:r>
        <w:rPr>
          <w:rFonts w:ascii="Arial" w:cs="Arial" w:eastAsia="Arial" w:hAnsi="Arial"/>
          <w:sz w:val="15"/>
          <w:szCs w:val="15"/>
          <w:i w:val="1"/>
          <w:iCs w:val="1"/>
          <w:color w:val="auto"/>
        </w:rPr>
        <w:t>.</w:t>
      </w:r>
    </w:p>
    <w:p>
      <w:pPr>
        <w:spacing w:after="0" w:line="25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may, in the future, acquire additional businesses, which we believe could complement or expand our current business or offer growth opportunities. We may experience difficulties in identifying potential acquisition candidates that complement our current business at appropriate prices, or at all. We cannot assure you that our acquisition strategy will be successful. We may spend significant management time and resources in analyzing and negotiating acquisitions or investments that are not consummated. Furthermore, the ongoing process of integrating an acquired business is distracting, time consuming, expensive, and requires continuous optimization and allocation of resources. Additionally, if we use stock as consideration, this would dilute our existing shareholders and if we use cash, this would reduce our liquidity and impact our financial flexibility. We may seek debt financing for particular acquisitions, which may not be available on commercially reasonable terms, or at all. We face the risks associated with the business acquisition strategy, including:</w:t>
      </w:r>
    </w:p>
    <w:p>
      <w:pPr>
        <w:spacing w:after="0" w:line="88"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disruption of our existing businesses, including the diversion of management attention and the redeployment of resources;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entering new markets or industries in which we have limited prior experience;</w:t>
      </w:r>
    </w:p>
    <w:p>
      <w:pPr>
        <w:spacing w:after="0" w:line="116"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in due diligence to identify key issues specific to the businesses we seek to acquire or the industries or other environments in which they operate, or, failure to protect against contingent liabilities arising from those issues;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2" w:right="379" w:bottom="1440" w:gutter="0" w:footer="0" w:header="0"/>
        </w:sectPr>
      </w:pPr>
    </w:p>
    <w:bookmarkStart w:id="11" w:name="page12"/>
    <w:bookmarkEnd w:id="11"/>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hidden or fraudulent liabilities;</w:t>
      </w:r>
    </w:p>
    <w:p>
      <w:pPr>
        <w:spacing w:after="0" w:line="116" w:lineRule="exact"/>
        <w:rPr>
          <w:rFonts w:ascii="Arial" w:cs="Arial" w:eastAsia="Arial" w:hAnsi="Arial"/>
          <w:sz w:val="18"/>
          <w:szCs w:val="18"/>
          <w:color w:val="auto"/>
        </w:rPr>
      </w:pPr>
    </w:p>
    <w:p>
      <w:pPr>
        <w:ind w:left="380" w:right="8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difficulties in integrating, aligning and coordinating organizations which will likely be geographically separated and may involve diverse business operations and corporate cultures;</w:t>
      </w:r>
    </w:p>
    <w:p>
      <w:pPr>
        <w:spacing w:after="0" w:line="61"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difficulties in integrating and retaining key management, sales, research and development, production and other personnel;</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loss of key employees, customers or distribution partners of the acquired businesses;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difficulties in incorporating the acquired business into our organization;</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loss of customers, distributors or suppliers;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difficulties in integrating or expanding information technology systems and other business processes to accommodate the acquired business;</w:t>
      </w:r>
    </w:p>
    <w:p>
      <w:pPr>
        <w:spacing w:after="0" w:line="139" w:lineRule="exact"/>
        <w:rPr>
          <w:rFonts w:ascii="Arial" w:cs="Arial" w:eastAsia="Arial" w:hAnsi="Arial"/>
          <w:sz w:val="16"/>
          <w:szCs w:val="16"/>
          <w:color w:val="auto"/>
        </w:rPr>
      </w:pPr>
    </w:p>
    <w:p>
      <w:pPr>
        <w:ind w:left="380" w:right="66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associated with integrating financial reporting and internal control systems, including the risk that significant deficiencies or material weaknesses may be identified in acquired entities;</w:t>
      </w:r>
    </w:p>
    <w:p>
      <w:pPr>
        <w:spacing w:after="0" w:line="61"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for future impairments of goodwill and other intangible assets if the acquired business does not perform as expected;</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obtain necessary government approvals for the acquisition, if any; and</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successfully operating the acquired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we cannot overcome these challenges, we may not realize actual benefits from past and future acquisitions, which will impair our overall business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we complete an investment or acquisition, we may not realize the anticipated benefits from the transaction.</w:t>
      </w:r>
    </w:p>
    <w:p>
      <w:pPr>
        <w:spacing w:after="0" w:line="210"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business is subject to regulation under the GLBA, the DPPA, the FTC Act, and various other federal, state and local laws and regulations. These laws and regulations, which generally are designed to protect the privacy of the public and to prevent the misuse of personal information are complex, change frequently and have tended to become more stringent over time. We have already incurred significant expenses in our attempt to ensure compliance with these laws.</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Currently, public concern is high with regard to the collection, use, accuracy, correction and sharing of personal information, including Social Security numbers, dates of birth, financial information, department of motor vehicle data and other behavioral data. In addition, many consumer advocates, privacy advocates, legislatures and government regulators believe that existing laws and regulations do not adequately protect privacy and have become increasingly concerned with the collection and use of this type of personal information. As a result, several U.S. states have recently introduced and passed legislation to expand data security breach notification rules and to provide consumers with greater transparency and control over their personal data. For example, the California Consumer Privacy Act of 2018 (the "CCPA"), which became effective on January 1, 2020, applies to certain businesses that collect personal information from California residents and establishes several consumer rights, including a right to know what personal information is being collected about them and whether and to whom it is sold, a right to access their personal information and have it deleted, a right to opt out of the sale of their personal information, and a right to equal service and price regardless of exercise of these rights. While the CCPA includes specific exemptions for practices and activities regulated by GLBA or DPPA, including certain of our products, it requires, among other things, new disclosures to California consumers and affords consumers new abilities to opt out of certain disclosures of personal information in other portions of our business that are not regulated by GLBA or DPPA. Implementing regulations from the Attorney General that may clarify the CCPA are not due until July 1, 2020 and additional amendments to the CCPA may be signed into law before then. The U.S. Congress may also pass a law to preempt all or part of the CCPA.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line="291" w:lineRule="auto"/>
        <w:rPr>
          <w:sz w:val="20"/>
          <w:szCs w:val="20"/>
          <w:color w:val="auto"/>
        </w:rPr>
      </w:pPr>
      <w:r>
        <w:rPr>
          <w:rFonts w:ascii="Arial" w:cs="Arial" w:eastAsia="Arial" w:hAnsi="Arial"/>
          <w:sz w:val="16"/>
          <w:szCs w:val="16"/>
          <w:color w:val="auto"/>
        </w:rPr>
        <w:t>A number of data incidents announced recently by companies in various industries has resulted in significantly increased legislative and regulatory activity at the federal and state levels as lawmakers and regulators continue to propose a wide range of further restrictions on the collection, dissemination or commercial use of personal information, information security standards, and data security incident disclosure standards. This and additional legislative or regulatory efforts in the United States, or action by Executive Order of the President of the United States, could further regulate the collection, use, communication, access, accuracy, obsolescence, sharing, correction and security of this personal information. In addition, any perception that our practices or products are an invasion of privacy, whether or not consistent with current or future regulations and industry practices, may subject us to public criticism, private class actions, reputational harm, or claims by regulators, which could disrupt our business and expose us to increased liability.</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U.S. federal and state laws and regulations, which can be enforced by government entities or, in some cases, private parties, are constantly evolving and can be subject to significant change. Keeping our business in compliance with or bringing our business into compliance with new laws may be costly and may affect our revenue and/or harm our financial results. In addition, the application, interpretation, and enforcement of these laws and regulations are often uncertain, particularly in the new and rapidly evolving industry in which we operate, and may be interpreted and applied inconsistently from jurisdiction to jurisdiction and inconsistently with our current policies and practices. In addition, new laws or regulations or changes in enforcement of existing laws or regulations applicable to our clients could affect the activities or strategies of such clients and, therefore, lead to reductions in their level of business with us.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legal and regulatory developments also could have a material adverse effect on our business, financial condition or results of operations:</w:t>
      </w:r>
    </w:p>
    <w:p>
      <w:pPr>
        <w:spacing w:after="0" w:line="140" w:lineRule="exact"/>
        <w:rPr>
          <w:sz w:val="20"/>
          <w:szCs w:val="20"/>
          <w:color w:val="auto"/>
        </w:rPr>
      </w:pPr>
    </w:p>
    <w:p>
      <w:pPr>
        <w:ind w:left="560" w:right="100" w:hanging="498"/>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 enactment or interpretation of laws and regulations that restrict the access and use of personal information and reduce the availability or effectiveness of our solutions or the supply of data available to customers;</w:t>
      </w:r>
    </w:p>
    <w:p>
      <w:pPr>
        <w:spacing w:after="0" w:line="61" w:lineRule="exact"/>
        <w:rPr>
          <w:rFonts w:ascii="Arial" w:cs="Arial" w:eastAsia="Arial" w:hAnsi="Arial"/>
          <w:sz w:val="18"/>
          <w:szCs w:val="18"/>
          <w:color w:val="auto"/>
        </w:rPr>
      </w:pPr>
    </w:p>
    <w:p>
      <w:pPr>
        <w:ind w:left="560" w:right="40" w:hanging="498"/>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cultural and consumer attitudes in favor of further restrictions on information collection and sharing, which may lead to regulations that prevent full utilization of our solutions;</w:t>
      </w:r>
    </w:p>
    <w:p>
      <w:pPr>
        <w:spacing w:after="0" w:line="61" w:lineRule="exact"/>
        <w:rPr>
          <w:rFonts w:ascii="Arial" w:cs="Arial" w:eastAsia="Arial" w:hAnsi="Arial"/>
          <w:sz w:val="18"/>
          <w:szCs w:val="18"/>
          <w:color w:val="auto"/>
        </w:rPr>
      </w:pPr>
    </w:p>
    <w:p>
      <w:pPr>
        <w:ind w:left="560" w:hanging="498"/>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data suppliers or customers to comply with laws or regulations, where mutual compliance is required;</w:t>
      </w:r>
    </w:p>
    <w:p>
      <w:pPr>
        <w:spacing w:after="0" w:line="116" w:lineRule="exact"/>
        <w:rPr>
          <w:rFonts w:ascii="Arial" w:cs="Arial" w:eastAsia="Arial" w:hAnsi="Arial"/>
          <w:sz w:val="18"/>
          <w:szCs w:val="18"/>
          <w:color w:val="auto"/>
        </w:rPr>
      </w:pPr>
    </w:p>
    <w:p>
      <w:pPr>
        <w:ind w:left="560" w:hanging="498"/>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our solutions to comply with current laws and regulations; and</w:t>
      </w:r>
    </w:p>
    <w:p>
      <w:pPr>
        <w:spacing w:after="0" w:line="116" w:lineRule="exact"/>
        <w:rPr>
          <w:rFonts w:ascii="Arial" w:cs="Arial" w:eastAsia="Arial" w:hAnsi="Arial"/>
          <w:sz w:val="18"/>
          <w:szCs w:val="18"/>
          <w:color w:val="auto"/>
        </w:rPr>
      </w:pPr>
    </w:p>
    <w:p>
      <w:pPr>
        <w:ind w:left="560" w:hanging="498"/>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our solutions to adapt to changes in the regulatory environment in an efficient, cost-effective manner.</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Changes in applicable legislation or regulations that restrict or dictate how we collect, maintain, combine and disseminate information could adversely affect our business, financial condition or results of operations. In the future, we may be subject to significant additional expense to ensure continued compliance with applicable laws and regulations and to investigate, defend or remedy actual or alleged violations. Any failure by us to comply with applicable laws or regulations could also result in significant liability to us, including liability to private plaintiffs as a result of individual or class action litigation, or may result in the cessation of our operations or portions of our operations or impositions of fines and restrictions on our ability to carry on or expand our operations. Moreover, our compliance with privacy laws and regulations and our reputation depend in part on our customers’ adherence to privacy laws and regulations and their use of our services in ways consistent with consumer expectations and regulatory requirements. Certain of the laws and regulations governing our business are subject to interpretation by judges, juries and administrative entities, creating substantial uncertainty for our business. We cannot predict what effect the interpretation of existing or new laws or regulations may have on our business.</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r>
        <w:rPr>
          <w:rFonts w:ascii="Arial" w:cs="Arial" w:eastAsia="Arial" w:hAnsi="Arial"/>
          <w:sz w:val="18"/>
          <w:szCs w:val="18"/>
          <w:b w:val="1"/>
          <w:bCs w:val="1"/>
          <w:color w:val="auto"/>
        </w:rPr>
        <w:t>.</w:t>
      </w:r>
    </w:p>
    <w:p>
      <w:pPr>
        <w:spacing w:after="0" w:line="18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Legal proceedings arise frequently as part of the normal course of our business. These may include individual consumer cases, class action lawsuits and inquiries, investigations, examinations, regulatory proceedings or other actions brought by federal (e.g., the FTC) or state (e.g., state attorneys general) authorities. The scope and outcome of these proceedings is often difficult to assess or quantify. Plaintiffs in lawsuits may seek recovery of large amounts and the cost to defend such litigation may be significant. There may also be adverse publicity and uncertainty associated with investigations, litigation and orders (whether pertaining to us, our customers or our competitors) that could decrease customer acceptance of our services or result in material discovery expenses. In addition, a court-ordered injunction or an administrative cease-and-desist order or settlement may require us to modify our business practices or may prohibit conduct that would otherwise be legal and in which our competitors may engage. Many of the technical and complex statutes to which we are subject, including state and federal financial privacy requirements, may provide for civil and criminal penalties and may permit consumers to maintain individual or class action lawsuits against us and obtain statutorily prescribed damages.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2" w:right="419" w:bottom="1440" w:gutter="0" w:footer="0" w:header="0"/>
        </w:sectPr>
      </w:pPr>
    </w:p>
    <w:bookmarkStart w:id="13" w:name="page14"/>
    <w:bookmarkEnd w:id="13"/>
    <w:p>
      <w:pPr>
        <w:ind w:right="320"/>
        <w:spacing w:after="0" w:line="277" w:lineRule="auto"/>
        <w:rPr>
          <w:sz w:val="20"/>
          <w:szCs w:val="20"/>
          <w:color w:val="auto"/>
        </w:rPr>
      </w:pPr>
      <w:r>
        <w:rPr>
          <w:rFonts w:ascii="Arial" w:cs="Arial" w:eastAsia="Arial" w:hAnsi="Arial"/>
          <w:sz w:val="18"/>
          <w:szCs w:val="18"/>
          <w:color w:val="auto"/>
        </w:rPr>
        <w:t>Additionally, our customers might face similar proceedings, actions or inquiries which could affect their business and, in turn, our ability to do business with those customers.</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While we do not believe that the outcome of any pending or threatened legal proceeding, investigation, examination or supervisory activity will have a material adverse effect on our financial position, such events are inherently uncertain and adverse outcomes could result in significant monetary damages, penalties or injunctive relief against us. Furthermore,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relationships with key customers may be materially diminished or terminated.</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the services of key personnel, it could adversely affect our business.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future success depends, in part, on our ability to attract and retain key personnel. Our future also depends on the continued services of Derek Dubner, our Chief Executive Officer and Interim Chairman, James Reilly, our President, Daniel MacLachlan, our Chief Financial Officer and other key employees in all areas of our organization, each of whom is important to the management of certain aspects of our business and operations and the development of our strategic direction, and each of whom may be difficult to replace. The loss of the services of these key individuals and the process to replace these individuals would involve significant time and expense and could significantly delay or prevent the achievement of our business objectives.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respond to rapid technological changes in the big data and analytics sector, we may lose customers and/or our products and/or services may become obsolete.</w:t>
      </w:r>
    </w:p>
    <w:p>
      <w:pPr>
        <w:spacing w:after="0" w:line="16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big data and analytics sector is characterized by rapidly changing technology, frequent product introductions, and continued evolution of new industry standards. As a result, our success depends upon our ability to develop and introduce in a timely manner new products and services and enhancements to existing products and services that meet changing customer requirements and evolving industry standards. The development of technologically advanced product solutions is a complex and uncertain process requiring high levels of innovation, rapid response and accurate anticipation of technological and market trends. We cannot assure you that we will be able to identify, develop, manufacture, market or support new or enhanced products and services successfully in a timely manner. Further, we or our competitors may introduce new products or services or product enhancements that shorten the life cycle of existing products or services or cause existing products or services to become obsolete.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b w:val="1"/>
          <w:bCs w:val="1"/>
          <w:i w:val="1"/>
          <w:iCs w:val="1"/>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6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customers, and therefore our business and revenue, sometimes depend on favorable macroeconomic conditions and are impacted by the availability of credit, the level and volatility of interest rates, inflation, employment levels, consumer confidence and housing demand. In addition, a significant amount of our revenue is concentrated among certain industries. Our customer base suffers when financial markets experience volatility, illiquidity and disruption, which has occurred in the past and which could reoccur. Such market developments, and the potential for increased and continuing disruptions going forward, present considerable risks to our business and operations. Changes in the economy have resulted, and may continue to result, in fluctuations in volumes, pricing and operating margins for our services. For example, the banking and financial market downturn that began to affect U.S. businesses in 2008 caused a greater focus on expense reduction by customers of businesses similar to ours. If businesses in these industries experience economic hardship, we cannot assure you that we will be able to generate future revenue growth. These types of disruptions could lead to a decline in the volumes of services we provide our customers and could negatively impact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our access to data sources which could prevent us from providing our services.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products and services depend extensively upon continued access to and receipt of data from external sources, including data received from customers, strategic partners and various government and public record repositories. In some cases, we compete with our data providers. Our data providers could stop providing data, provide untimely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 We cannot provide assurance that we will be successful in maintaining our relationships with these external data source providers or that we will be able to continue to obtain data from them on acceptable terms or at all. Furthermore, we cannot provide assurance that we will be able to obtain data from alternative sources if our current sources become unavailable.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w:t>
      </w:r>
    </w:p>
    <w:p>
      <w:pPr>
        <w:spacing w:after="0" w:line="17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foregoing risks are heightened with respect to our largest data supplier, with whom we have expanded our relationship while securing favorable business terms over the years. If we are unable to maintain our current relationship with our largest data supplier, our ability to provide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7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6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own and host a large amount of sensitive and confidential consumer information including financial information and personally identifiable information. This data is often accessed through secure transmissions over public and private networks, including the internet. Despite our physical security, implementation of technical controls and contractual precautions to identify, detect and prevent the unauthorized access to and alteration and disclosure of our data, we cannot assure you that systems that access our services and databases will not be compromised or disrupted, whether as a result of criminal conduct, DDoS attacks or other advanced persistent attacks by malicious actors, including hackers, nation states and criminals, breaches due to employee error or malfeasance, or other disruptions during the process of upgrading or replacing computer software or hardware, power outages, computer viruses, telecommunication or utility failures or natural disasters or other catastrophic events. We must continually monitor and develop our information technology networks and infrastructure to prevent, detect, address and mitigate the risk of unauthorized access, misuse, computer viruses and other events that could have a security impact. Several recent, highly-publicized data incidents and DDoS attacks have heightened consumer awareness of this issue and may embolden individuals or groups to target our systems. Unauthorized disclosure, loss or corruption of our data or inability of our customers to access our systems could disrupt our operations, subject us to substantial legal liability, result in a material loss of business and significantly harm our reputation.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5" w:name="page16"/>
    <w:bookmarkEnd w:id="15"/>
    <w:p>
      <w:pPr>
        <w:ind w:right="100"/>
        <w:spacing w:after="0" w:line="275" w:lineRule="auto"/>
        <w:rPr>
          <w:sz w:val="20"/>
          <w:szCs w:val="20"/>
          <w:color w:val="auto"/>
        </w:rPr>
      </w:pPr>
      <w:r>
        <w:rPr>
          <w:rFonts w:ascii="Arial" w:cs="Arial" w:eastAsia="Arial" w:hAnsi="Arial"/>
          <w:sz w:val="17"/>
          <w:szCs w:val="17"/>
          <w:color w:val="auto"/>
        </w:rPr>
        <w:t>As a nationwide provider of risk and information solutions, we collect, store and transmit files on millions of consumers. These files may contain non-public personal information and other information, and we have implemented technical and physical security policies, procedures and systems we believe are reasonably designed to protect this information from unauthorized access. However, due to the sensitive nature of the information we collect, store and transmit, it is not unusual for efforts to occur (coordinated or otherwise) by unauthorized persons to attempt to obtain access to our systems or data, or to inhibit our ability to deliver products or services to a customer.</w:t>
      </w:r>
    </w:p>
    <w:p>
      <w:pPr>
        <w:spacing w:after="0" w:line="175"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We may not be able to immediately address the consequences of a cybersecurity incident because a successful breach of our computer systems, software, networks or other technology assets could occur and persist for an extended period of time before being detected due to, among other things:</w:t>
      </w:r>
    </w:p>
    <w:p>
      <w:pPr>
        <w:spacing w:after="0" w:line="1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breadth and complexity of our operations and the high volume of transactions that we process;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large number of customers, counterparties and third-party service providers with which we do business;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proliferation and increasing sophistication of cyberattacks; and</w:t>
      </w:r>
    </w:p>
    <w:p>
      <w:pPr>
        <w:spacing w:after="0" w:line="116" w:lineRule="exact"/>
        <w:rPr>
          <w:rFonts w:ascii="Arial" w:cs="Arial" w:eastAsia="Arial" w:hAnsi="Arial"/>
          <w:sz w:val="18"/>
          <w:szCs w:val="18"/>
          <w:color w:val="auto"/>
        </w:rPr>
      </w:pPr>
    </w:p>
    <w:p>
      <w:pPr>
        <w:ind w:left="380" w:right="4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that a third party, after establishing a foothold on an internal network without being detected, might obtain access to other networks and systems.</w:t>
      </w:r>
    </w:p>
    <w:p>
      <w:pPr>
        <w:spacing w:after="0" w:line="16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w:t>
      </w:r>
    </w:p>
    <w:p>
      <w:pPr>
        <w:spacing w:after="0" w:line="1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Due to concerns about data security and integrity, a growing number of legislative and regulatory bodies have adopted consumer notification and other requirements in the event that consumer information is accessed by unauthorized persons and additional regulations regarding the use, access, accuracy and security of such data are possible. In the United States, federal and state laws provide for 50 disparate data breach notification regimes, all of which we may be subject to. Complying with such numerous and complex regulations in the event of unauthorized access would be expensive and difficult, and failure to comply with these regulations could subject us to regulatory scrutiny and additional liability.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from both start-up and established companies that may have significant advantages over us and our products.</w:t>
      </w:r>
    </w:p>
    <w:p>
      <w:pPr>
        <w:spacing w:after="0" w:line="24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market for our products and services is intensely competitive. There are numerous companies competing with us in various segments of the big data and analytics sector, and their products and services may have advantages over our products and services in areas such as conformity to existing and emerging industry standards, performance, price, ease of use, scalability, reliability, flexibility, product features and technical support.</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principal competitors in the big data and analytics sector include Palantir, RELX Group (LexisNexis), TransUnion, and Thomson Reuters. Current and potential competitors may have one or more of the following significant advantages:</w:t>
      </w:r>
    </w:p>
    <w:p>
      <w:pPr>
        <w:spacing w:after="0" w:line="6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financial, technical and marketing resources;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better name recognition;</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more comprehensive solutions;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better or more extensive cooperative relationships; and</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larger customer base.</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cannot assure you that we will be able to compete successfully with our existing or new competitors. Some of our competitors may have, in relation to us, one or more of the following: longer operating histories, longer-standing relationships with end-user customers and greater customer service, public relations and other resources. As a result, these competitors may be able to more quickly develop or adapt to new or emerging technologies and changes in customer requirements, or devote greater resources to the development, promotion and sale of their products and services. Additionally, it is likely that new competitors or alliances among existing competitors could emerge and rapidly acquire significant market share.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There may be further consolidation in our end-customer markets, which may adversely affect our revenue.</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There has been, and we expect there will continue to be, merger, acquisition and consolidation activity in our customer markets. If our customers merge with, or are acquired by, other entities that are not our customers, or that use fewer of our services, our revenue may be adversely impacted. In addition, industry consolidation could affect the base of recurring transaction-based revenue if consolidated customers combine their operations under one contract, since many of our contracts provide for volume discounts. In addition, our existing customers might leave certain geographic markets, which would no longer require them to purchase certain products from us and, consequently, we would generate less revenue than we currently expect.</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To the extent the availability of free or relatively inexpensive consumer and/or business information increases, the demand for some of our services may decrease.</w:t>
      </w:r>
    </w:p>
    <w:p>
      <w:pPr>
        <w:spacing w:after="0" w:line="16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Public and commercial sources of free or relatively inexpensive consumer and business information have become increasingly available and this trend is expected to continue. Public and commercial sources of free or relatively inexpensive consumer and/or business information may reduce demand for our services. To the extent that our customers choose not to obtain services from us and instead rely on information obtained at little or no cost from these public and commercial sources, our business, financial condition and results of operations may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newer products do not achieve market acceptance, revenue growth may suffer.</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products have been in the market place for a limited period of time and may have longer sales cycles than competitive products. Accordingly, we may not achieve the meaningful revenue growth needed to sustain operations. We cannot provide any assurances that sales of our newer products will continue to grow or generate sufficient revenues to sustain our business. If we are unable to recognize revenues due to longer sales cycles or other problems, our results of operations could be adversely affected.</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have not yet received broad market acceptance for our newer products. We cannot assure you that our present or future products will achieve market acceptance on a sustained basis. In order to achieve market acceptance and achieve future revenue growth, we must introduce complementary products, incorporate new technologies into existing product lines, and design and develop and successfully commercialize higher performance products in a timely manner. We cannot assure you that we will be able to offer new or complementary products that gain market acceptance quickly enough to avoid decreased revenues during current or future product introductions or transitions.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products and services can have long sales and implementation cycles, which may result in substantial expenses before realizing any associated revenue.</w:t>
      </w:r>
    </w:p>
    <w:p>
      <w:pPr>
        <w:spacing w:after="0" w:line="16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sale and implementation of our products and services to large companies and government entities typically involves a lengthy education process and a significant technical evaluation and commitment of capital and other resources. This process is also subject to the risk of delays associated with customers’ internal budgeting and other procedures for approving capital expenditures, and testing and accepting new technologies that affect key operations. As a result, sales and implementation cycles for our products and services can be lengthy, and we may expend significant time and resources before we receive any revenues from a customer or potential customer. Our quarterly and annual operating results could be adversely affected if orders forecast for a specific customer and for a particular period are not realized.</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maintain and improve our systems, our technology, and our interfaces with data sources and customers, demand for our services could be adversely affected.</w:t>
      </w:r>
    </w:p>
    <w:p>
      <w:pPr>
        <w:spacing w:after="0" w:line="16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our industry, there are continuous improvements in computer hardware, network operating systems, programming tools, programming languages, operating systems, data matching, data filtering and other database technologies and the use of the internet. These improvements, as well as changes in customer preferences or regulatory requirements, may require changes in the technology used to gather and process our data and deliver our services. Our future success will depend, in part, upon our ability to:</w:t>
      </w:r>
    </w:p>
    <w:p>
      <w:pPr>
        <w:spacing w:after="0" w:line="77"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internally develop and implement new and competitive technologies;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respond to changing customer needs and regulatory requirements, including being able to bring our new products to the market quickly; and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7" w:name="page18"/>
    <w:bookmarkEnd w:id="17"/>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transition customers and data sources successfully to new interfaces or other technologies.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cannot provide assurance that we will successfully implement new technologies, cause customers or data suppliers to implement compatible technologies or adapt our technology to evolving customer, regulatory and competitive requirements. If we fail to respond, or fail to cause our customers or data suppliers to respond, to changes in technology, regulatory requirements or customer preferences, the demand for our services, the delivery of our services or our market reputation could be adversely affected. Additionally, our failure to implement important updates could affect our ability to successfully meet the timeline for us to generate cost savings resulting from our investments in improved technology. Failure to achieve any of these objectives would impede our ability to deliver strong financial results.</w:t>
      </w:r>
    </w:p>
    <w:p>
      <w:pPr>
        <w:spacing w:after="0" w:line="1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outside service providers and key vendors are not able to or do not fulfill their service obligations, our operations could be disrupted and our operating results could be harmed.</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depend on a number of service providers and key vendors such as telecommunication companies, software engineers, data processors, and software and hardware vendors, who are critical to our operations. These service providers and vendors are involved with our service offerings, communications and networking equipment, computer hardware and software and related support and maintenance. Although we have implemented service-level agreements and have established monitoring controls, our operations could be disrupted if we do not successfully manage relationships with our service providers, if they do not perform or are unable to perform agreed-upon service levels, or if they are unwilling to make their services available to us at reasonable prices. If our service providers and vendors do not perform their service obligations, it could adversely affect our reputation,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big data and analytics sector may limit market acceptance of our products and services.</w:t>
      </w:r>
    </w:p>
    <w:p>
      <w:pPr>
        <w:spacing w:after="0" w:line="22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Several of our competitors have acquired companies with complementary technologies in the past. We expect consolidation in the industries we serve to continue in the future. These acquisitions may permit our competitors to accelerate the development and commercialization of broader product lines and more comprehensive solutions than we currently offer. Acquisitions of vendors or other companies with whom we have a strategic relationship by our competitors may limit our access to commercially significant technologies. Further, business combinations are creating companies with larger market shares, customer bases, sales forces, product offerings and technology and marketing expertise, which may make it more difficult for us to compete.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expenses defending the Company against claims of infringement.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are numerous patents held by many companies relating to the design and manufacture of data and analytics solutions. Third parties may claim that our products and/or services infringe on their intellectual property rights. Any claim, with or without merit, could consume management’s time, result in costly litigation, cause delays in sales or implementation of products or services or require entry into royalty or licensing agreements. In this respect, patent and other intellectual property litigation is becoming increasingly more expensive in terms of legal fees, expert fees and other expenses. Royalty and licensing agreements, if required and available, may be on terms unacceptable to us or detrimental to our business. Moreover, a successful claim of product infringement against us or our failure or inability to license the infringed or similar technology on commercially reasonable terms could seriously harm our business.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8" w:name="page19"/>
    <w:bookmarkEnd w:id="18"/>
    <w:p>
      <w:pPr>
        <w:ind w:right="160"/>
        <w:spacing w:after="0" w:line="311" w:lineRule="auto"/>
        <w:rPr>
          <w:sz w:val="20"/>
          <w:szCs w:val="20"/>
          <w:color w:val="auto"/>
        </w:rPr>
      </w:pPr>
      <w:r>
        <w:rPr>
          <w:rFonts w:ascii="Arial" w:cs="Arial" w:eastAsia="Arial" w:hAnsi="Arial"/>
          <w:sz w:val="16"/>
          <w:szCs w:val="16"/>
          <w:b w:val="1"/>
          <w:bCs w:val="1"/>
          <w:i w:val="1"/>
          <w:iCs w:val="1"/>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4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Unless we consent in writing to the selection of an alternative forum, the sole and exclusive forum for (i) any derivative action or proceeding brought against or on behalf of the Company, (ii) any action asserting a claim of breach of a duty owed by any current or former director, officer, other employee or stockholder of the Company to the Company or the Company’s stockholders, (iii) any action asserting a claim arising pursuant to any provision of the Delaware General Corporation Law, (iv) any action as to which the Delaware General Corporation Law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Although we believe the exclusive forum provision benefits us by providing increased consistency in the application of Delaware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negatively impacted by the recent outbreak of coronavirus (COVID-19).</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light of the uncertain and rapidly evolving situation relating to the spread of the coronavirus (COVID-19) in the United States, this public health concern, if prolonged, could negatively impact our business. The extent to which the coronavirus (COVID-19) may impact our business will depend on future developments, which are highly uncertain and cannot be predicted at this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in response to various factors, some of which are beyond our control. These factors could include:</w:t>
      </w:r>
    </w:p>
    <w:p>
      <w:pPr>
        <w:spacing w:after="0" w:line="6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estimate the timing of the accomplishment of various commercial and other product development goals or milestones.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9" w:name="page20"/>
    <w:bookmarkEnd w:id="19"/>
    <w:p>
      <w:pPr>
        <w:ind w:right="200"/>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in connection with acquisitions or pursuant to our stock incentive plans could have a dilutive effect on your investment.</w:t>
      </w:r>
    </w:p>
    <w:p>
      <w:pPr>
        <w:spacing w:after="0" w:line="16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the Spin-off and through December 31, 2019, we issued an aggregate of 710,299 shares of our common stock in connection with vesting of awards made under the Red Violet, Inc. 2018 Stock Incentive Plan (the “2018 Plan”). Also, as of December 31, 2019, 12,250 shares underlying awards made under the 2018 Plan have vested but have not been delivered, and an additional 2,237,827 shares underlying awards made under the 2018 Plan are scheduled to vest and be delivered through 2022. Pursuant to the 2018 Plan, our board of directors may grant stock options, restricted stock units (“RSUs”), or other equity awards to our directors and employees. Future acquisitions may involve the issuance of our common stock as payment, in part or in full, for the business or assets acquired. The benefits derived by us from an acquisition might not exceed the dilutive effect of the shares issued as part of the acquisition. Pursuant to the potential plans, our board of directors may grant stock options, RSUs, or other equity awards to our directors and employees. When these awards vest or are exercised, the issuance of shares of common stock underlying these awards will have a dilutive effect on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of our stock ownership may limit individual stockholder ability to influence corporate matters.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of December 31, 2019, officers and directors of the Company owned 6% of our common stock (13% on a fully diluted basis). In addition, two other significant stockholders of the Company owned 39% of our common stock (35% on a fully diluted basis). As a result, these stockholders may be in a position to exert significant influence over all matters requiring stockholder approval, including the election of directors and determination of significant corporate actions. The interests of these stockholders may not always coincide with the interests of other stockholders, and these stockholders may act in a manner that advances their interests and not necessarily those of other stockholders, and might affect the prevailing market price for our securities.</w:t>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available to emerging growth companies will make our shares of common stock less attractive to investors.</w:t>
      </w:r>
    </w:p>
    <w:p>
      <w:pPr>
        <w:spacing w:after="0" w:line="16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1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we expect that we may need additional capital in the future, we cannot be certain that it will be available to us on acceptable terms when required, or at all. Disruptions in the global equity and credit markets may limit our ability to access capital. Since the Spin-off and through December 31, 2019, we issued an aggregate of 681,000 shares of our common stock in connection with a registered direct offering. To the extent that we raise additional funds by issuing equity securities, our shareholders would experience dilution, which may be significant and could cause the market price of our common stock to decline significantly. Any debt financing, if available, may restrict our operations. If we are unable to raise additional capital when required or on acceptable terms, we may have to significantly delay, scale back or discontinue certain operations. Any of these events could significantly harm our business and prospects and could cause our stock price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20" w:name="page21"/>
    <w:bookmarkEnd w:id="20"/>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headquarters are located at 2650 North Military Trail, Suite 300, Boca Raton, Florida 33431, where we lease 21,020 rentable square feet of office space in accordance with an 89-month lease agreement as amended and effective in January 2017. Our Seattle office is located at 1111 Third Avenue, Seattle, Washington 98101, where we lease 6,003 rentable square feet of office space in accordance with a 90-month lease agreement entered into in April 2017.</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such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to the foregoing, 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common stock is listed on The NASDAQ Capital Market (“NASDAQ”) under the symbol “RDVT,” and began regular-way trading on March 27, 2018. We paid no dividends or made any other distributions in respect of our common stock since March 27, 2018, and we have no plans to pay any dividends or make any other distributions in the future.</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9, 2020, there were 11,590,015 shares of our common stock issued and outstanding. As of March 9, 2020, there were 40 record holders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include information otherwise required by this item.</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2" w:name="page23"/>
    <w:bookmarkEnd w:id="22"/>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You should read the following discussion in conjunction with our consolidated financial statements and related notes included in this Annual Report on Form 10-K (“2019 Form 10-K”). This 2019 Form 10-K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2019 Form 10-K.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Red Violet, Inc. (“we,” “us,” “our,” “red violet,” or the “Company”), a Delaware corporation, is dedicated to making the world a safer place and reducing the cost of doing business. We specialize in data fusion and analytics, providing cloud-based, mission-critical solutions to enterprises with use cases including fraud detection, risk mitigation, due diligence and marketing. Through our intelligent platform, CORE</w:t>
      </w:r>
      <w:r>
        <w:rPr>
          <w:rFonts w:ascii="Arial" w:cs="Arial" w:eastAsia="Arial" w:hAnsi="Arial"/>
          <w:sz w:val="13"/>
          <w:szCs w:val="13"/>
          <w:color w:val="auto"/>
        </w:rPr>
        <w:t>TM</w:t>
      </w:r>
      <w:r>
        <w:rPr>
          <w:rFonts w:ascii="Arial" w:cs="Arial" w:eastAsia="Arial" w:hAnsi="Arial"/>
          <w:sz w:val="16"/>
          <w:szCs w:val="16"/>
          <w:color w:val="auto"/>
        </w:rPr>
        <w:t>, we uncover the relevance of disparate data points utilizing our analytical capabilities to provide real-time and insightful views of people, businesses, assets and their interrelationships.</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Leveraging proprietary technology and applying machine learning and advanced analytical and decision-making capabilities, CORE provides compelling solutions to public and private sector organizations through intuitive, easy-to-use analytical applications. We empower clients across markets and industries to better execute all aspects of their business, from managing risk, recovering debt, identifying fraud and abuse, and ensuring legislative compliance, to identifying and acquiring customers. With a massive data repository of approximately nine petabytes of public-record, proprietary and publicly-available data, as well as self-reported consumer information and behavioral signals, we transform data into intelligence for our customers to enable better data-driven decisioning.</w:t>
      </w:r>
    </w:p>
    <w:p>
      <w:pPr>
        <w:spacing w:after="0" w:line="19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presently market our solutions primarily through two brands, idiCORE™, our flagship product, and FOREWARN</w:t>
      </w:r>
      <w:r>
        <w:rPr>
          <w:rFonts w:ascii="Arial" w:cs="Arial" w:eastAsia="Arial" w:hAnsi="Arial"/>
          <w:sz w:val="13"/>
          <w:szCs w:val="13"/>
          <w:color w:val="auto"/>
        </w:rPr>
        <w:t>®</w:t>
      </w:r>
      <w:r>
        <w:rPr>
          <w:rFonts w:ascii="Arial" w:cs="Arial" w:eastAsia="Arial" w:hAnsi="Arial"/>
          <w:sz w:val="16"/>
          <w:szCs w:val="16"/>
          <w:color w:val="auto"/>
        </w:rPr>
        <w:t>. idiCORE is a next-generation, investigative solution used to address a variety of organizational challenges including due diligence, risk mitigation, identity authentication and legislative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2019 and 2018, idiCORE had 5,064 and 3,627 billable customers and FOREWARN had 30,577 and 11,397 users, respectively.</w:t>
      </w:r>
    </w:p>
    <w:p>
      <w:pPr>
        <w:spacing w:after="0" w:line="16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65% and 58% of total revenue for the years ended December 31, 2019 and 2018, respectively.</w:t>
      </w:r>
    </w:p>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Our sales model generally begins with a free trial followed by an initial purchase on a transactional basis or minimum-committed monthly spend. As organizations derive benefits from our solutions, we are able to “land and expand” within larger organizations as additional use cases expand across departments, divisions and geographic locations and customers become increasingly reliant on our solutions in their daily workflow.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23" w:name="page24"/>
    <w:bookmarkEnd w:id="23"/>
    <w:p>
      <w:pPr>
        <w:ind w:right="80"/>
        <w:spacing w:after="0" w:line="256" w:lineRule="auto"/>
        <w:rPr>
          <w:sz w:val="20"/>
          <w:szCs w:val="20"/>
          <w:color w:val="auto"/>
        </w:rPr>
      </w:pPr>
      <w:r>
        <w:rPr>
          <w:rFonts w:ascii="Arial" w:cs="Arial" w:eastAsia="Arial" w:hAnsi="Arial"/>
          <w:sz w:val="18"/>
          <w:szCs w:val="18"/>
          <w:color w:val="auto"/>
        </w:rPr>
        <w:t>On March 26, 2018, Fluent, Inc. (“Fluent”) spun off its risk management business by way of a distribution of all of the shares of common stock of its then wholly-owned subsidiary, red violet, to its stockholders as of the record date and certain warrant holders (the “Spin-off”). Upon the Spin-off, red violet owned Fluent subsidiaries that previously operated Fluent’s risk management business, and red violet became an independent public company. For periods prior to the Spin-off, these financial statements were prepared on a consolidated and combined basis because certain of the entities were under common control.</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are building out our sales organization to drive current products and to introduce new products into the market place. We will incur increased compensation expenses relating to our sales and marketing, executive and administrative, product development and infrastructure-related personnel as we increase headcount in the next 12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affected by the following factors that impact the big data and analytics sector in the United States:</w:t>
      </w:r>
    </w:p>
    <w:p>
      <w:pPr>
        <w:spacing w:after="0" w:line="117" w:lineRule="exact"/>
        <w:rPr>
          <w:sz w:val="20"/>
          <w:szCs w:val="20"/>
          <w:color w:val="auto"/>
        </w:rPr>
      </w:pPr>
    </w:p>
    <w:p>
      <w:pPr>
        <w:ind w:left="380" w:hanging="318"/>
        <w:spacing w:after="0" w:line="256"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macroeconomic conditions, including the availability of affordable credit and capital, interest rates, inflation, employment levels and consumer confidence, influence our revenue. Macroeconomic conditions also have a direct impact on overall technology, marketing and advertising expenditures in the U.S. As marketing budgets are often more discretionary in nature, they are easier to reduce in the short term as compared to other corporate expenses. Future widespread economic slowdowns in any of the industries or markets our clients serve could reduce the technology and marketing expenditures of our clients and prospective customers.</w:t>
      </w:r>
    </w:p>
    <w:p>
      <w:pPr>
        <w:spacing w:after="0" w:line="82" w:lineRule="exact"/>
        <w:rPr>
          <w:rFonts w:ascii="Arial" w:cs="Arial" w:eastAsia="Arial" w:hAnsi="Arial"/>
          <w:sz w:val="18"/>
          <w:szCs w:val="18"/>
          <w:color w:val="auto"/>
        </w:rPr>
      </w:pPr>
    </w:p>
    <w:p>
      <w:pPr>
        <w:ind w:left="380" w:right="60" w:hanging="318"/>
        <w:spacing w:after="0" w:line="296"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revenue is also significantly influenced by industry trends, including the demand for business analytics services in the industries we serve. Companies are increasingly relying on business analytics and big-data technologies to help process data in a cost-efficient manner. As customers have gained the ability to rapidly aggregate data generated by their own activities, they are increasingly expecting access to real-time data and analytics from their service providers as well as solutions that fully integrate into their workflows. The increasing number and complexity of regulations centered around data and provision of information services makes operations for businesses in the big data and analytic sector more challenging.</w:t>
      </w:r>
    </w:p>
    <w:p>
      <w:pPr>
        <w:spacing w:after="0" w:line="52" w:lineRule="exact"/>
        <w:rPr>
          <w:rFonts w:ascii="Arial" w:cs="Arial" w:eastAsia="Arial" w:hAnsi="Arial"/>
          <w:sz w:val="16"/>
          <w:szCs w:val="16"/>
          <w:color w:val="auto"/>
        </w:rPr>
      </w:pPr>
    </w:p>
    <w:p>
      <w:pPr>
        <w:ind w:left="380" w:right="40" w:hanging="318"/>
        <w:spacing w:after="0" w:line="296"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enactment of new or amended legislation or industry regulations pertaining to consumer or private sector privacy issues could have a material adverse impact on information and marketing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clients’ requirements and our profitability and cash flow targets.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Specific Trends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also directly affected by company-specific factors, including the following:</w:t>
      </w:r>
    </w:p>
    <w:p>
      <w:pPr>
        <w:spacing w:after="0" w:line="117" w:lineRule="exact"/>
        <w:rPr>
          <w:sz w:val="20"/>
          <w:szCs w:val="20"/>
          <w:color w:val="auto"/>
        </w:rPr>
      </w:pPr>
    </w:p>
    <w:p>
      <w:pPr>
        <w:ind w:left="380" w:right="140" w:hanging="372"/>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74" w:lineRule="exact"/>
        <w:rPr>
          <w:rFonts w:ascii="Arial" w:cs="Arial" w:eastAsia="Arial" w:hAnsi="Arial"/>
          <w:sz w:val="18"/>
          <w:szCs w:val="18"/>
          <w:color w:val="auto"/>
        </w:rPr>
      </w:pPr>
    </w:p>
    <w:p>
      <w:pPr>
        <w:ind w:left="380" w:right="20" w:hanging="372"/>
        <w:spacing w:after="0" w:line="255"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companies in the big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big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the allowance for doubtful accounts, useful lives of property and equipment and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the following critical accounting policies govern our more significant judgments and estimates used in the preparation of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0"/>
        <w:spacing w:after="0" w:line="218" w:lineRule="exact"/>
        <w:rPr>
          <w:sz w:val="20"/>
          <w:szCs w:val="20"/>
          <w:color w:val="auto"/>
        </w:rPr>
      </w:pPr>
      <w:r>
        <w:rPr>
          <w:rFonts w:ascii="Arial" w:cs="Arial" w:eastAsia="Arial" w:hAnsi="Arial"/>
          <w:sz w:val="16"/>
          <w:szCs w:val="16"/>
          <w:color w:val="auto"/>
        </w:rPr>
        <w:t xml:space="preserve">On January 1, 2018, 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using the modi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retrospective method applied to all contracts that were not completed contracts at the date of initial application. There was no impact on the opening accumulated de</w:t>
      </w:r>
      <w:r>
        <w:rPr>
          <w:rFonts w:ascii="Arial Unicode MS" w:cs="Arial Unicode MS" w:eastAsia="Arial Unicode MS" w:hAnsi="Arial Unicode MS"/>
          <w:sz w:val="16"/>
          <w:szCs w:val="16"/>
          <w:color w:val="auto"/>
        </w:rPr>
        <w:t></w:t>
      </w:r>
      <w:r>
        <w:rPr>
          <w:rFonts w:ascii="Arial" w:cs="Arial" w:eastAsia="Arial" w:hAnsi="Arial"/>
          <w:sz w:val="16"/>
          <w:szCs w:val="16"/>
          <w:color w:val="auto"/>
        </w:rPr>
        <w:t>cit as of January 1, 2018 due to the adoption of Topic 606. Revenue is recognized when control of goods or services is transferred to the Company’s customers, in an amount that re</w:t>
      </w:r>
      <w:r>
        <w:rPr>
          <w:rFonts w:ascii="Arial Unicode MS" w:cs="Arial Unicode MS" w:eastAsia="Arial Unicode MS" w:hAnsi="Arial Unicode MS"/>
          <w:sz w:val="16"/>
          <w:szCs w:val="16"/>
          <w:color w:val="auto"/>
        </w:rPr>
        <w:t></w:t>
      </w:r>
      <w:r>
        <w:rPr>
          <w:rFonts w:ascii="Arial" w:cs="Arial" w:eastAsia="Arial" w:hAnsi="Arial"/>
          <w:sz w:val="16"/>
          <w:szCs w:val="16"/>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20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The Company’s revenue is recorded net of applicable sales taxes billed to customers.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8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56"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For the years ended December 31, 2019 and 2018, 65% and 58% of total revenue was attributable to customers with pricing contracts, respectively, versus 35% and 42% attributable to transactional customers, respectively. Pricing contracts are generally annual contracts or longer, with auto renewal.</w:t>
      </w:r>
    </w:p>
    <w:p>
      <w:pPr>
        <w:spacing w:after="0" w:line="124"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If a customer pays consideration before the Company transfers services to the customer, those amounts are classi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as deferred revenue. As of December 31, 2019 and 2018, the balance of deferred revenue was $128 and $26, respectively, all of which is expected to be realized in the next 12 months. In relation to the deferred revenue balance as of December 31, 2018, $26 was recognized into revenue during the year ended December 31,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ind w:right="140"/>
        <w:spacing w:after="0" w:line="256" w:lineRule="auto"/>
        <w:rPr>
          <w:sz w:val="20"/>
          <w:szCs w:val="20"/>
          <w:color w:val="auto"/>
        </w:rPr>
      </w:pPr>
      <w:r>
        <w:rPr>
          <w:rFonts w:ascii="Arial" w:cs="Arial" w:eastAsia="Arial" w:hAnsi="Arial"/>
          <w:sz w:val="18"/>
          <w:szCs w:val="18"/>
          <w:color w:val="auto"/>
        </w:rPr>
        <w:t>As of December 31, 2019, $2,929 of revenue is expected to be recognized in the future for performance obligations that are unsatisfied or partially unsatisfied, related to pricing contracts that have a term of more than 12 months. $1,820 of revenue will be recognized in 2020, $1,106 in 2021, and $3 in 2022.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9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69" w:lineRule="exact"/>
        <w:rPr>
          <w:sz w:val="20"/>
          <w:szCs w:val="20"/>
          <w:color w:val="auto"/>
        </w:rPr>
      </w:pPr>
    </w:p>
    <w:p>
      <w:pPr>
        <w:ind w:right="180"/>
        <w:spacing w:after="0" w:line="221"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doubtful accounts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maintain allowance for doubtful accounts for estimated losses resulting from the inability of our customers to make required payments. Management determines whether an allowance needs to be provided for an amount due from a customer depending on the aging of the individual receivable balance, recent payment history, contractual terms and other qualitative factors such as status of business relationship with the customer. Historically, our estimates for doubtful accounts have not differed materially from actual results. The amount of the allowance for doubtful accounts was $0.04 million and $0.1 million as of December 31, 2019 and 2018,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which requires the use of the asset and liability method of accounting for income taxes. Under the asset and liability method, deferred tax assets and liabilities are computed based upon the difference between the financial statement and income tax basis of assets and liabilities using the enacted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As of December 31, 2019 and 2018, we had a valuation allowance of $5.1 million and $2.3 million, respectively. Future changes in such valuation allowance are included in the provision for deferred income taxes in the period of change.</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2"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85"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 xml:space="preserve">In accordance with ASC 350-40, </w:t>
      </w:r>
      <w:r>
        <w:rPr>
          <w:rFonts w:ascii="Arial" w:cs="Arial" w:eastAsia="Arial" w:hAnsi="Arial"/>
          <w:sz w:val="18"/>
          <w:szCs w:val="18"/>
          <w:i w:val="1"/>
          <w:iCs w:val="1"/>
          <w:color w:val="auto"/>
        </w:rPr>
        <w:t>“Software — internal use software,”</w:t>
      </w:r>
      <w:r>
        <w:rPr>
          <w:rFonts w:ascii="Arial" w:cs="Arial" w:eastAsia="Arial" w:hAnsi="Arial"/>
          <w:sz w:val="18"/>
          <w:szCs w:val="18"/>
          <w:color w:val="auto"/>
        </w:rPr>
        <w:t xml:space="preserve"> we capitalize eligible costs, including salaries and staff benefits, share-based compensation,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October 1, 2019 and 2018, we performed qualitative assessments on the reporting unit and, based on this assessment, no events have occurred to indicate that it is more likely than not that the fair value of the reporting unit is less than its carry amount. We concluded that goodwill was not impaired as of December 31, 2019 and 2018.</w:t>
      </w:r>
    </w:p>
    <w:p>
      <w:pPr>
        <w:spacing w:after="0" w:line="1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purposes of reviewing impairment and the recoverability of goodwill, we must make various assumptions regarding estimated future cash flows and other factors in determining the fair values of the reporting unit, including market multiples, discount rates, etc.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concluded there was no impairment as of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 xml:space="preserve">We account for share-based compensation to employees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Under ASC 718, we measure the cost of employee services received in exchange for an award of equity instruments based on the grant-date fair value of the award and, for those awards subject only to service condition, recognizes the costs on a straight-line basis over the period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27" w:name="page28"/>
    <w:bookmarkEnd w:id="27"/>
    <w:p>
      <w:pPr>
        <w:ind w:right="200"/>
        <w:spacing w:after="0" w:line="259" w:lineRule="auto"/>
        <w:rPr>
          <w:sz w:val="20"/>
          <w:szCs w:val="20"/>
          <w:color w:val="auto"/>
        </w:rPr>
      </w:pPr>
      <w:r>
        <w:rPr>
          <w:rFonts w:ascii="Arial" w:cs="Arial" w:eastAsia="Arial" w:hAnsi="Arial"/>
          <w:sz w:val="18"/>
          <w:szCs w:val="18"/>
          <w:color w:val="auto"/>
        </w:rPr>
        <w:t>The fair value of restricted stock units (“RSUs”) is determined based on the number of shares granted and the quoted price of our common stock. The estimated number of stock awards that will ultimately vest requires judgment, and to the extent actual results or updated estimates differ from our current estimates, such amount will be recorded as a cumulative adjustment in the period estimates are revised. Changes in our estimates and assumptions may cause us to realize material changes in share-based compensation expense in the future.</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issued share-based awards with performance-based vesting criteria. Achievement of the milestones must be probable before we begin recording share-based compensation expense. When the performance-based vesting criteria is considered probable, we begin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2019, we have deemed the achievement of the performance-based criteria to be probable for all share-based awards with performance-based vesting criteria.</w:t>
      </w:r>
    </w:p>
    <w:p>
      <w:pPr>
        <w:spacing w:after="0" w:line="19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apply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which generally expands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to include share-based payment transactions for acquiring goods and services from nonemployees and supersedes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previously included the accounting for nonemployee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See Item 8 of Part II, “Financial Statements and Supplementary Data – Note 2. Summary of significant accounting policies - </w:t>
      </w:r>
      <w:r>
        <w:rPr>
          <w:rFonts w:ascii="Arial" w:cs="Arial" w:eastAsia="Arial" w:hAnsi="Arial"/>
          <w:sz w:val="18"/>
          <w:szCs w:val="18"/>
          <w:i w:val="1"/>
          <w:iCs w:val="1"/>
          <w:color w:val="auto"/>
        </w:rPr>
        <w:t>(s) Recently issued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2019 as compared to the three months ended December 31, 2018:</w:t>
      </w:r>
    </w:p>
    <w:p>
      <w:pPr>
        <w:spacing w:after="0" w:line="117"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revenue increased 92% to $9.1 million.</w:t>
      </w:r>
    </w:p>
    <w:p>
      <w:pPr>
        <w:spacing w:after="0" w:line="116" w:lineRule="exact"/>
        <w:rPr>
          <w:rFonts w:ascii="Arial" w:cs="Arial" w:eastAsia="Arial" w:hAnsi="Arial"/>
          <w:sz w:val="18"/>
          <w:szCs w:val="18"/>
          <w:color w:val="auto"/>
        </w:rPr>
      </w:pPr>
    </w:p>
    <w:p>
      <w:pPr>
        <w:ind w:left="380" w:right="10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loss was $4.9 million (including share-based compensation expense of $4.6 million, which includes a one-time $2.3 million) as compared to $2.0 million (including share-based compensation expense of $0.3 million).</w:t>
      </w:r>
    </w:p>
    <w:p>
      <w:pPr>
        <w:spacing w:after="0" w:line="61"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was $0.8 million as compared to a negative $1.0 million.</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profit increased 155% to $4.9 million. Gross margin increased to 54% from 41%.</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gross profit increased 134% to $5.6 million. Adjusted gross margin increased to 62% from 51%.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as compared to the year ended December 31, 2018:</w:t>
      </w:r>
    </w:p>
    <w:p>
      <w:pPr>
        <w:spacing w:after="0" w:line="117"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revenue increased 86% to $30.3 million.</w:t>
      </w:r>
    </w:p>
    <w:p>
      <w:pPr>
        <w:spacing w:after="0" w:line="116" w:lineRule="exact"/>
        <w:rPr>
          <w:rFonts w:ascii="Arial" w:cs="Arial" w:eastAsia="Arial" w:hAnsi="Arial"/>
          <w:sz w:val="18"/>
          <w:szCs w:val="18"/>
          <w:color w:val="auto"/>
        </w:rPr>
      </w:pPr>
    </w:p>
    <w:p>
      <w:pPr>
        <w:ind w:left="380" w:right="680" w:hanging="372"/>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loss was $11.1 million (including share-based compensation expense of $9.9 million) as compared to $6.9 million (including share-based compensation expense of $0.7 million).</w:t>
      </w:r>
    </w:p>
    <w:p>
      <w:pPr>
        <w:spacing w:after="0" w:line="61"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was $1.9 million as compared to a negative $4.3 million.</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profit increased 159% to $15.4 million. Gross margin increased to 51% from 36%.</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gross profit increased 135% to $18.0 million. Adjusted gross margin increased to 60% from 47%.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income, net, depreciation and amortization, share-based compensation expense, litigation costs, net, sales and use tax expense, insurance proceeds in relation to settled litigation, transition service income,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5"/>
              </w:rPr>
              <w:t>Three Months Ended December 31,</w:t>
            </w:r>
          </w:p>
        </w:tc>
        <w:tc>
          <w:tcPr>
            <w:tcW w:w="280" w:type="dxa"/>
            <w:vAlign w:val="bottom"/>
          </w:tcPr>
          <w:p>
            <w:pPr>
              <w:spacing w:after="0"/>
              <w:rPr>
                <w:sz w:val="14"/>
                <w:szCs w:val="14"/>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500" w:type="dxa"/>
            <w:vAlign w:val="bottom"/>
            <w:tcBorders>
              <w:bottom w:val="single" w:sz="8" w:color="CFF0FC"/>
            </w:tcBorders>
            <w:vMerge w:val="continue"/>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Interest income, net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Litigation costs, net</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Sales and use tax expense</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Insurance proceeds in relation to settled litigation</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Transition service income</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9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9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6"/>
              </w:rPr>
              <w:t>Three Months Ended December 31,</w:t>
            </w:r>
          </w:p>
        </w:tc>
        <w:tc>
          <w:tcPr>
            <w:tcW w:w="280" w:type="dxa"/>
            <w:vAlign w:val="bottom"/>
          </w:tcPr>
          <w:p>
            <w:pPr>
              <w:spacing w:after="0"/>
              <w:rPr>
                <w:sz w:val="16"/>
                <w:szCs w:val="16"/>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30,286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12,257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15,392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3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9" w:name="page30"/>
    <w:bookmarkEnd w:id="29"/>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color w:val="auto"/>
        </w:rPr>
        <w:t>. Revenue increased $14.0 million or 86% to $30.3 million for the year ended December 31, 2019 from $16.3 million for the year ended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2018. This increase was driven by strong growth in volume from onboarding of new customers and usage from existing customers. Revenue from new customers increased $1.8 million or 52%, base revenue from existing customers increased $9.9 million or 94%, and growth revenue from existing customers increased $2.3 million or 100% for the year ended December 31, 2019 compared to the year ended December 31, 2018, respectively. Our idiCORE billable customer base grew from 3,627 customers as of December 31, 2018 to 5,064 customers as of December 31, 2019.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8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b w:val="1"/>
          <w:bCs w:val="1"/>
          <w:i w:val="1"/>
          <w:iCs w:val="1"/>
          <w:color w:val="auto"/>
        </w:rPr>
        <w:t>Cost of revenue (exclusive of depreciation and amortization)</w:t>
      </w:r>
      <w:r>
        <w:rPr>
          <w:rFonts w:ascii="Arial" w:cs="Arial" w:eastAsia="Arial" w:hAnsi="Arial"/>
          <w:sz w:val="18"/>
          <w:szCs w:val="18"/>
          <w:color w:val="auto"/>
        </w:rPr>
        <w:t>. Cost of revenue increased $3.7 million or 42% to $12.3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from $8.6 million for the year ended December 31, 2018.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40% of our total data acquisition costs for the year ended December 31, 2019 compared to approximately 46% for the year ended December 31, 2018. Other cost of revenue items include expenses related to third-party infrastructure fees.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40% for the year ended December 31, 2019 from 53% for the year ended December 31, 2018.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increased $2.7 million or 58% to $7.5 million for the year ended December 31, 2019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$4.8 million for the year ended December 31, 2018. Sales and marketing expenses consist of salaries and benefits, advertising and marketing, travel expenses, and share-based compensation expense, incurred by our sales team, and provision for bad debts. The increase during the year ended December 31, 2019 was primarily attributable to the $1.9 million increase in salaries and benefits, as we continue to invest in the expansion of our sales organization, and sales commissions from increased revenue. In addition, $0.6 million of the total increase was attributable to an increase in share-based compensation expense and provision for bad debts.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30" w:name="page31"/>
    <w:bookmarkEnd w:id="30"/>
    <w:p>
      <w:pPr>
        <w:spacing w:after="0" w:line="275" w:lineRule="auto"/>
        <w:rPr>
          <w:sz w:val="20"/>
          <w:szCs w:val="20"/>
          <w:color w:val="auto"/>
        </w:rPr>
      </w:pPr>
      <w:r>
        <w:rPr>
          <w:rFonts w:ascii="Arial" w:cs="Arial" w:eastAsia="Arial" w:hAnsi="Arial"/>
          <w:sz w:val="17"/>
          <w:szCs w:val="17"/>
          <w:b w:val="1"/>
          <w:bCs w:val="1"/>
          <w:i w:val="1"/>
          <w:iCs w:val="1"/>
          <w:color w:val="auto"/>
        </w:rPr>
        <w:t>General and administrative expenses</w:t>
      </w:r>
      <w:r>
        <w:rPr>
          <w:rFonts w:ascii="Arial" w:cs="Arial" w:eastAsia="Arial" w:hAnsi="Arial"/>
          <w:sz w:val="17"/>
          <w:szCs w:val="17"/>
          <w:color w:val="auto"/>
        </w:rPr>
        <w:t>. General and administrative expenses increased $10.4 million or 124% to $18.8 million for the year ended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2019 from $8.4 million for the year ended December 31, 2018. The increase during the year ended December 31, 2019 was primarily attributable to the $8.9 million increase in share-based compensation expense. The increase in share-based compensation expense was as a result of achieving certain performance-based milestones in the second quarter of 2019 and certain new grants issued after the second quarter of 2019, as outlined in Note 11, “Share-based compensation,” included in “Notes to Consolidated Financial Statements.”</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years ended December 31, 2019 and 2018, our general and administrative expenses consisted primarily of employee salaries and benefits of $4.7 million and $3.3 million, share-based compensation expense of $9.5 million (including a one-time $2.2 million as a result of achieving certain performance-based milestones) and $0.6 million, and professional fees of $2.6 million and $2.7 million, respectively.</w:t>
      </w:r>
    </w:p>
    <w:p>
      <w:pPr>
        <w:spacing w:after="0" w:line="18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$0.9 million or 45% to $2.9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from $2.0 million for the year ended December 31, 2018. The increase in depreciation and amortization for the year ended December 31, 2019 resulted primarily from the amortization of software developed for internal use that became ready for its intended use after December 31, 2018.</w:t>
      </w:r>
    </w:p>
    <w:p>
      <w:pPr>
        <w:spacing w:after="0" w:line="148" w:lineRule="exact"/>
        <w:rPr>
          <w:sz w:val="20"/>
          <w:szCs w:val="20"/>
          <w:color w:val="auto"/>
        </w:rPr>
      </w:pPr>
    </w:p>
    <w:p>
      <w:pPr>
        <w:ind w:right="380"/>
        <w:spacing w:after="0" w:line="341" w:lineRule="auto"/>
        <w:rPr>
          <w:sz w:val="20"/>
          <w:szCs w:val="20"/>
          <w:color w:val="auto"/>
        </w:rPr>
      </w:pPr>
      <w:r>
        <w:rPr>
          <w:rFonts w:ascii="Arial" w:cs="Arial" w:eastAsia="Arial" w:hAnsi="Arial"/>
          <w:sz w:val="16"/>
          <w:szCs w:val="16"/>
          <w:b w:val="1"/>
          <w:bCs w:val="1"/>
          <w:i w:val="1"/>
          <w:iCs w:val="1"/>
          <w:color w:val="auto"/>
        </w:rPr>
        <w:t>Other income, net</w:t>
      </w:r>
      <w:r>
        <w:rPr>
          <w:rFonts w:ascii="Arial" w:cs="Arial" w:eastAsia="Arial" w:hAnsi="Arial"/>
          <w:sz w:val="16"/>
          <w:szCs w:val="16"/>
          <w:color w:val="auto"/>
        </w:rPr>
        <w:t>. There was no other income, net, for the year ended December 31, 2019. For the year ended December 31, 2018, other income,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consisted primarily of transition service income of $0.2 million and the insurance proceeds of $0.4 million in relation to previously settled litigation.</w:t>
      </w:r>
    </w:p>
    <w:p>
      <w:pPr>
        <w:spacing w:after="0" w:line="12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Loss before income taxes</w:t>
      </w:r>
      <w:r>
        <w:rPr>
          <w:rFonts w:ascii="Arial" w:cs="Arial" w:eastAsia="Arial" w:hAnsi="Arial"/>
          <w:sz w:val="16"/>
          <w:szCs w:val="16"/>
          <w:color w:val="auto"/>
        </w:rPr>
        <w:t>. We had a loss before income taxes of $11.1 million for the year ended December 31, 2019 as compared to $6.9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2018. The increase in loss before income taxes was primarily attributable to the increase in noncash share-based compensation expense of $9.2 million ($2.2 million of which is one-time), salaries and benefits and sales commission of $3.3 million, and depreciation and amortization of $0.9 million, which was partially offset by the increase in revenue and the decrease in our cost of revenue as a percentage of revenue.</w:t>
      </w:r>
    </w:p>
    <w:p>
      <w:pPr>
        <w:spacing w:after="0" w:line="1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years ended December 31, 2019 and 2018.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December 31, 2019 and 2018. See Note 9, “Income Taxes,” included in “Notes to Consolidated Financial Statements,” for details.</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A net loss of $11.1 million was recognized for the year ended December 31, 2019 as compared to $6.9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as a result of the foregoing.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Cash flows provided by (used in) operating activities</w:t>
      </w:r>
      <w:r>
        <w:rPr>
          <w:rFonts w:ascii="Arial" w:cs="Arial" w:eastAsia="Arial" w:hAnsi="Arial"/>
          <w:sz w:val="16"/>
          <w:szCs w:val="16"/>
          <w:color w:val="auto"/>
        </w:rPr>
        <w:t>. For the year ended December 31, 2019, net cash provided by operating activities was $1.6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the net loss of $11.1 million, adjusted for certain non-cash items (consisting of share-based compensation expense, depreciation and amortization, write-off of long-lived assets, provision for bad debts and noncash lease expenses) totaling $13.8 million, and the cash used as a result of changes in assets and liabilities of $1.1 million, primarily the result of the increase in accounts receivable, following the increase in revenue. For the year ended December 31, 2018, net cash used in operating activities was $8.1 million, primarily the result of the net loss of $6.9 million, adjusted for certain non-cash items (consisting of share-based compensation expense, depreciation and amortization, write-off of long-lived assets, provision for bad debts and allocation of expenses from Fluent, Inc.) totaling $3.4 million, and the cash used as a result of changes in assets and liabilities of $4.6 million, primarily the result of the increase in accounts receivable and the decrease in accrued expenses and other current liabilities.</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Net cash used in investing activities for the years ended December 31, 2019 and 2018 was $6.0 million, primarily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capitalized costs included in intangible assets of $5.9 million in each of the corresponding periods.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2" w:right="379" w:bottom="1440" w:gutter="0" w:footer="0" w:header="0"/>
        </w:sectPr>
      </w:pPr>
    </w:p>
    <w:bookmarkStart w:id="31" w:name="page32"/>
    <w:bookmarkEnd w:id="31"/>
    <w:p>
      <w:pPr>
        <w:jc w:val="both"/>
        <w:ind w:right="20"/>
        <w:spacing w:after="0" w:line="279" w:lineRule="auto"/>
        <w:rPr>
          <w:sz w:val="20"/>
          <w:szCs w:val="20"/>
          <w:color w:val="auto"/>
        </w:rPr>
      </w:pPr>
      <w:r>
        <w:rPr>
          <w:rFonts w:ascii="Arial" w:cs="Arial" w:eastAsia="Arial" w:hAnsi="Arial"/>
          <w:sz w:val="17"/>
          <w:szCs w:val="17"/>
          <w:i w:val="1"/>
          <w:iCs w:val="1"/>
          <w:color w:val="auto"/>
        </w:rPr>
        <w:t>Cash flows provided by financing activities</w:t>
      </w:r>
      <w:r>
        <w:rPr>
          <w:rFonts w:ascii="Arial" w:cs="Arial" w:eastAsia="Arial" w:hAnsi="Arial"/>
          <w:sz w:val="17"/>
          <w:szCs w:val="17"/>
          <w:color w:val="auto"/>
        </w:rPr>
        <w:t>. Net cash provided by financing activities for the year ended December 31, 2019 was $6.2 million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$7.4 million raised through a registered direct offering in August 2019, which was partially offset by the taxes paid related to net share settlement of vesting of restricted stock units of $1.3 million. Net cash provided by financing activities for the year ended December 31, 2018 was $23.9 million (inclusive of the $20.0 million cash contribution by Fluent to red violet upon the Spin-off) as a result of capital contributed by Fluent.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2019, we had material commitments under certain data licensing agreements of $14.8 million. We anticipate funding our operations using available cash and cash flow generated from operations within the next twelve months.</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reported net loss of $11.1 million and $6.9 million for the years ended December 31, 2019 and 2018, respectively. As of December 31, 2019, we had a total shareholders’ equity balance of $42.1 million.</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2019, we had cash and cash equivalents of approximately $11.8 million. Based on projections of growth in revenue and operating results in the next twelve months, and the available cash and cash equivalents held by us, including the net proceeds of $7.4 million through the registered direct offering in August 2019, we believe that we will have sufficient cash resources to finance our operations and expected capital expenditures for the next twelve months. Subject to revenue growth, we may have to raise capital through the issuance of additional equity and/or debt, which, if we are able to obtain, could have the effect of diluting stockholders. Any equity or debt financings, if available at all, may be on terms which are not favorable to us. If our operations do not generate positive cash flow in the upcoming year, or if we are not able to obtain additional equity or debt financing on terms and conditions acceptable to us, if at all, we may be unable to implement our business plan, or even continue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have any outstanding off-balance sheet guarantees, interest rate swap transactions or foreign currency forward contracts. In addition, we do not engage in trading activities involving non-exchange traded contracts. In our ongoing business, we do not enter into transactions involving, or otherwise form relationships with, unconsolidated entities or financial partnerships that are established for the purpose of facilitating off-balance sheet arrangements or other contractually narrow or limited purposes.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2019 Form 10-K contains certain “forward-looking statements” within the meaning of the PSLRA, Section 27A of the Securities Act, and Section 21E of the Exchange Act. Such forward-looking statements contain information about our expectations, beliefs or intentions regarding our product development and commercialization efforts,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Many factors could cause our actual activities or results to differ materially from the activities and results anticipated in forward-looking statements. These factors include the following:</w:t>
      </w:r>
    </w:p>
    <w:p>
      <w:pPr>
        <w:spacing w:after="0" w:line="62" w:lineRule="exact"/>
        <w:rPr>
          <w:sz w:val="20"/>
          <w:szCs w:val="20"/>
          <w:color w:val="auto"/>
        </w:rPr>
      </w:pPr>
    </w:p>
    <w:p>
      <w:pPr>
        <w:ind w:left="560" w:hanging="498"/>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history of losses which makes our future results uncertain.</w:t>
      </w:r>
    </w:p>
    <w:p>
      <w:pPr>
        <w:spacing w:after="0" w:line="116" w:lineRule="exact"/>
        <w:rPr>
          <w:rFonts w:ascii="Arial" w:cs="Arial" w:eastAsia="Arial" w:hAnsi="Arial"/>
          <w:sz w:val="18"/>
          <w:szCs w:val="18"/>
          <w:color w:val="auto"/>
        </w:rPr>
      </w:pPr>
    </w:p>
    <w:p>
      <w:pPr>
        <w:ind w:left="560" w:right="200" w:hanging="498"/>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61" w:lineRule="exact"/>
        <w:rPr>
          <w:rFonts w:ascii="Arial" w:cs="Arial" w:eastAsia="Arial" w:hAnsi="Arial"/>
          <w:sz w:val="18"/>
          <w:szCs w:val="18"/>
          <w:color w:val="auto"/>
        </w:rPr>
      </w:pPr>
    </w:p>
    <w:p>
      <w:pPr>
        <w:ind w:left="560" w:right="100" w:hanging="498"/>
        <w:spacing w:after="0" w:line="263"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spacing w:after="0" w:line="74" w:lineRule="exact"/>
        <w:rPr>
          <w:rFonts w:ascii="Arial" w:cs="Arial" w:eastAsia="Arial" w:hAnsi="Arial"/>
          <w:sz w:val="18"/>
          <w:szCs w:val="18"/>
          <w:color w:val="auto"/>
        </w:rPr>
      </w:pPr>
    </w:p>
    <w:p>
      <w:pPr>
        <w:ind w:left="560" w:hanging="498"/>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adequately protect our intellectual property in order to prevent loss of valuable proprietary information.</w:t>
      </w:r>
    </w:p>
    <w:p>
      <w:pPr>
        <w:spacing w:after="0" w:line="116" w:lineRule="exact"/>
        <w:rPr>
          <w:rFonts w:ascii="Arial" w:cs="Arial" w:eastAsia="Arial" w:hAnsi="Arial"/>
          <w:sz w:val="18"/>
          <w:szCs w:val="18"/>
          <w:color w:val="auto"/>
        </w:rPr>
      </w:pPr>
    </w:p>
    <w:p>
      <w:pPr>
        <w:ind w:left="560" w:right="180" w:hanging="498"/>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depend, in part, on strategic alliances, joint ventures and acquisitions to grow our business. If we are unable to make strategic acquisitions and develop and maintain these strategic alliances and joint ventures, our growth may be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32" w:name="page33"/>
    <w:bookmarkEnd w:id="32"/>
    <w:p>
      <w:pPr>
        <w:ind w:left="500" w:hanging="498"/>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consummate any future acquisitions, we will be subject to the risks inherent in identifying, acquiring and operating a newly acquired business.</w:t>
      </w:r>
    </w:p>
    <w:p>
      <w:pPr>
        <w:spacing w:after="0" w:line="139" w:lineRule="exact"/>
        <w:rPr>
          <w:rFonts w:ascii="Arial" w:cs="Arial" w:eastAsia="Arial" w:hAnsi="Arial"/>
          <w:sz w:val="16"/>
          <w:szCs w:val="16"/>
          <w:color w:val="auto"/>
        </w:rPr>
      </w:pPr>
    </w:p>
    <w:p>
      <w:pPr>
        <w:jc w:val="both"/>
        <w:ind w:left="500" w:right="100" w:hanging="498"/>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74" w:lineRule="exact"/>
        <w:rPr>
          <w:rFonts w:ascii="Arial" w:cs="Arial" w:eastAsia="Arial" w:hAnsi="Arial"/>
          <w:sz w:val="18"/>
          <w:szCs w:val="18"/>
          <w:color w:val="auto"/>
        </w:rPr>
      </w:pPr>
    </w:p>
    <w:p>
      <w:pPr>
        <w:ind w:left="500" w:hanging="498"/>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spacing w:after="0" w:line="74" w:lineRule="exact"/>
        <w:rPr>
          <w:rFonts w:ascii="Arial" w:cs="Arial" w:eastAsia="Arial" w:hAnsi="Arial"/>
          <w:sz w:val="18"/>
          <w:szCs w:val="18"/>
          <w:color w:val="auto"/>
        </w:rPr>
      </w:pPr>
    </w:p>
    <w:p>
      <w:pPr>
        <w:ind w:left="500" w:hanging="4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relationships with key customers may be materially diminished or terminated.</w:t>
      </w:r>
    </w:p>
    <w:p>
      <w:pPr>
        <w:spacing w:after="0" w:line="116" w:lineRule="exact"/>
        <w:rPr>
          <w:rFonts w:ascii="Arial" w:cs="Arial" w:eastAsia="Arial" w:hAnsi="Arial"/>
          <w:sz w:val="18"/>
          <w:szCs w:val="18"/>
          <w:color w:val="auto"/>
        </w:rPr>
      </w:pPr>
    </w:p>
    <w:p>
      <w:pPr>
        <w:ind w:left="500" w:hanging="4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lose the services of key personnel, it could adversely affect our business.</w:t>
      </w:r>
    </w:p>
    <w:p>
      <w:pPr>
        <w:spacing w:after="0" w:line="116" w:lineRule="exact"/>
        <w:rPr>
          <w:rFonts w:ascii="Arial" w:cs="Arial" w:eastAsia="Arial" w:hAnsi="Arial"/>
          <w:sz w:val="18"/>
          <w:szCs w:val="18"/>
          <w:color w:val="auto"/>
        </w:rPr>
      </w:pPr>
    </w:p>
    <w:p>
      <w:pPr>
        <w:ind w:left="500" w:right="120" w:hanging="498"/>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respond to rapid technological changes in the big data and analytics sector, we may lose customers and/or our products and/or services may become obsolete.</w:t>
      </w:r>
    </w:p>
    <w:p>
      <w:pPr>
        <w:spacing w:after="0" w:line="61" w:lineRule="exact"/>
        <w:rPr>
          <w:rFonts w:ascii="Arial" w:cs="Arial" w:eastAsia="Arial" w:hAnsi="Arial"/>
          <w:sz w:val="18"/>
          <w:szCs w:val="18"/>
          <w:color w:val="auto"/>
        </w:rPr>
      </w:pPr>
    </w:p>
    <w:p>
      <w:pPr>
        <w:ind w:left="500" w:hanging="498"/>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61" w:lineRule="exact"/>
        <w:rPr>
          <w:rFonts w:ascii="Arial" w:cs="Arial" w:eastAsia="Arial" w:hAnsi="Arial"/>
          <w:sz w:val="18"/>
          <w:szCs w:val="18"/>
          <w:color w:val="auto"/>
        </w:rPr>
      </w:pPr>
    </w:p>
    <w:p>
      <w:pPr>
        <w:ind w:left="500" w:hanging="4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lose our access to data sources which could prevent us from providing our services.</w:t>
      </w:r>
    </w:p>
    <w:p>
      <w:pPr>
        <w:spacing w:after="0" w:line="116" w:lineRule="exact"/>
        <w:rPr>
          <w:rFonts w:ascii="Arial" w:cs="Arial" w:eastAsia="Arial" w:hAnsi="Arial"/>
          <w:sz w:val="18"/>
          <w:szCs w:val="18"/>
          <w:color w:val="auto"/>
        </w:rPr>
      </w:pPr>
    </w:p>
    <w:p>
      <w:pPr>
        <w:ind w:left="500" w:right="80" w:hanging="498"/>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74" w:lineRule="exact"/>
        <w:rPr>
          <w:rFonts w:ascii="Arial" w:cs="Arial" w:eastAsia="Arial" w:hAnsi="Arial"/>
          <w:sz w:val="18"/>
          <w:szCs w:val="18"/>
          <w:color w:val="auto"/>
        </w:rPr>
      </w:pPr>
    </w:p>
    <w:p>
      <w:pPr>
        <w:ind w:left="500" w:hanging="498"/>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face intense competition from both start-up and established companies that may have significant advantages over us and our products.</w:t>
      </w:r>
    </w:p>
    <w:p>
      <w:pPr>
        <w:spacing w:after="0" w:line="128" w:lineRule="exact"/>
        <w:rPr>
          <w:rFonts w:ascii="Arial" w:cs="Arial" w:eastAsia="Arial" w:hAnsi="Arial"/>
          <w:sz w:val="17"/>
          <w:szCs w:val="17"/>
          <w:color w:val="auto"/>
        </w:rPr>
      </w:pPr>
    </w:p>
    <w:p>
      <w:pPr>
        <w:ind w:left="500" w:hanging="4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further consolidation in our end-customer markets, which may adversely affect our revenue.</w:t>
      </w:r>
    </w:p>
    <w:p>
      <w:pPr>
        <w:spacing w:after="0" w:line="116" w:lineRule="exact"/>
        <w:rPr>
          <w:rFonts w:ascii="Arial" w:cs="Arial" w:eastAsia="Arial" w:hAnsi="Arial"/>
          <w:sz w:val="18"/>
          <w:szCs w:val="18"/>
          <w:color w:val="auto"/>
        </w:rPr>
      </w:pPr>
    </w:p>
    <w:p>
      <w:pPr>
        <w:ind w:left="500" w:right="80" w:hanging="498"/>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the availability of free or relatively inexpensive consumer and/or business information increases, the demand for some of our services may decrease.</w:t>
      </w:r>
    </w:p>
    <w:p>
      <w:pPr>
        <w:spacing w:after="0" w:line="61" w:lineRule="exact"/>
        <w:rPr>
          <w:rFonts w:ascii="Arial" w:cs="Arial" w:eastAsia="Arial" w:hAnsi="Arial"/>
          <w:sz w:val="18"/>
          <w:szCs w:val="18"/>
          <w:color w:val="auto"/>
        </w:rPr>
      </w:pPr>
    </w:p>
    <w:p>
      <w:pPr>
        <w:ind w:left="500" w:hanging="4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newer products do not achieve market acceptance, revenue growth may suffer.</w:t>
      </w:r>
    </w:p>
    <w:p>
      <w:pPr>
        <w:spacing w:after="0" w:line="116" w:lineRule="exact"/>
        <w:rPr>
          <w:rFonts w:ascii="Arial" w:cs="Arial" w:eastAsia="Arial" w:hAnsi="Arial"/>
          <w:sz w:val="18"/>
          <w:szCs w:val="18"/>
          <w:color w:val="auto"/>
        </w:rPr>
      </w:pPr>
    </w:p>
    <w:p>
      <w:pPr>
        <w:ind w:left="500" w:right="120" w:hanging="498"/>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products and services can have long sales and implementation cycles, which may result in substantial expenses before realizing any associated revenue.</w:t>
      </w:r>
    </w:p>
    <w:p>
      <w:pPr>
        <w:spacing w:after="0" w:line="61" w:lineRule="exact"/>
        <w:rPr>
          <w:rFonts w:ascii="Arial" w:cs="Arial" w:eastAsia="Arial" w:hAnsi="Arial"/>
          <w:sz w:val="18"/>
          <w:szCs w:val="18"/>
          <w:color w:val="auto"/>
        </w:rPr>
      </w:pPr>
    </w:p>
    <w:p>
      <w:pPr>
        <w:ind w:left="500" w:right="140" w:hanging="498"/>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maintain and improve our systems, our technology, and our interfaces with data sources and customers, demand for our services could be adversely affected.</w:t>
      </w:r>
    </w:p>
    <w:p>
      <w:pPr>
        <w:spacing w:after="0" w:line="61" w:lineRule="exact"/>
        <w:rPr>
          <w:rFonts w:ascii="Arial" w:cs="Arial" w:eastAsia="Arial" w:hAnsi="Arial"/>
          <w:sz w:val="18"/>
          <w:szCs w:val="18"/>
          <w:color w:val="auto"/>
        </w:rPr>
      </w:pPr>
    </w:p>
    <w:p>
      <w:pPr>
        <w:ind w:left="500" w:right="140" w:hanging="498"/>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outside service providers and key vendors are not able to or do not fulfill their service obligations, our operations could be disrupted and our operating results could be harmed.</w:t>
      </w:r>
    </w:p>
    <w:p>
      <w:pPr>
        <w:spacing w:after="0" w:line="61" w:lineRule="exact"/>
        <w:rPr>
          <w:rFonts w:ascii="Arial" w:cs="Arial" w:eastAsia="Arial" w:hAnsi="Arial"/>
          <w:sz w:val="18"/>
          <w:szCs w:val="18"/>
          <w:color w:val="auto"/>
        </w:rPr>
      </w:pPr>
    </w:p>
    <w:p>
      <w:pPr>
        <w:ind w:left="500" w:hanging="4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Consolidation in the big data and analytics sector may limit market acceptance of our products and services.</w:t>
      </w:r>
    </w:p>
    <w:p>
      <w:pPr>
        <w:spacing w:after="0" w:line="116" w:lineRule="exact"/>
        <w:rPr>
          <w:rFonts w:ascii="Arial" w:cs="Arial" w:eastAsia="Arial" w:hAnsi="Arial"/>
          <w:sz w:val="18"/>
          <w:szCs w:val="18"/>
          <w:color w:val="auto"/>
        </w:rPr>
      </w:pPr>
    </w:p>
    <w:p>
      <w:pPr>
        <w:ind w:left="500" w:hanging="4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incur substantial expenses defending against claims of infringement.</w:t>
      </w:r>
    </w:p>
    <w:p>
      <w:pPr>
        <w:spacing w:after="0" w:line="116" w:lineRule="exact"/>
        <w:rPr>
          <w:rFonts w:ascii="Arial" w:cs="Arial" w:eastAsia="Arial" w:hAnsi="Arial"/>
          <w:sz w:val="18"/>
          <w:szCs w:val="18"/>
          <w:color w:val="auto"/>
        </w:rPr>
      </w:pPr>
    </w:p>
    <w:p>
      <w:pPr>
        <w:ind w:left="500" w:right="260" w:hanging="498"/>
        <w:spacing w:after="0" w:line="311"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39" w:lineRule="exact"/>
        <w:rPr>
          <w:rFonts w:ascii="Arial" w:cs="Arial" w:eastAsia="Arial" w:hAnsi="Arial"/>
          <w:sz w:val="16"/>
          <w:szCs w:val="16"/>
          <w:color w:val="auto"/>
        </w:rPr>
      </w:pPr>
    </w:p>
    <w:p>
      <w:pPr>
        <w:ind w:left="500" w:hanging="4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negatively impacted by the recent outbreak of coronavirus (COVID-19).</w:t>
      </w:r>
    </w:p>
    <w:p>
      <w:pPr>
        <w:spacing w:after="0" w:line="116" w:lineRule="exact"/>
        <w:rPr>
          <w:rFonts w:ascii="Arial" w:cs="Arial" w:eastAsia="Arial" w:hAnsi="Arial"/>
          <w:sz w:val="18"/>
          <w:szCs w:val="18"/>
          <w:color w:val="auto"/>
        </w:rPr>
      </w:pPr>
    </w:p>
    <w:p>
      <w:pPr>
        <w:ind w:left="500" w:hanging="4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 and the value of an investment in our common stock may decline.</w:t>
      </w:r>
    </w:p>
    <w:p>
      <w:pPr>
        <w:spacing w:after="0" w:line="116" w:lineRule="exact"/>
        <w:rPr>
          <w:rFonts w:ascii="Arial" w:cs="Arial" w:eastAsia="Arial" w:hAnsi="Arial"/>
          <w:sz w:val="18"/>
          <w:szCs w:val="18"/>
          <w:color w:val="auto"/>
        </w:rPr>
      </w:pPr>
    </w:p>
    <w:p>
      <w:pPr>
        <w:ind w:left="500" w:right="120" w:hanging="498"/>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issuances of shares of our common stock in connection with acquisitions or pursuant to our stock incentive plan could have a dilutive effect on your investment.</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665" w:right="339" w:bottom="1440" w:gutter="0" w:footer="0" w:header="0"/>
        </w:sectPr>
      </w:pPr>
    </w:p>
    <w:bookmarkStart w:id="33" w:name="page34"/>
    <w:bookmarkEnd w:id="33"/>
    <w:p>
      <w:pPr>
        <w:ind w:left="560" w:hanging="498"/>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concentration of our stock ownership may limit individual stockholder ability to influence corporate matters.</w:t>
      </w:r>
    </w:p>
    <w:p>
      <w:pPr>
        <w:spacing w:after="0" w:line="116" w:lineRule="exact"/>
        <w:rPr>
          <w:rFonts w:ascii="Arial" w:cs="Arial" w:eastAsia="Arial" w:hAnsi="Arial"/>
          <w:sz w:val="18"/>
          <w:szCs w:val="18"/>
          <w:color w:val="auto"/>
        </w:rPr>
      </w:pPr>
    </w:p>
    <w:p>
      <w:pPr>
        <w:ind w:left="560" w:right="220" w:hanging="498"/>
        <w:spacing w:after="0" w:line="277"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an “emerging growth company,” and we cannot be certain if the reduced reporting requirements available to emerging growth companies will make our shares of common stock less attractive to investors.</w:t>
      </w:r>
    </w:p>
    <w:p>
      <w:pPr>
        <w:spacing w:after="0" w:line="61" w:lineRule="exact"/>
        <w:rPr>
          <w:rFonts w:ascii="Arial" w:cs="Arial" w:eastAsia="Arial" w:hAnsi="Arial"/>
          <w:sz w:val="18"/>
          <w:szCs w:val="18"/>
          <w:color w:val="auto"/>
        </w:rPr>
      </w:pPr>
    </w:p>
    <w:p>
      <w:pPr>
        <w:ind w:left="560" w:right="20" w:hanging="498"/>
        <w:spacing w:after="0" w:line="263"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2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include information otherwise required by this item.</w:t>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Consolidated Financial Statements and the Notes thereto, together with the report thereon of our independent registered public accounting firm are filed as part of this report, beginning on page F-1.</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December 31, 2019.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91"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for the Company. Management, under the supervision of and with the participation of the Company’s Chief Executive Officer and Chief Financial Officer, conducted an assessment of the effectiveness of the Company’s internal control over financial reporting based on the criteria set forth by the Committee of Sponsoring Organizations (COSO) of the Treadway Commission in Internal Control-Integrated Framework (2013).</w:t>
      </w:r>
    </w:p>
    <w:p>
      <w:pPr>
        <w:ind w:right="20"/>
        <w:spacing w:after="0" w:line="289" w:lineRule="auto"/>
        <w:rPr>
          <w:sz w:val="20"/>
          <w:szCs w:val="20"/>
          <w:color w:val="auto"/>
        </w:rPr>
      </w:pPr>
      <w:r>
        <w:rPr>
          <w:rFonts w:ascii="Arial" w:cs="Arial" w:eastAsia="Arial" w:hAnsi="Arial"/>
          <w:sz w:val="17"/>
          <w:szCs w:val="17"/>
          <w:color w:val="auto"/>
        </w:rPr>
        <w:t>Management concluded that the Company maintained effective internal control over financial reporting (as defined in Rules 13a-15(f) and 15d-15(f) of the Exchange Act) as of December 31, 2019, based on criteria in Internal Control-Integrated Framework (2013) issued by the COSO.</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last fiscal quarter of 2019 that materially affected, or are reasonably likely to materially affect, our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5" w:name="page36"/>
    <w:bookmarkEnd w:id="35"/>
    <w:p>
      <w:pPr>
        <w:jc w:val="center"/>
        <w:ind w:right="-359"/>
        <w:spacing w:after="0"/>
        <w:rPr>
          <w:sz w:val="20"/>
          <w:szCs w:val="20"/>
          <w:color w:val="auto"/>
        </w:rPr>
      </w:pPr>
      <w:r>
        <w:rPr>
          <w:rFonts w:ascii="Arial" w:cs="Arial" w:eastAsia="Arial" w:hAnsi="Arial"/>
          <w:sz w:val="18"/>
          <w:szCs w:val="18"/>
          <w:b w:val="1"/>
          <w:bCs w:val="1"/>
          <w:color w:val="auto"/>
        </w:rPr>
        <w:t>PART III</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2020 Annual Meeting of Stockholders to be filed with the SEC within 120 days of December 31, 2019.</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2020 Annual Meeting of Stockholders to be filed with the SEC within 120 days of December 31, 2019.</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2020 Annual Meeting of Stockholders to be filed with the SEC within 120 days of December 31, 2019.</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2020 Annual Meeting of Stockholders to be filed with the SEC within 120 days of December 31, 2019.</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2020 Annual Meeting of Stockholders to be filed with the SEC within 120 days of December 31, 2019.</w:t>
      </w:r>
    </w:p>
    <w:p>
      <w:pPr>
        <w:spacing w:after="0" w:line="3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876" w:right="6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IV</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Statements: The information required by this item is contained in Item 8 of this Form 10-K.</w:t>
      </w:r>
    </w:p>
    <w:p>
      <w:pPr>
        <w:spacing w:after="0" w:line="224" w:lineRule="exact"/>
        <w:rPr>
          <w:rFonts w:ascii="Arial" w:cs="Arial" w:eastAsia="Arial" w:hAnsi="Arial"/>
          <w:sz w:val="18"/>
          <w:szCs w:val="18"/>
          <w:color w:val="auto"/>
        </w:rPr>
      </w:pPr>
    </w:p>
    <w:p>
      <w:pPr>
        <w:ind w:right="40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Statement Schedules: The information required by this item is included in the consolidated financial statements contained in Item 8 of this Form 10-K.</w:t>
      </w:r>
    </w:p>
    <w:p>
      <w:pPr>
        <w:spacing w:after="0" w:line="169"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 The following exhibits are filed as part of, or incorporated by reference into, this Form 10-K.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Incorporated by Reference</w:t>
            </w: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5"/>
              </w:rPr>
              <w:t>Filed</w:t>
            </w: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Exhibit No.</w:t>
            </w:r>
          </w:p>
        </w:tc>
        <w:tc>
          <w:tcPr>
            <w:tcW w:w="100" w:type="dxa"/>
            <w:vAlign w:val="bottom"/>
          </w:tcPr>
          <w:p>
            <w:pPr>
              <w:spacing w:after="0"/>
              <w:rPr>
                <w:sz w:val="12"/>
                <w:szCs w:val="12"/>
                <w:color w:val="auto"/>
              </w:rPr>
            </w:pPr>
          </w:p>
        </w:tc>
        <w:tc>
          <w:tcPr>
            <w:tcW w:w="4460" w:type="dxa"/>
            <w:vAlign w:val="bottom"/>
            <w:gridSpan w:val="34"/>
          </w:tcPr>
          <w:p>
            <w:pPr>
              <w:spacing w:after="0" w:line="142" w:lineRule="exact"/>
              <w:rPr>
                <w:sz w:val="20"/>
                <w:szCs w:val="20"/>
                <w:color w:val="auto"/>
              </w:rPr>
            </w:pPr>
            <w:r>
              <w:rPr>
                <w:rFonts w:ascii="Arial" w:cs="Arial" w:eastAsia="Arial" w:hAnsi="Arial"/>
                <w:sz w:val="13"/>
                <w:szCs w:val="13"/>
                <w:b w:val="1"/>
                <w:bCs w:val="1"/>
                <w:color w:val="auto"/>
              </w:rPr>
              <w:t>Exhibit Description</w:t>
            </w:r>
          </w:p>
        </w:tc>
        <w:tc>
          <w:tcPr>
            <w:tcW w:w="1040" w:type="dxa"/>
            <w:vAlign w:val="bottom"/>
          </w:tcPr>
          <w:p>
            <w:pPr>
              <w:spacing w:after="0" w:line="142" w:lineRule="exact"/>
              <w:rPr>
                <w:sz w:val="20"/>
                <w:szCs w:val="20"/>
                <w:color w:val="auto"/>
              </w:rPr>
            </w:pPr>
            <w:r>
              <w:rPr>
                <w:rFonts w:ascii="Arial" w:cs="Arial" w:eastAsia="Arial" w:hAnsi="Arial"/>
                <w:sz w:val="13"/>
                <w:szCs w:val="13"/>
                <w:b w:val="1"/>
                <w:bCs w:val="1"/>
                <w:color w:val="auto"/>
              </w:rPr>
              <w:t>Form</w:t>
            </w:r>
          </w:p>
        </w:tc>
        <w:tc>
          <w:tcPr>
            <w:tcW w:w="1160" w:type="dxa"/>
            <w:vAlign w:val="bottom"/>
            <w:gridSpan w:val="2"/>
          </w:tcPr>
          <w:p>
            <w:pPr>
              <w:ind w:left="120"/>
              <w:spacing w:after="0" w:line="142" w:lineRule="exact"/>
              <w:rPr>
                <w:sz w:val="20"/>
                <w:szCs w:val="20"/>
                <w:color w:val="auto"/>
              </w:rPr>
            </w:pPr>
            <w:r>
              <w:rPr>
                <w:rFonts w:ascii="Arial" w:cs="Arial" w:eastAsia="Arial" w:hAnsi="Arial"/>
                <w:sz w:val="13"/>
                <w:szCs w:val="13"/>
                <w:b w:val="1"/>
                <w:bCs w:val="1"/>
                <w:color w:val="auto"/>
              </w:rPr>
              <w:t>File No.</w:t>
            </w:r>
          </w:p>
        </w:tc>
        <w:tc>
          <w:tcPr>
            <w:tcW w:w="1160" w:type="dxa"/>
            <w:vAlign w:val="bottom"/>
            <w:gridSpan w:val="2"/>
          </w:tcPr>
          <w:p>
            <w:pPr>
              <w:ind w:left="120"/>
              <w:spacing w:after="0" w:line="142" w:lineRule="exact"/>
              <w:rPr>
                <w:sz w:val="20"/>
                <w:szCs w:val="20"/>
                <w:color w:val="auto"/>
              </w:rPr>
            </w:pPr>
            <w:r>
              <w:rPr>
                <w:rFonts w:ascii="Arial" w:cs="Arial" w:eastAsia="Arial" w:hAnsi="Arial"/>
                <w:sz w:val="13"/>
                <w:szCs w:val="13"/>
                <w:b w:val="1"/>
                <w:bCs w:val="1"/>
                <w:color w:val="auto"/>
              </w:rPr>
              <w:t>Exhibit</w:t>
            </w:r>
          </w:p>
        </w:tc>
        <w:tc>
          <w:tcPr>
            <w:tcW w:w="1440" w:type="dxa"/>
            <w:vAlign w:val="bottom"/>
            <w:gridSpan w:val="2"/>
          </w:tcPr>
          <w:p>
            <w:pPr>
              <w:ind w:left="120"/>
              <w:spacing w:after="0" w:line="142" w:lineRule="exact"/>
              <w:rPr>
                <w:sz w:val="20"/>
                <w:szCs w:val="20"/>
                <w:color w:val="auto"/>
              </w:rPr>
            </w:pPr>
            <w:r>
              <w:rPr>
                <w:rFonts w:ascii="Arial" w:cs="Arial" w:eastAsia="Arial" w:hAnsi="Arial"/>
                <w:sz w:val="13"/>
                <w:szCs w:val="13"/>
                <w:b w:val="1"/>
                <w:bCs w:val="1"/>
                <w:color w:val="auto"/>
              </w:rPr>
              <w:t>Filing Date</w:t>
            </w:r>
          </w:p>
        </w:tc>
        <w:tc>
          <w:tcPr>
            <w:tcW w:w="1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auto"/>
            </w:tcBorders>
            <w:gridSpan w:val="32"/>
          </w:tcPr>
          <w:p>
            <w:pPr>
              <w:spacing w:after="0" w:line="142" w:lineRule="exact"/>
              <w:rPr>
                <w:rFonts w:ascii="Arial" w:cs="Arial" w:eastAsia="Arial" w:hAnsi="Arial"/>
                <w:sz w:val="14"/>
                <w:szCs w:val="14"/>
                <w:color w:val="0000EE"/>
                <w:w w:val="96"/>
              </w:rPr>
            </w:pPr>
            <w:hyperlink r:id="rId53">
              <w:r>
                <w:rPr>
                  <w:rFonts w:ascii="Arial" w:cs="Arial" w:eastAsia="Arial" w:hAnsi="Arial"/>
                  <w:sz w:val="14"/>
                  <w:szCs w:val="14"/>
                  <w:color w:val="0000EE"/>
                  <w:w w:val="96"/>
                </w:rPr>
                <w:t>Separation and Distribution Agreement by and between Cogint, Inc. and</w:t>
              </w:r>
            </w:hyperlink>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Form 10</w:t>
            </w:r>
          </w:p>
        </w:tc>
        <w:tc>
          <w:tcPr>
            <w:tcW w:w="120" w:type="dxa"/>
            <w:vAlign w:val="bottom"/>
          </w:tcPr>
          <w:p>
            <w:pPr>
              <w:spacing w:after="0"/>
              <w:rPr>
                <w:sz w:val="12"/>
                <w:szCs w:val="12"/>
                <w:color w:val="auto"/>
              </w:rPr>
            </w:pPr>
          </w:p>
        </w:tc>
        <w:tc>
          <w:tcPr>
            <w:tcW w:w="1040" w:type="dxa"/>
            <w:vAlign w:val="bottom"/>
            <w:tcBorders>
              <w:top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w w:val="89"/>
              </w:rPr>
              <w:t>001-38407</w:t>
            </w: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February 28, 2018</w:t>
            </w: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4160" w:type="dxa"/>
            <w:vAlign w:val="bottom"/>
            <w:tcBorders>
              <w:top w:val="single" w:sz="8" w:color="0000EE"/>
            </w:tcBorders>
            <w:gridSpan w:val="26"/>
          </w:tcPr>
          <w:p>
            <w:pPr>
              <w:spacing w:after="0" w:line="129" w:lineRule="exact"/>
              <w:rPr>
                <w:rFonts w:ascii="Arial" w:cs="Arial" w:eastAsia="Arial" w:hAnsi="Arial"/>
                <w:sz w:val="14"/>
                <w:szCs w:val="14"/>
                <w:color w:val="0000EE"/>
              </w:rPr>
            </w:pPr>
            <w:hyperlink r:id="rId53">
              <w:r>
                <w:rPr>
                  <w:rFonts w:ascii="Arial" w:cs="Arial" w:eastAsia="Arial" w:hAnsi="Arial"/>
                  <w:sz w:val="14"/>
                  <w:szCs w:val="14"/>
                  <w:color w:val="0000EE"/>
                </w:rPr>
                <w:t>Red Violet, Inc., dated February 27, 2018</w:t>
              </w:r>
              <w:r>
                <w:rPr>
                  <w:rFonts w:ascii="Arial" w:cs="Arial" w:eastAsia="Arial" w:hAnsi="Arial"/>
                  <w:sz w:val="14"/>
                  <w:szCs w:val="14"/>
                  <w:color w:val="000000"/>
                </w:rPr>
                <w:t>.</w:t>
              </w:r>
            </w:hyperlink>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3.1</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gridSpan w:val="34"/>
          </w:tcPr>
          <w:p>
            <w:pPr>
              <w:spacing w:after="0" w:line="142" w:lineRule="exact"/>
              <w:rPr>
                <w:rFonts w:ascii="Arial" w:cs="Arial" w:eastAsia="Arial" w:hAnsi="Arial"/>
                <w:sz w:val="14"/>
                <w:szCs w:val="14"/>
                <w:color w:val="0000EE"/>
              </w:rPr>
            </w:pPr>
            <w:hyperlink r:id="rId54">
              <w:r>
                <w:rPr>
                  <w:rFonts w:ascii="Arial" w:cs="Arial" w:eastAsia="Arial" w:hAnsi="Arial"/>
                  <w:sz w:val="14"/>
                  <w:szCs w:val="14"/>
                  <w:color w:val="0000EE"/>
                </w:rPr>
                <w:t>Amended and Restated Certificate of Incorporation of Red Violet, Inc</w:t>
              </w:r>
            </w:hyperlink>
            <w:r>
              <w:rPr>
                <w:rFonts w:ascii="Arial" w:cs="Arial" w:eastAsia="Arial" w:hAnsi="Arial"/>
                <w:sz w:val="14"/>
                <w:szCs w:val="14"/>
                <w:color w:val="000000"/>
              </w:rPr>
              <w:t>.</w:t>
            </w:r>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4020" w:type="dxa"/>
            <w:vAlign w:val="bottom"/>
            <w:tcBorders>
              <w:top w:val="single" w:sz="8" w:color="0000EE"/>
            </w:tcBorders>
            <w:gridSpan w:val="20"/>
          </w:tcPr>
          <w:p>
            <w:pPr>
              <w:spacing w:after="0" w:line="142" w:lineRule="exact"/>
              <w:rPr>
                <w:rFonts w:ascii="Arial" w:cs="Arial" w:eastAsia="Arial" w:hAnsi="Arial"/>
                <w:sz w:val="14"/>
                <w:szCs w:val="14"/>
                <w:color w:val="0000EE"/>
              </w:rPr>
            </w:pPr>
            <w:hyperlink r:id="rId55">
              <w:r>
                <w:rPr>
                  <w:rFonts w:ascii="Arial" w:cs="Arial" w:eastAsia="Arial" w:hAnsi="Arial"/>
                  <w:sz w:val="14"/>
                  <w:szCs w:val="14"/>
                  <w:color w:val="0000EE"/>
                </w:rPr>
                <w:t>Amended and Restated Bylaws of Red Violet, Inc</w:t>
              </w:r>
            </w:hyperlink>
            <w:r>
              <w:rPr>
                <w:rFonts w:ascii="Arial" w:cs="Arial" w:eastAsia="Arial" w:hAnsi="Arial"/>
                <w:sz w:val="14"/>
                <w:szCs w:val="14"/>
                <w:color w:val="000000"/>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40" w:type="dxa"/>
            <w:vAlign w:val="bottom"/>
          </w:tcPr>
          <w:p>
            <w:pPr>
              <w:spacing w:after="0" w:line="142" w:lineRule="exact"/>
              <w:rPr>
                <w:sz w:val="20"/>
                <w:szCs w:val="20"/>
                <w:color w:val="auto"/>
              </w:rPr>
            </w:pPr>
            <w:r>
              <w:rPr>
                <w:rFonts w:ascii="Arial" w:cs="Arial" w:eastAsia="Arial" w:hAnsi="Arial"/>
                <w:sz w:val="14"/>
                <w:szCs w:val="14"/>
                <w:color w:val="auto"/>
              </w:rPr>
              <w:t>8-K</w:t>
            </w:r>
          </w:p>
        </w:tc>
        <w:tc>
          <w:tcPr>
            <w:tcW w:w="1160" w:type="dxa"/>
            <w:vAlign w:val="bottom"/>
            <w:gridSpan w:val="2"/>
          </w:tcPr>
          <w:p>
            <w:pPr>
              <w:jc w:val="right"/>
              <w:ind w:right="353"/>
              <w:spacing w:after="0" w:line="142" w:lineRule="exact"/>
              <w:rPr>
                <w:sz w:val="20"/>
                <w:szCs w:val="20"/>
                <w:color w:val="auto"/>
              </w:rPr>
            </w:pPr>
            <w:r>
              <w:rPr>
                <w:rFonts w:ascii="Arial" w:cs="Arial" w:eastAsia="Arial" w:hAnsi="Arial"/>
                <w:sz w:val="14"/>
                <w:szCs w:val="14"/>
                <w:color w:val="auto"/>
              </w:rPr>
              <w:t>001-38407</w:t>
            </w:r>
          </w:p>
        </w:tc>
        <w:tc>
          <w:tcPr>
            <w:tcW w:w="116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3.2</w:t>
            </w:r>
          </w:p>
        </w:tc>
        <w:tc>
          <w:tcPr>
            <w:tcW w:w="1560" w:type="dxa"/>
            <w:vAlign w:val="bottom"/>
            <w:gridSpan w:val="3"/>
          </w:tcPr>
          <w:p>
            <w:pPr>
              <w:ind w:left="120"/>
              <w:spacing w:after="0" w:line="142" w:lineRule="exact"/>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2860" w:type="dxa"/>
            <w:vAlign w:val="bottom"/>
            <w:tcBorders>
              <w:top w:val="single" w:sz="8" w:color="0000EE"/>
            </w:tcBorders>
            <w:gridSpan w:val="15"/>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Description of Registrant's Securities</w:t>
              </w:r>
            </w:hyperlink>
            <w:r>
              <w:rPr>
                <w:rFonts w:ascii="Arial" w:cs="Arial" w:eastAsia="Arial" w:hAnsi="Arial"/>
                <w:sz w:val="14"/>
                <w:szCs w:val="14"/>
                <w:color w:val="000000"/>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Form 10</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10.2</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February 28, 2018</w:t>
            </w: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gridSpan w:val="34"/>
          </w:tcPr>
          <w:p>
            <w:pPr>
              <w:spacing w:after="0" w:line="142" w:lineRule="exact"/>
              <w:rPr>
                <w:rFonts w:ascii="Arial" w:cs="Arial" w:eastAsia="Arial" w:hAnsi="Arial"/>
                <w:sz w:val="14"/>
                <w:szCs w:val="14"/>
                <w:color w:val="0000EE"/>
                <w:w w:val="98"/>
              </w:rPr>
            </w:pPr>
            <w:hyperlink r:id="rId56">
              <w:r>
                <w:rPr>
                  <w:rFonts w:ascii="Arial" w:cs="Arial" w:eastAsia="Arial" w:hAnsi="Arial"/>
                  <w:sz w:val="14"/>
                  <w:szCs w:val="14"/>
                  <w:color w:val="0000EE"/>
                  <w:w w:val="98"/>
                </w:rPr>
                <w:t>Form of Restricted Stock Unit Agreement Pursuant to the Red Violet, Inc.</w:t>
              </w:r>
            </w:hyperlink>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1"/>
                <w:szCs w:val="11"/>
                <w:color w:val="auto"/>
              </w:rPr>
            </w:pPr>
          </w:p>
        </w:tc>
        <w:tc>
          <w:tcPr>
            <w:tcW w:w="4260" w:type="dxa"/>
            <w:vAlign w:val="bottom"/>
            <w:tcBorders>
              <w:top w:val="single" w:sz="8" w:color="0000EE"/>
            </w:tcBorders>
            <w:gridSpan w:val="28"/>
          </w:tcPr>
          <w:p>
            <w:pPr>
              <w:spacing w:after="0" w:line="129" w:lineRule="exact"/>
              <w:rPr>
                <w:rFonts w:ascii="Arial" w:cs="Arial" w:eastAsia="Arial" w:hAnsi="Arial"/>
                <w:sz w:val="14"/>
                <w:szCs w:val="14"/>
                <w:color w:val="0000EE"/>
              </w:rPr>
            </w:pPr>
            <w:hyperlink r:id="rId56">
              <w:r>
                <w:rPr>
                  <w:rFonts w:ascii="Arial" w:cs="Arial" w:eastAsia="Arial" w:hAnsi="Arial"/>
                  <w:sz w:val="14"/>
                  <w:szCs w:val="14"/>
                  <w:color w:val="0000EE"/>
                </w:rPr>
                <w:t>2018 Stock Incentive Plan</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Form 10</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10.3</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February 28,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gridSpan w:val="34"/>
          </w:tcPr>
          <w:p>
            <w:pPr>
              <w:spacing w:after="0" w:line="142" w:lineRule="exact"/>
              <w:rPr>
                <w:rFonts w:ascii="Arial" w:cs="Arial" w:eastAsia="Arial" w:hAnsi="Arial"/>
                <w:sz w:val="14"/>
                <w:szCs w:val="14"/>
                <w:color w:val="0000EE"/>
                <w:w w:val="99"/>
              </w:rPr>
            </w:pPr>
            <w:hyperlink r:id="rId57">
              <w:r>
                <w:rPr>
                  <w:rFonts w:ascii="Arial" w:cs="Arial" w:eastAsia="Arial" w:hAnsi="Arial"/>
                  <w:sz w:val="14"/>
                  <w:szCs w:val="14"/>
                  <w:color w:val="0000EE"/>
                  <w:w w:val="99"/>
                </w:rPr>
                <w:t>Amended and Restated Tax Matters Agreement by and between Cogint,</w:t>
              </w:r>
            </w:hyperlink>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1"/>
                <w:szCs w:val="11"/>
                <w:color w:val="auto"/>
              </w:rPr>
            </w:pPr>
          </w:p>
        </w:tc>
        <w:tc>
          <w:tcPr>
            <w:tcW w:w="4140" w:type="dxa"/>
            <w:vAlign w:val="bottom"/>
            <w:tcBorders>
              <w:top w:val="single" w:sz="8" w:color="0000EE"/>
            </w:tcBorders>
            <w:gridSpan w:val="25"/>
          </w:tcPr>
          <w:p>
            <w:pPr>
              <w:spacing w:after="0" w:line="129" w:lineRule="exact"/>
              <w:rPr>
                <w:rFonts w:ascii="Arial" w:cs="Arial" w:eastAsia="Arial" w:hAnsi="Arial"/>
                <w:sz w:val="14"/>
                <w:szCs w:val="14"/>
                <w:color w:val="0000EE"/>
              </w:rPr>
            </w:pPr>
            <w:hyperlink r:id="rId57">
              <w:r>
                <w:rPr>
                  <w:rFonts w:ascii="Arial" w:cs="Arial" w:eastAsia="Arial" w:hAnsi="Arial"/>
                  <w:sz w:val="14"/>
                  <w:szCs w:val="14"/>
                  <w:color w:val="0000EE"/>
                </w:rPr>
                <w:t>Inc. and Red Violet, Inc., dated February 27, 2018</w:t>
              </w:r>
              <w:r>
                <w:rPr>
                  <w:rFonts w:ascii="Arial" w:cs="Arial" w:eastAsia="Arial" w:hAnsi="Arial"/>
                  <w:sz w:val="14"/>
                  <w:szCs w:val="14"/>
                  <w:color w:val="000000"/>
                </w:rPr>
                <w:t>.</w:t>
              </w:r>
            </w:hyperlink>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Form 10</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10.4</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February 28,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gridSpan w:val="34"/>
          </w:tcPr>
          <w:p>
            <w:pPr>
              <w:spacing w:after="0" w:line="142" w:lineRule="exact"/>
              <w:rPr>
                <w:rFonts w:ascii="Arial" w:cs="Arial" w:eastAsia="Arial" w:hAnsi="Arial"/>
                <w:sz w:val="14"/>
                <w:szCs w:val="14"/>
                <w:color w:val="0000EE"/>
                <w:w w:val="96"/>
              </w:rPr>
            </w:pPr>
            <w:hyperlink r:id="rId58">
              <w:r>
                <w:rPr>
                  <w:rFonts w:ascii="Arial" w:cs="Arial" w:eastAsia="Arial" w:hAnsi="Arial"/>
                  <w:sz w:val="14"/>
                  <w:szCs w:val="14"/>
                  <w:color w:val="0000EE"/>
                  <w:w w:val="96"/>
                </w:rPr>
                <w:t>Employee Matters Agreement by and between Cogint, Inc. and Red Violet,</w:t>
              </w:r>
            </w:hyperlink>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1"/>
                <w:szCs w:val="11"/>
                <w:color w:val="auto"/>
              </w:rPr>
            </w:pPr>
          </w:p>
        </w:tc>
        <w:tc>
          <w:tcPr>
            <w:tcW w:w="4340" w:type="dxa"/>
            <w:vAlign w:val="bottom"/>
            <w:tcBorders>
              <w:top w:val="single" w:sz="8" w:color="0000EE"/>
            </w:tcBorders>
            <w:gridSpan w:val="32"/>
          </w:tcPr>
          <w:p>
            <w:pPr>
              <w:spacing w:after="0" w:line="129" w:lineRule="exact"/>
              <w:rPr>
                <w:rFonts w:ascii="Arial" w:cs="Arial" w:eastAsia="Arial" w:hAnsi="Arial"/>
                <w:sz w:val="14"/>
                <w:szCs w:val="14"/>
                <w:color w:val="0000EE"/>
              </w:rPr>
            </w:pPr>
            <w:hyperlink r:id="rId58">
              <w:r>
                <w:rPr>
                  <w:rFonts w:ascii="Arial" w:cs="Arial" w:eastAsia="Arial" w:hAnsi="Arial"/>
                  <w:sz w:val="14"/>
                  <w:szCs w:val="14"/>
                  <w:color w:val="0000EE"/>
                </w:rPr>
                <w:t>Inc., dated February 27, 2018</w:t>
              </w:r>
              <w:r>
                <w:rPr>
                  <w:rFonts w:ascii="Arial" w:cs="Arial" w:eastAsia="Arial" w:hAnsi="Arial"/>
                  <w:sz w:val="14"/>
                  <w:szCs w:val="14"/>
                  <w:color w:val="000000"/>
                </w:rPr>
                <w:t>.</w:t>
              </w:r>
            </w:hyperlink>
          </w:p>
        </w:tc>
        <w:tc>
          <w:tcPr>
            <w:tcW w:w="120" w:type="dxa"/>
            <w:vAlign w:val="bottom"/>
            <w:gridSpan w:val="2"/>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10.2</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gridSpan w:val="34"/>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Employment Agreement, dated March 26, 2018, by and between Red</w:t>
              </w:r>
            </w:hyperlink>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1"/>
                <w:szCs w:val="11"/>
                <w:color w:val="auto"/>
              </w:rPr>
            </w:pPr>
          </w:p>
        </w:tc>
        <w:tc>
          <w:tcPr>
            <w:tcW w:w="400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r:id="rId59">
              <w:r>
                <w:rPr>
                  <w:rFonts w:ascii="Arial" w:cs="Arial" w:eastAsia="Arial" w:hAnsi="Arial"/>
                  <w:sz w:val="14"/>
                  <w:szCs w:val="14"/>
                  <w:color w:val="0000EE"/>
                </w:rPr>
                <w:t>Violet and Derek Dubner</w:t>
              </w:r>
              <w:r>
                <w:rPr>
                  <w:rFonts w:ascii="Arial" w:cs="Arial" w:eastAsia="Arial" w:hAnsi="Arial"/>
                  <w:sz w:val="14"/>
                  <w:szCs w:val="14"/>
                  <w:color w:val="000000"/>
                </w:rPr>
                <w:t>.</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10.3</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top w:val="single" w:sz="8" w:color="0000EE"/>
            </w:tcBorders>
            <w:gridSpan w:val="6"/>
          </w:tcPr>
          <w:p>
            <w:pPr>
              <w:spacing w:after="0" w:line="142" w:lineRule="exact"/>
              <w:rPr>
                <w:rFonts w:ascii="Arial" w:cs="Arial" w:eastAsia="Arial" w:hAnsi="Arial"/>
                <w:sz w:val="14"/>
                <w:szCs w:val="14"/>
                <w:color w:val="0000EE"/>
                <w:w w:val="92"/>
              </w:rPr>
            </w:pPr>
            <w:hyperlink r:id="rId60">
              <w:r>
                <w:rPr>
                  <w:rFonts w:ascii="Arial" w:cs="Arial" w:eastAsia="Arial" w:hAnsi="Arial"/>
                  <w:sz w:val="14"/>
                  <w:szCs w:val="14"/>
                  <w:color w:val="0000EE"/>
                  <w:w w:val="92"/>
                </w:rPr>
                <w:t>Employment Agreement,</w:t>
              </w:r>
            </w:hyperlink>
          </w:p>
        </w:tc>
        <w:tc>
          <w:tcPr>
            <w:tcW w:w="3020" w:type="dxa"/>
            <w:vAlign w:val="bottom"/>
            <w:gridSpan w:val="28"/>
          </w:tcPr>
          <w:p>
            <w:pPr>
              <w:ind w:left="40"/>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dated March 26, 2018, by and between Red</w:t>
              </w:r>
            </w:hyperlink>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1"/>
                <w:szCs w:val="11"/>
                <w:color w:val="auto"/>
              </w:rPr>
            </w:pPr>
          </w:p>
        </w:tc>
        <w:tc>
          <w:tcPr>
            <w:tcW w:w="400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r:id="rId60">
              <w:r>
                <w:rPr>
                  <w:rFonts w:ascii="Arial" w:cs="Arial" w:eastAsia="Arial" w:hAnsi="Arial"/>
                  <w:sz w:val="14"/>
                  <w:szCs w:val="14"/>
                  <w:color w:val="0000EE"/>
                </w:rPr>
                <w:t>Violet and James Reilly</w:t>
              </w:r>
              <w:r>
                <w:rPr>
                  <w:rFonts w:ascii="Arial" w:cs="Arial" w:eastAsia="Arial" w:hAnsi="Arial"/>
                  <w:sz w:val="14"/>
                  <w:szCs w:val="14"/>
                  <w:color w:val="000000"/>
                </w:rPr>
                <w:t>.</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10.4</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top w:val="single" w:sz="8" w:color="0000EE"/>
            </w:tcBorders>
            <w:gridSpan w:val="5"/>
          </w:tcPr>
          <w:p>
            <w:pPr>
              <w:spacing w:after="0" w:line="142" w:lineRule="exact"/>
              <w:rPr>
                <w:rFonts w:ascii="Arial" w:cs="Arial" w:eastAsia="Arial" w:hAnsi="Arial"/>
                <w:sz w:val="14"/>
                <w:szCs w:val="14"/>
                <w:color w:val="0000EE"/>
                <w:w w:val="86"/>
              </w:rPr>
            </w:pPr>
            <w:hyperlink r:id="rId61">
              <w:r>
                <w:rPr>
                  <w:rFonts w:ascii="Arial" w:cs="Arial" w:eastAsia="Arial" w:hAnsi="Arial"/>
                  <w:sz w:val="14"/>
                  <w:szCs w:val="14"/>
                  <w:color w:val="0000EE"/>
                  <w:w w:val="86"/>
                </w:rPr>
                <w:t>Employment Agreement,</w:t>
              </w:r>
            </w:hyperlink>
          </w:p>
        </w:tc>
        <w:tc>
          <w:tcPr>
            <w:tcW w:w="3100" w:type="dxa"/>
            <w:vAlign w:val="bottom"/>
            <w:gridSpan w:val="29"/>
          </w:tcPr>
          <w:p>
            <w:pPr>
              <w:ind w:left="120"/>
              <w:spacing w:after="0" w:line="142" w:lineRule="exact"/>
              <w:rPr>
                <w:rFonts w:ascii="Arial" w:cs="Arial" w:eastAsia="Arial" w:hAnsi="Arial"/>
                <w:sz w:val="14"/>
                <w:szCs w:val="14"/>
                <w:color w:val="0000EE"/>
              </w:rPr>
            </w:pPr>
            <w:hyperlink r:id="rId61">
              <w:r>
                <w:rPr>
                  <w:rFonts w:ascii="Arial" w:cs="Arial" w:eastAsia="Arial" w:hAnsi="Arial"/>
                  <w:sz w:val="14"/>
                  <w:szCs w:val="14"/>
                  <w:color w:val="0000EE"/>
                </w:rPr>
                <w:t>dated March 26, 2018, by and between Red</w:t>
              </w:r>
            </w:hyperlink>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1"/>
                <w:szCs w:val="11"/>
                <w:color w:val="auto"/>
              </w:rPr>
            </w:pPr>
          </w:p>
        </w:tc>
        <w:tc>
          <w:tcPr>
            <w:tcW w:w="400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r:id="rId61">
              <w:r>
                <w:rPr>
                  <w:rFonts w:ascii="Arial" w:cs="Arial" w:eastAsia="Arial" w:hAnsi="Arial"/>
                  <w:sz w:val="14"/>
                  <w:szCs w:val="14"/>
                  <w:color w:val="0000EE"/>
                </w:rPr>
                <w:t>Violet and Dan MacLachlan</w:t>
              </w:r>
              <w:r>
                <w:rPr>
                  <w:rFonts w:ascii="Arial" w:cs="Arial" w:eastAsia="Arial" w:hAnsi="Arial"/>
                  <w:sz w:val="14"/>
                  <w:szCs w:val="14"/>
                  <w:color w:val="000000"/>
                </w:rPr>
                <w:t>.</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10.5</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top w:val="single" w:sz="8" w:color="0000EE"/>
            </w:tcBorders>
            <w:gridSpan w:val="8"/>
          </w:tcPr>
          <w:p>
            <w:pPr>
              <w:spacing w:after="0" w:line="142" w:lineRule="exact"/>
              <w:rPr>
                <w:rFonts w:ascii="Arial" w:cs="Arial" w:eastAsia="Arial" w:hAnsi="Arial"/>
                <w:sz w:val="14"/>
                <w:szCs w:val="14"/>
                <w:color w:val="0000EE"/>
                <w:w w:val="94"/>
              </w:rPr>
            </w:pPr>
            <w:hyperlink r:id="rId62">
              <w:r>
                <w:rPr>
                  <w:rFonts w:ascii="Arial" w:cs="Arial" w:eastAsia="Arial" w:hAnsi="Arial"/>
                  <w:sz w:val="14"/>
                  <w:szCs w:val="14"/>
                  <w:color w:val="0000EE"/>
                  <w:w w:val="94"/>
                </w:rPr>
                <w:t>Red Violet, Inc. 2018 Stock</w:t>
              </w:r>
            </w:hyperlink>
          </w:p>
        </w:tc>
        <w:tc>
          <w:tcPr>
            <w:tcW w:w="2840" w:type="dxa"/>
            <w:vAlign w:val="bottom"/>
            <w:gridSpan w:val="26"/>
          </w:tcPr>
          <w:p>
            <w:pPr>
              <w:ind w:left="20"/>
              <w:spacing w:after="0" w:line="142" w:lineRule="exact"/>
              <w:rPr>
                <w:rFonts w:ascii="Arial" w:cs="Arial" w:eastAsia="Arial" w:hAnsi="Arial"/>
                <w:sz w:val="14"/>
                <w:szCs w:val="14"/>
                <w:color w:val="0000EE"/>
              </w:rPr>
            </w:pPr>
            <w:hyperlink r:id="rId62">
              <w:r>
                <w:rPr>
                  <w:rFonts w:ascii="Arial" w:cs="Arial" w:eastAsia="Arial" w:hAnsi="Arial"/>
                  <w:sz w:val="14"/>
                  <w:szCs w:val="14"/>
                  <w:color w:val="0000EE"/>
                </w:rPr>
                <w:t>Incentive Plan</w:t>
              </w:r>
            </w:hyperlink>
            <w:r>
              <w:rPr>
                <w:rFonts w:ascii="Arial" w:cs="Arial" w:eastAsia="Arial" w:hAnsi="Arial"/>
                <w:sz w:val="14"/>
                <w:szCs w:val="14"/>
                <w:color w:val="000000"/>
              </w:rPr>
              <w:t>.</w:t>
            </w:r>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10.8</w:t>
            </w:r>
          </w:p>
        </w:tc>
        <w:tc>
          <w:tcPr>
            <w:tcW w:w="100" w:type="dxa"/>
            <w:vAlign w:val="bottom"/>
          </w:tcPr>
          <w:p>
            <w:pPr>
              <w:spacing w:after="0"/>
              <w:rPr>
                <w:sz w:val="12"/>
                <w:szCs w:val="12"/>
                <w:color w:val="auto"/>
              </w:rPr>
            </w:pPr>
          </w:p>
        </w:tc>
        <w:tc>
          <w:tcPr>
            <w:tcW w:w="2460" w:type="dxa"/>
            <w:vAlign w:val="bottom"/>
            <w:tcBorders>
              <w:top w:val="single" w:sz="8" w:color="0000EE"/>
            </w:tcBorders>
            <w:gridSpan w:val="14"/>
          </w:tcPr>
          <w:p>
            <w:pPr>
              <w:spacing w:after="0" w:line="142" w:lineRule="exact"/>
              <w:rPr>
                <w:rFonts w:ascii="Arial" w:cs="Arial" w:eastAsia="Arial" w:hAnsi="Arial"/>
                <w:sz w:val="14"/>
                <w:szCs w:val="14"/>
                <w:color w:val="0000EE"/>
              </w:rPr>
            </w:pPr>
            <w:hyperlink r:id="rId63">
              <w:r>
                <w:rPr>
                  <w:rFonts w:ascii="Arial" w:cs="Arial" w:eastAsia="Arial" w:hAnsi="Arial"/>
                  <w:sz w:val="14"/>
                  <w:szCs w:val="14"/>
                  <w:color w:val="0000EE"/>
                </w:rPr>
                <w:t>Form of Indemnification Agreement</w:t>
              </w:r>
            </w:hyperlink>
            <w:r>
              <w:rPr>
                <w:rFonts w:ascii="Arial" w:cs="Arial" w:eastAsia="Arial" w:hAnsi="Arial"/>
                <w:sz w:val="14"/>
                <w:szCs w:val="14"/>
                <w:color w:val="000000"/>
              </w:rPr>
              <w:t>.</w:t>
            </w:r>
          </w:p>
        </w:tc>
        <w:tc>
          <w:tcPr>
            <w:tcW w:w="62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040" w:type="dxa"/>
            <w:vAlign w:val="bottom"/>
          </w:tcPr>
          <w:p>
            <w:pPr>
              <w:spacing w:after="0" w:line="142" w:lineRule="exact"/>
              <w:rPr>
                <w:sz w:val="20"/>
                <w:szCs w:val="20"/>
                <w:color w:val="auto"/>
              </w:rPr>
            </w:pPr>
            <w:r>
              <w:rPr>
                <w:rFonts w:ascii="Arial" w:cs="Arial" w:eastAsia="Arial" w:hAnsi="Arial"/>
                <w:sz w:val="14"/>
                <w:szCs w:val="14"/>
                <w:color w:val="auto"/>
              </w:rPr>
              <w:t>8-K</w:t>
            </w:r>
          </w:p>
        </w:tc>
        <w:tc>
          <w:tcPr>
            <w:tcW w:w="1160" w:type="dxa"/>
            <w:vAlign w:val="bottom"/>
            <w:gridSpan w:val="2"/>
          </w:tcPr>
          <w:p>
            <w:pPr>
              <w:jc w:val="right"/>
              <w:ind w:right="353"/>
              <w:spacing w:after="0" w:line="142" w:lineRule="exact"/>
              <w:rPr>
                <w:sz w:val="20"/>
                <w:szCs w:val="20"/>
                <w:color w:val="auto"/>
              </w:rPr>
            </w:pPr>
            <w:r>
              <w:rPr>
                <w:rFonts w:ascii="Arial" w:cs="Arial" w:eastAsia="Arial" w:hAnsi="Arial"/>
                <w:sz w:val="14"/>
                <w:szCs w:val="14"/>
                <w:color w:val="auto"/>
              </w:rPr>
              <w:t>001-38407</w:t>
            </w:r>
          </w:p>
        </w:tc>
        <w:tc>
          <w:tcPr>
            <w:tcW w:w="116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10.6</w:t>
            </w:r>
          </w:p>
        </w:tc>
        <w:tc>
          <w:tcPr>
            <w:tcW w:w="1560" w:type="dxa"/>
            <w:vAlign w:val="bottom"/>
            <w:gridSpan w:val="3"/>
          </w:tcPr>
          <w:p>
            <w:pPr>
              <w:ind w:left="120"/>
              <w:spacing w:after="0" w:line="142" w:lineRule="exact"/>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10-Q</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10.1</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August 8, 2018</w:t>
            </w: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gridSpan w:val="34"/>
          </w:tcPr>
          <w:p>
            <w:pPr>
              <w:spacing w:after="0" w:line="142" w:lineRule="exact"/>
              <w:rPr>
                <w:rFonts w:ascii="Arial" w:cs="Arial" w:eastAsia="Arial" w:hAnsi="Arial"/>
                <w:sz w:val="14"/>
                <w:szCs w:val="14"/>
                <w:color w:val="0000EE"/>
                <w:w w:val="98"/>
              </w:rPr>
            </w:pPr>
            <w:hyperlink r:id="rId64">
              <w:r>
                <w:rPr>
                  <w:rFonts w:ascii="Arial" w:cs="Arial" w:eastAsia="Arial" w:hAnsi="Arial"/>
                  <w:sz w:val="14"/>
                  <w:szCs w:val="14"/>
                  <w:color w:val="0000EE"/>
                  <w:w w:val="98"/>
                </w:rPr>
                <w:t>Executive Chairman Services Agreement, effective as of August 7, 2018,</w:t>
              </w:r>
            </w:hyperlink>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1"/>
                <w:szCs w:val="11"/>
                <w:color w:val="auto"/>
              </w:rPr>
            </w:pPr>
          </w:p>
        </w:tc>
        <w:tc>
          <w:tcPr>
            <w:tcW w:w="4220" w:type="dxa"/>
            <w:vAlign w:val="bottom"/>
            <w:tcBorders>
              <w:top w:val="single" w:sz="8" w:color="0000EE"/>
            </w:tcBorders>
            <w:gridSpan w:val="27"/>
          </w:tcPr>
          <w:p>
            <w:pPr>
              <w:spacing w:after="0" w:line="129" w:lineRule="exact"/>
              <w:rPr>
                <w:rFonts w:ascii="Arial" w:cs="Arial" w:eastAsia="Arial" w:hAnsi="Arial"/>
                <w:sz w:val="14"/>
                <w:szCs w:val="14"/>
                <w:color w:val="0000EE"/>
              </w:rPr>
            </w:pPr>
            <w:hyperlink r:id="rId64">
              <w:r>
                <w:rPr>
                  <w:rFonts w:ascii="Arial" w:cs="Arial" w:eastAsia="Arial" w:hAnsi="Arial"/>
                  <w:sz w:val="14"/>
                  <w:szCs w:val="14"/>
                  <w:color w:val="0000EE"/>
                </w:rPr>
                <w:t>by and between Red Violet, Inc. and Michael Brauser</w:t>
              </w:r>
              <w:r>
                <w:rPr>
                  <w:rFonts w:ascii="Arial" w:cs="Arial" w:eastAsia="Arial" w:hAnsi="Arial"/>
                  <w:sz w:val="14"/>
                  <w:szCs w:val="14"/>
                  <w:color w:val="000000"/>
                </w:rPr>
                <w:t>.</w:t>
              </w:r>
            </w:hyperlink>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10-Q</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10.2</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November 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Borders>
              <w:top w:val="single" w:sz="8" w:color="0000EE"/>
            </w:tcBorders>
            <w:gridSpan w:val="17"/>
          </w:tcPr>
          <w:p>
            <w:pPr>
              <w:spacing w:after="0" w:line="142" w:lineRule="exact"/>
              <w:rPr>
                <w:rFonts w:ascii="Arial" w:cs="Arial" w:eastAsia="Arial" w:hAnsi="Arial"/>
                <w:sz w:val="14"/>
                <w:szCs w:val="14"/>
                <w:color w:val="0000EE"/>
                <w:w w:val="88"/>
              </w:rPr>
            </w:pPr>
            <w:hyperlink r:id="rId65">
              <w:r>
                <w:rPr>
                  <w:rFonts w:ascii="Arial" w:cs="Arial" w:eastAsia="Arial" w:hAnsi="Arial"/>
                  <w:sz w:val="14"/>
                  <w:szCs w:val="14"/>
                  <w:color w:val="0000EE"/>
                  <w:w w:val="88"/>
                </w:rPr>
                <w:t>Form of 2018 Time- and Performance-Based Restricted</w:t>
              </w:r>
            </w:hyperlink>
          </w:p>
        </w:tc>
        <w:tc>
          <w:tcPr>
            <w:tcW w:w="1380" w:type="dxa"/>
            <w:vAlign w:val="bottom"/>
            <w:gridSpan w:val="17"/>
          </w:tcPr>
          <w:p>
            <w:pPr>
              <w:jc w:val="right"/>
              <w:ind w:right="180"/>
              <w:spacing w:after="0" w:line="142" w:lineRule="exact"/>
              <w:rPr>
                <w:rFonts w:ascii="Arial" w:cs="Arial" w:eastAsia="Arial" w:hAnsi="Arial"/>
                <w:sz w:val="14"/>
                <w:szCs w:val="14"/>
                <w:color w:val="0000EE"/>
              </w:rPr>
            </w:pPr>
            <w:hyperlink r:id="rId65">
              <w:r>
                <w:rPr>
                  <w:rFonts w:ascii="Arial" w:cs="Arial" w:eastAsia="Arial" w:hAnsi="Arial"/>
                  <w:sz w:val="14"/>
                  <w:szCs w:val="14"/>
                  <w:color w:val="0000EE"/>
                </w:rPr>
                <w:t>Stock Unit Award</w:t>
              </w:r>
            </w:hyperlink>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11"/>
                <w:szCs w:val="11"/>
                <w:color w:val="auto"/>
              </w:rPr>
            </w:pPr>
          </w:p>
        </w:tc>
        <w:tc>
          <w:tcPr>
            <w:tcW w:w="4280" w:type="dxa"/>
            <w:vAlign w:val="bottom"/>
            <w:tcBorders>
              <w:top w:val="single" w:sz="8" w:color="0000EE"/>
            </w:tcBorders>
            <w:gridSpan w:val="29"/>
          </w:tcPr>
          <w:p>
            <w:pPr>
              <w:spacing w:after="0" w:line="129" w:lineRule="exact"/>
              <w:rPr>
                <w:rFonts w:ascii="Arial" w:cs="Arial" w:eastAsia="Arial" w:hAnsi="Arial"/>
                <w:sz w:val="14"/>
                <w:szCs w:val="14"/>
                <w:color w:val="0000EE"/>
              </w:rPr>
            </w:pPr>
            <w:hyperlink r:id="rId65">
              <w:r>
                <w:rPr>
                  <w:rFonts w:ascii="Arial" w:cs="Arial" w:eastAsia="Arial" w:hAnsi="Arial"/>
                  <w:sz w:val="14"/>
                  <w:szCs w:val="14"/>
                  <w:color w:val="0000EE"/>
                </w:rPr>
                <w:t>Agreement</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10-Q</w:t>
            </w:r>
          </w:p>
        </w:tc>
        <w:tc>
          <w:tcPr>
            <w:tcW w:w="1160" w:type="dxa"/>
            <w:vAlign w:val="bottom"/>
            <w:gridSpan w:val="2"/>
            <w:vMerge w:val="restart"/>
          </w:tcPr>
          <w:p>
            <w:pPr>
              <w:jc w:val="right"/>
              <w:ind w:right="353"/>
              <w:spacing w:after="0"/>
              <w:rPr>
                <w:sz w:val="20"/>
                <w:szCs w:val="20"/>
                <w:color w:val="auto"/>
              </w:rPr>
            </w:pPr>
            <w:r>
              <w:rPr>
                <w:rFonts w:ascii="Arial" w:cs="Arial" w:eastAsia="Arial" w:hAnsi="Arial"/>
                <w:sz w:val="14"/>
                <w:szCs w:val="14"/>
                <w:color w:val="auto"/>
              </w:rPr>
              <w:t>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10.1</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August 5, 2019</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0000EE"/>
            </w:tcBorders>
            <w:gridSpan w:val="3"/>
          </w:tcPr>
          <w:p>
            <w:pPr>
              <w:spacing w:after="0" w:line="142" w:lineRule="exact"/>
              <w:rPr>
                <w:rFonts w:ascii="Arial" w:cs="Arial" w:eastAsia="Arial" w:hAnsi="Arial"/>
                <w:sz w:val="14"/>
                <w:szCs w:val="14"/>
                <w:color w:val="0000EE"/>
                <w:w w:val="79"/>
              </w:rPr>
            </w:pPr>
            <w:hyperlink r:id="rId66">
              <w:r>
                <w:rPr>
                  <w:rFonts w:ascii="Arial" w:cs="Arial" w:eastAsia="Arial" w:hAnsi="Arial"/>
                  <w:sz w:val="14"/>
                  <w:szCs w:val="14"/>
                  <w:color w:val="0000EE"/>
                  <w:w w:val="79"/>
                </w:rPr>
                <w:t>Employment</w:t>
              </w:r>
            </w:hyperlink>
          </w:p>
        </w:tc>
        <w:tc>
          <w:tcPr>
            <w:tcW w:w="3820" w:type="dxa"/>
            <w:vAlign w:val="bottom"/>
            <w:gridSpan w:val="31"/>
          </w:tcPr>
          <w:p>
            <w:pPr>
              <w:ind w:left="140"/>
              <w:spacing w:after="0" w:line="142" w:lineRule="exact"/>
              <w:rPr>
                <w:rFonts w:ascii="Arial" w:cs="Arial" w:eastAsia="Arial" w:hAnsi="Arial"/>
                <w:sz w:val="14"/>
                <w:szCs w:val="14"/>
                <w:color w:val="0000EE"/>
                <w:w w:val="97"/>
              </w:rPr>
            </w:pPr>
            <w:hyperlink r:id="rId66">
              <w:r>
                <w:rPr>
                  <w:rFonts w:ascii="Arial" w:cs="Arial" w:eastAsia="Arial" w:hAnsi="Arial"/>
                  <w:sz w:val="14"/>
                  <w:szCs w:val="14"/>
                  <w:color w:val="0000EE"/>
                  <w:w w:val="97"/>
                </w:rPr>
                <w:t>Agreement between Red Violet, Inc. and Jeffrey Dell entered</w:t>
              </w:r>
            </w:hyperlink>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1"/>
                <w:szCs w:val="11"/>
                <w:color w:val="auto"/>
              </w:rPr>
            </w:pPr>
          </w:p>
        </w:tc>
        <w:tc>
          <w:tcPr>
            <w:tcW w:w="4300" w:type="dxa"/>
            <w:vAlign w:val="bottom"/>
            <w:tcBorders>
              <w:top w:val="single" w:sz="8" w:color="0000EE"/>
            </w:tcBorders>
            <w:gridSpan w:val="30"/>
          </w:tcPr>
          <w:p>
            <w:pPr>
              <w:spacing w:after="0" w:line="129" w:lineRule="exact"/>
              <w:rPr>
                <w:rFonts w:ascii="Arial" w:cs="Arial" w:eastAsia="Arial" w:hAnsi="Arial"/>
                <w:sz w:val="14"/>
                <w:szCs w:val="14"/>
                <w:color w:val="0000EE"/>
              </w:rPr>
            </w:pPr>
            <w:hyperlink r:id="rId66">
              <w:r>
                <w:rPr>
                  <w:rFonts w:ascii="Arial" w:cs="Arial" w:eastAsia="Arial" w:hAnsi="Arial"/>
                  <w:sz w:val="14"/>
                  <w:szCs w:val="14"/>
                  <w:color w:val="0000EE"/>
                </w:rPr>
                <w:t>into on April 9, 2019</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0001-38407</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10.1</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color w:val="auto"/>
              </w:rPr>
              <w:t>August 28, 2019</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top w:val="single" w:sz="8" w:color="0000EE"/>
            </w:tcBorders>
            <w:gridSpan w:val="4"/>
          </w:tcPr>
          <w:p>
            <w:pPr>
              <w:spacing w:after="0" w:line="142" w:lineRule="exact"/>
              <w:rPr>
                <w:rFonts w:ascii="Arial" w:cs="Arial" w:eastAsia="Arial" w:hAnsi="Arial"/>
                <w:sz w:val="14"/>
                <w:szCs w:val="14"/>
                <w:color w:val="0000EE"/>
                <w:w w:val="96"/>
              </w:rPr>
            </w:pPr>
            <w:hyperlink r:id="rId67">
              <w:r>
                <w:rPr>
                  <w:rFonts w:ascii="Arial" w:cs="Arial" w:eastAsia="Arial" w:hAnsi="Arial"/>
                  <w:sz w:val="14"/>
                  <w:szCs w:val="14"/>
                  <w:color w:val="0000EE"/>
                  <w:w w:val="96"/>
                </w:rPr>
                <w:t>Securities Purchase</w:t>
              </w:r>
            </w:hyperlink>
          </w:p>
        </w:tc>
        <w:tc>
          <w:tcPr>
            <w:tcW w:w="3240" w:type="dxa"/>
            <w:vAlign w:val="bottom"/>
            <w:gridSpan w:val="30"/>
          </w:tcPr>
          <w:p>
            <w:pPr>
              <w:spacing w:after="0" w:line="142" w:lineRule="exact"/>
              <w:rPr>
                <w:rFonts w:ascii="Arial" w:cs="Arial" w:eastAsia="Arial" w:hAnsi="Arial"/>
                <w:sz w:val="14"/>
                <w:szCs w:val="14"/>
                <w:color w:val="0000EE"/>
              </w:rPr>
            </w:pPr>
            <w:hyperlink r:id="rId67">
              <w:r>
                <w:rPr>
                  <w:rFonts w:ascii="Arial" w:cs="Arial" w:eastAsia="Arial" w:hAnsi="Arial"/>
                  <w:sz w:val="14"/>
                  <w:szCs w:val="14"/>
                  <w:color w:val="0000EE"/>
                </w:rPr>
                <w:t>Agreement, dated as of August 28, 2019</w:t>
              </w:r>
            </w:hyperlink>
            <w:r>
              <w:rPr>
                <w:rFonts w:ascii="Arial" w:cs="Arial" w:eastAsia="Arial" w:hAnsi="Arial"/>
                <w:sz w:val="14"/>
                <w:szCs w:val="14"/>
                <w:color w:val="000000"/>
              </w:rPr>
              <w:t>.</w:t>
            </w:r>
          </w:p>
        </w:tc>
        <w:tc>
          <w:tcPr>
            <w:tcW w:w="10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gridSpan w:val="34"/>
          </w:tcPr>
          <w:p>
            <w:pPr>
              <w:spacing w:after="0" w:line="142" w:lineRule="exact"/>
              <w:rPr>
                <w:rFonts w:ascii="Arial" w:cs="Arial" w:eastAsia="Arial" w:hAnsi="Arial"/>
                <w:sz w:val="14"/>
                <w:szCs w:val="14"/>
                <w:color w:val="0000EE"/>
                <w:w w:val="97"/>
              </w:rPr>
            </w:pPr>
            <w:hyperlink w:anchor="page65">
              <w:r>
                <w:rPr>
                  <w:rFonts w:ascii="Arial" w:cs="Arial" w:eastAsia="Arial" w:hAnsi="Arial"/>
                  <w:sz w:val="14"/>
                  <w:szCs w:val="14"/>
                  <w:color w:val="0000EE"/>
                  <w:w w:val="97"/>
                </w:rPr>
                <w:t>Form of 2019 Time- and Performance-Based Restricted Stock Unit Award</w:t>
              </w:r>
            </w:hyperlink>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1"/>
                <w:szCs w:val="11"/>
                <w:color w:val="auto"/>
              </w:rPr>
            </w:pPr>
          </w:p>
        </w:tc>
        <w:tc>
          <w:tcPr>
            <w:tcW w:w="4280" w:type="dxa"/>
            <w:vAlign w:val="bottom"/>
            <w:tcBorders>
              <w:top w:val="single" w:sz="8" w:color="0000EE"/>
            </w:tcBorders>
            <w:gridSpan w:val="29"/>
          </w:tcPr>
          <w:p>
            <w:pPr>
              <w:spacing w:after="0" w:line="129" w:lineRule="exact"/>
              <w:rPr>
                <w:rFonts w:ascii="Arial" w:cs="Arial" w:eastAsia="Arial" w:hAnsi="Arial"/>
                <w:sz w:val="14"/>
                <w:szCs w:val="14"/>
                <w:color w:val="0000EE"/>
              </w:rPr>
            </w:pPr>
            <w:hyperlink w:anchor="page65">
              <w:r>
                <w:rPr>
                  <w:rFonts w:ascii="Arial" w:cs="Arial" w:eastAsia="Arial" w:hAnsi="Arial"/>
                  <w:sz w:val="14"/>
                  <w:szCs w:val="14"/>
                  <w:color w:val="0000EE"/>
                </w:rPr>
                <w:t>Agreement</w:t>
              </w:r>
              <w:r>
                <w:rPr>
                  <w:rFonts w:ascii="Arial" w:cs="Arial" w:eastAsia="Arial" w:hAnsi="Arial"/>
                  <w:sz w:val="14"/>
                  <w:szCs w:val="14"/>
                  <w:color w:val="000000"/>
                </w:rPr>
                <w:t>.</w:t>
              </w:r>
            </w:hyperlink>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0000EE"/>
            </w:tcBorders>
            <w:gridSpan w:val="3"/>
          </w:tcPr>
          <w:p>
            <w:pPr>
              <w:spacing w:after="0" w:line="142" w:lineRule="exact"/>
              <w:rPr>
                <w:rFonts w:ascii="Arial" w:cs="Arial" w:eastAsia="Arial" w:hAnsi="Arial"/>
                <w:sz w:val="14"/>
                <w:szCs w:val="14"/>
                <w:color w:val="0000EE"/>
                <w:w w:val="81"/>
              </w:rPr>
            </w:pPr>
            <w:hyperlink w:anchor="page71">
              <w:r>
                <w:rPr>
                  <w:rFonts w:ascii="Arial" w:cs="Arial" w:eastAsia="Arial" w:hAnsi="Arial"/>
                  <w:sz w:val="14"/>
                  <w:szCs w:val="14"/>
                  <w:color w:val="0000EE"/>
                  <w:w w:val="81"/>
                </w:rPr>
                <w:t>Subsidiaries</w:t>
              </w:r>
            </w:hyperlink>
          </w:p>
        </w:tc>
        <w:tc>
          <w:tcPr>
            <w:tcW w:w="3820" w:type="dxa"/>
            <w:vAlign w:val="bottom"/>
            <w:gridSpan w:val="31"/>
          </w:tcPr>
          <w:p>
            <w:pPr>
              <w:ind w:left="100"/>
              <w:spacing w:after="0" w:line="142" w:lineRule="exact"/>
              <w:rPr>
                <w:rFonts w:ascii="Arial" w:cs="Arial" w:eastAsia="Arial" w:hAnsi="Arial"/>
                <w:sz w:val="14"/>
                <w:szCs w:val="14"/>
                <w:color w:val="0000EE"/>
              </w:rPr>
            </w:pPr>
            <w:hyperlink w:anchor="page71">
              <w:r>
                <w:rPr>
                  <w:rFonts w:ascii="Arial" w:cs="Arial" w:eastAsia="Arial" w:hAnsi="Arial"/>
                  <w:sz w:val="14"/>
                  <w:szCs w:val="14"/>
                  <w:color w:val="0000EE"/>
                </w:rPr>
                <w:t>of Red Violet, Inc.</w:t>
              </w:r>
            </w:hyperlink>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23.1</w:t>
            </w:r>
          </w:p>
        </w:tc>
        <w:tc>
          <w:tcPr>
            <w:tcW w:w="100" w:type="dxa"/>
            <w:vAlign w:val="bottom"/>
          </w:tcPr>
          <w:p>
            <w:pPr>
              <w:spacing w:after="0"/>
              <w:rPr>
                <w:sz w:val="12"/>
                <w:szCs w:val="12"/>
                <w:color w:val="auto"/>
              </w:rPr>
            </w:pPr>
          </w:p>
        </w:tc>
        <w:tc>
          <w:tcPr>
            <w:tcW w:w="1800" w:type="dxa"/>
            <w:vAlign w:val="bottom"/>
            <w:tcBorders>
              <w:top w:val="single" w:sz="8" w:color="0000EE"/>
            </w:tcBorders>
            <w:gridSpan w:val="10"/>
          </w:tcPr>
          <w:p>
            <w:pPr>
              <w:spacing w:after="0" w:line="142" w:lineRule="exact"/>
              <w:rPr>
                <w:rFonts w:ascii="Arial" w:cs="Arial" w:eastAsia="Arial" w:hAnsi="Arial"/>
                <w:sz w:val="14"/>
                <w:szCs w:val="14"/>
                <w:color w:val="0000EE"/>
                <w:w w:val="91"/>
              </w:rPr>
            </w:pPr>
            <w:hyperlink w:anchor="page72">
              <w:r>
                <w:rPr>
                  <w:rFonts w:ascii="Arial" w:cs="Arial" w:eastAsia="Arial" w:hAnsi="Arial"/>
                  <w:sz w:val="14"/>
                  <w:szCs w:val="14"/>
                  <w:color w:val="0000EE"/>
                  <w:w w:val="91"/>
                </w:rPr>
                <w:t>Consent of Grant Thornton LLP</w:t>
              </w:r>
            </w:hyperlink>
          </w:p>
        </w:tc>
        <w:tc>
          <w:tcPr>
            <w:tcW w:w="2240" w:type="dxa"/>
            <w:vAlign w:val="bottom"/>
            <w:gridSpan w:val="11"/>
          </w:tcPr>
          <w:p>
            <w:pPr>
              <w:jc w:val="right"/>
              <w:ind w:right="216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7"/>
          </w:tcPr>
          <w:p>
            <w:pPr>
              <w:spacing w:after="0"/>
              <w:rPr>
                <w:sz w:val="12"/>
                <w:szCs w:val="12"/>
                <w:color w:val="auto"/>
              </w:rPr>
            </w:pPr>
          </w:p>
        </w:tc>
        <w:tc>
          <w:tcPr>
            <w:tcW w:w="140" w:type="dxa"/>
            <w:vAlign w:val="bottom"/>
            <w:gridSpan w:val="3"/>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31.1</w:t>
            </w:r>
          </w:p>
        </w:tc>
        <w:tc>
          <w:tcPr>
            <w:tcW w:w="100" w:type="dxa"/>
            <w:vAlign w:val="bottom"/>
          </w:tcPr>
          <w:p>
            <w:pPr>
              <w:spacing w:after="0"/>
              <w:rPr>
                <w:sz w:val="12"/>
                <w:szCs w:val="12"/>
                <w:color w:val="auto"/>
              </w:rPr>
            </w:pPr>
          </w:p>
        </w:tc>
        <w:tc>
          <w:tcPr>
            <w:tcW w:w="1860" w:type="dxa"/>
            <w:vAlign w:val="bottom"/>
            <w:tcBorders>
              <w:top w:val="single" w:sz="8" w:color="0000EE"/>
            </w:tcBorders>
            <w:gridSpan w:val="11"/>
          </w:tcPr>
          <w:p>
            <w:pPr>
              <w:spacing w:after="0" w:line="142" w:lineRule="exact"/>
              <w:rPr>
                <w:rFonts w:ascii="Arial" w:cs="Arial" w:eastAsia="Arial" w:hAnsi="Arial"/>
                <w:sz w:val="14"/>
                <w:szCs w:val="14"/>
                <w:color w:val="0000EE"/>
                <w:w w:val="96"/>
              </w:rPr>
            </w:pPr>
            <w:hyperlink w:anchor="page73">
              <w:r>
                <w:rPr>
                  <w:rFonts w:ascii="Arial" w:cs="Arial" w:eastAsia="Arial" w:hAnsi="Arial"/>
                  <w:sz w:val="14"/>
                  <w:szCs w:val="14"/>
                  <w:color w:val="0000EE"/>
                  <w:w w:val="96"/>
                </w:rPr>
                <w:t>Certification of Chief Executive</w:t>
              </w:r>
            </w:hyperlink>
          </w:p>
        </w:tc>
        <w:tc>
          <w:tcPr>
            <w:tcW w:w="2600" w:type="dxa"/>
            <w:vAlign w:val="bottom"/>
            <w:gridSpan w:val="23"/>
          </w:tcPr>
          <w:p>
            <w:pPr>
              <w:ind w:left="20"/>
              <w:spacing w:after="0" w:line="142" w:lineRule="exact"/>
              <w:rPr>
                <w:rFonts w:ascii="Arial" w:cs="Arial" w:eastAsia="Arial" w:hAnsi="Arial"/>
                <w:sz w:val="14"/>
                <w:szCs w:val="14"/>
                <w:color w:val="0000EE"/>
              </w:rPr>
            </w:pPr>
            <w:hyperlink w:anchor="page73">
              <w:r>
                <w:rPr>
                  <w:rFonts w:ascii="Arial" w:cs="Arial" w:eastAsia="Arial" w:hAnsi="Arial"/>
                  <w:sz w:val="14"/>
                  <w:szCs w:val="14"/>
                  <w:color w:val="0000EE"/>
                </w:rPr>
                <w:t>Officer filed pursuant to Exchange Act</w:t>
              </w:r>
            </w:hyperlink>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760" w:type="dxa"/>
            <w:vAlign w:val="bottom"/>
            <w:gridSpan w:val="1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60" w:type="dxa"/>
            <w:vAlign w:val="bottom"/>
            <w:gridSpan w:val="34"/>
          </w:tcPr>
          <w:p>
            <w:pPr>
              <w:spacing w:after="0" w:line="129" w:lineRule="exact"/>
              <w:rPr>
                <w:rFonts w:ascii="Arial" w:cs="Arial" w:eastAsia="Arial" w:hAnsi="Arial"/>
                <w:sz w:val="14"/>
                <w:szCs w:val="14"/>
                <w:color w:val="0000EE"/>
                <w:w w:val="95"/>
              </w:rPr>
            </w:pPr>
            <w:hyperlink w:anchor="page73">
              <w:r>
                <w:rPr>
                  <w:rFonts w:ascii="Arial" w:cs="Arial" w:eastAsia="Arial" w:hAnsi="Arial"/>
                  <w:sz w:val="14"/>
                  <w:szCs w:val="14"/>
                  <w:color w:val="0000EE"/>
                  <w:w w:val="95"/>
                </w:rPr>
                <w:t>Rules 13a-14(a) and 15d-14(a) of the Securities and Exchange Act of 1934</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1"/>
                <w:szCs w:val="11"/>
                <w:color w:val="auto"/>
              </w:rPr>
            </w:pPr>
          </w:p>
        </w:tc>
        <w:tc>
          <w:tcPr>
            <w:tcW w:w="4320" w:type="dxa"/>
            <w:vAlign w:val="bottom"/>
            <w:tcBorders>
              <w:top w:val="single" w:sz="8" w:color="0000EE"/>
            </w:tcBorders>
            <w:gridSpan w:val="31"/>
          </w:tcPr>
          <w:p>
            <w:pPr>
              <w:spacing w:after="0" w:line="129" w:lineRule="exact"/>
              <w:rPr>
                <w:rFonts w:ascii="Arial" w:cs="Arial" w:eastAsia="Arial" w:hAnsi="Arial"/>
                <w:sz w:val="14"/>
                <w:szCs w:val="14"/>
                <w:color w:val="0000EE"/>
                <w:w w:val="97"/>
              </w:rPr>
            </w:pPr>
            <w:hyperlink w:anchor="page73">
              <w:r>
                <w:rPr>
                  <w:rFonts w:ascii="Arial" w:cs="Arial" w:eastAsia="Arial" w:hAnsi="Arial"/>
                  <w:sz w:val="14"/>
                  <w:szCs w:val="14"/>
                  <w:color w:val="0000EE"/>
                  <w:w w:val="97"/>
                </w:rPr>
                <w:t>as adopted pursuant to Section 302 of the Sarbanes-Oxley Act of 2002</w:t>
              </w:r>
              <w:r>
                <w:rPr>
                  <w:rFonts w:ascii="Arial" w:cs="Arial" w:eastAsia="Arial" w:hAnsi="Arial"/>
                  <w:sz w:val="14"/>
                  <w:szCs w:val="14"/>
                  <w:color w:val="000000"/>
                  <w:w w:val="97"/>
                </w:rPr>
                <w:t>.</w:t>
              </w:r>
            </w:hyperlink>
          </w:p>
        </w:tc>
        <w:tc>
          <w:tcPr>
            <w:tcW w:w="140" w:type="dxa"/>
            <w:vAlign w:val="bottom"/>
            <w:gridSpan w:val="3"/>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Borders>
              <w:top w:val="single" w:sz="8" w:color="0000EE"/>
              <w:bottom w:val="single" w:sz="8" w:color="0000EE"/>
            </w:tcBorders>
            <w:gridSpan w:val="22"/>
          </w:tcPr>
          <w:p>
            <w:pPr>
              <w:spacing w:after="0" w:line="142" w:lineRule="exact"/>
              <w:rPr>
                <w:rFonts w:ascii="Arial" w:cs="Arial" w:eastAsia="Arial" w:hAnsi="Arial"/>
                <w:sz w:val="14"/>
                <w:szCs w:val="14"/>
                <w:color w:val="0000EE"/>
                <w:w w:val="95"/>
              </w:rPr>
            </w:pPr>
            <w:hyperlink w:anchor="page74">
              <w:r>
                <w:rPr>
                  <w:rFonts w:ascii="Arial" w:cs="Arial" w:eastAsia="Arial" w:hAnsi="Arial"/>
                  <w:sz w:val="14"/>
                  <w:szCs w:val="14"/>
                  <w:color w:val="0000EE"/>
                  <w:w w:val="95"/>
                </w:rPr>
                <w:t>Certification of Chief Financial Officer filed pursuant to Exchange Act</w:t>
              </w:r>
            </w:hyperlink>
          </w:p>
        </w:tc>
        <w:tc>
          <w:tcPr>
            <w:tcW w:w="20" w:type="dxa"/>
            <w:vAlign w:val="bottom"/>
            <w:tcBorders>
              <w:bottom w:val="single" w:sz="8" w:color="0000EE"/>
            </w:tcBorders>
          </w:tcPr>
          <w:p>
            <w:pPr>
              <w:spacing w:after="0"/>
              <w:rPr>
                <w:sz w:val="12"/>
                <w:szCs w:val="12"/>
                <w:color w:val="auto"/>
              </w:rPr>
            </w:pPr>
          </w:p>
        </w:tc>
        <w:tc>
          <w:tcPr>
            <w:tcW w:w="40" w:type="dxa"/>
            <w:vAlign w:val="bottom"/>
            <w:tcBorders>
              <w:bottom w:val="single" w:sz="8" w:color="0000EE"/>
            </w:tcBorders>
          </w:tcPr>
          <w:p>
            <w:pPr>
              <w:spacing w:after="0"/>
              <w:rPr>
                <w:sz w:val="12"/>
                <w:szCs w:val="12"/>
                <w:color w:val="auto"/>
              </w:rPr>
            </w:pPr>
          </w:p>
        </w:tc>
        <w:tc>
          <w:tcPr>
            <w:tcW w:w="340" w:type="dxa"/>
            <w:vAlign w:val="bottom"/>
            <w:gridSpan w:val="10"/>
            <w:vMerge w:val="restart"/>
          </w:tcPr>
          <w:p>
            <w:pPr>
              <w:jc w:val="right"/>
              <w:ind w:right="160"/>
              <w:spacing w:after="0"/>
              <w:rPr>
                <w:rFonts w:ascii="Arial" w:cs="Arial" w:eastAsia="Arial" w:hAnsi="Arial"/>
                <w:sz w:val="10"/>
                <w:szCs w:val="10"/>
                <w:color w:val="0000EE"/>
                <w:w w:val="71"/>
              </w:rPr>
            </w:pPr>
            <w:hyperlink w:anchor="page74">
              <w:r>
                <w:rPr>
                  <w:rFonts w:ascii="Arial" w:cs="Arial" w:eastAsia="Arial" w:hAnsi="Arial"/>
                  <w:sz w:val="10"/>
                  <w:szCs w:val="10"/>
                  <w:color w:val="0000EE"/>
                  <w:w w:val="71"/>
                </w:rPr>
                <w:t>1934</w:t>
              </w:r>
            </w:hyperlink>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120" w:type="dxa"/>
            <w:vAlign w:val="bottom"/>
            <w:gridSpan w:val="24"/>
          </w:tcPr>
          <w:p>
            <w:pPr>
              <w:spacing w:after="0" w:line="129" w:lineRule="exact"/>
              <w:rPr>
                <w:rFonts w:ascii="Arial" w:cs="Arial" w:eastAsia="Arial" w:hAnsi="Arial"/>
                <w:sz w:val="14"/>
                <w:szCs w:val="14"/>
                <w:color w:val="0000EE"/>
                <w:w w:val="94"/>
              </w:rPr>
            </w:pPr>
            <w:hyperlink w:anchor="page74">
              <w:r>
                <w:rPr>
                  <w:rFonts w:ascii="Arial" w:cs="Arial" w:eastAsia="Arial" w:hAnsi="Arial"/>
                  <w:sz w:val="14"/>
                  <w:szCs w:val="14"/>
                  <w:color w:val="0000EE"/>
                  <w:w w:val="94"/>
                </w:rPr>
                <w:t>Rules 13a-14(a) and 15d-14(a) of the Securities and Exchange Act of</w:t>
              </w:r>
            </w:hyperlink>
          </w:p>
        </w:tc>
        <w:tc>
          <w:tcPr>
            <w:tcW w:w="340" w:type="dxa"/>
            <w:vAlign w:val="bottom"/>
            <w:gridSpan w:val="10"/>
            <w:vMerge w:val="continue"/>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1"/>
                <w:szCs w:val="11"/>
                <w:color w:val="auto"/>
              </w:rPr>
            </w:pPr>
          </w:p>
        </w:tc>
        <w:tc>
          <w:tcPr>
            <w:tcW w:w="4320" w:type="dxa"/>
            <w:vAlign w:val="bottom"/>
            <w:tcBorders>
              <w:top w:val="single" w:sz="8" w:color="0000EE"/>
            </w:tcBorders>
            <w:gridSpan w:val="31"/>
          </w:tcPr>
          <w:p>
            <w:pPr>
              <w:spacing w:after="0" w:line="129" w:lineRule="exact"/>
              <w:rPr>
                <w:rFonts w:ascii="Arial" w:cs="Arial" w:eastAsia="Arial" w:hAnsi="Arial"/>
                <w:sz w:val="14"/>
                <w:szCs w:val="14"/>
                <w:color w:val="0000EE"/>
                <w:w w:val="97"/>
              </w:rPr>
            </w:pPr>
            <w:hyperlink w:anchor="page74">
              <w:r>
                <w:rPr>
                  <w:rFonts w:ascii="Arial" w:cs="Arial" w:eastAsia="Arial" w:hAnsi="Arial"/>
                  <w:sz w:val="14"/>
                  <w:szCs w:val="14"/>
                  <w:color w:val="0000EE"/>
                  <w:w w:val="97"/>
                </w:rPr>
                <w:t>as adopted pursuant to Section 302 of the Sarbanes-Oxley Act of 2002</w:t>
              </w:r>
              <w:r>
                <w:rPr>
                  <w:rFonts w:ascii="Arial" w:cs="Arial" w:eastAsia="Arial" w:hAnsi="Arial"/>
                  <w:sz w:val="14"/>
                  <w:szCs w:val="14"/>
                  <w:color w:val="000000"/>
                  <w:w w:val="97"/>
                </w:rPr>
                <w:t>.</w:t>
              </w:r>
            </w:hyperlink>
          </w:p>
        </w:tc>
        <w:tc>
          <w:tcPr>
            <w:tcW w:w="140" w:type="dxa"/>
            <w:vAlign w:val="bottom"/>
            <w:gridSpan w:val="3"/>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Borders>
              <w:top w:val="single" w:sz="8" w:color="0000EE"/>
              <w:bottom w:val="single" w:sz="8" w:color="0000EE"/>
            </w:tcBorders>
            <w:gridSpan w:val="22"/>
          </w:tcPr>
          <w:p>
            <w:pPr>
              <w:spacing w:after="0" w:line="142" w:lineRule="exact"/>
              <w:rPr>
                <w:rFonts w:ascii="Arial" w:cs="Arial" w:eastAsia="Arial" w:hAnsi="Arial"/>
                <w:sz w:val="14"/>
                <w:szCs w:val="14"/>
                <w:color w:val="0000EE"/>
                <w:w w:val="94"/>
              </w:rPr>
            </w:pPr>
            <w:hyperlink w:anchor="page75">
              <w:r>
                <w:rPr>
                  <w:rFonts w:ascii="Arial" w:cs="Arial" w:eastAsia="Arial" w:hAnsi="Arial"/>
                  <w:sz w:val="14"/>
                  <w:szCs w:val="14"/>
                  <w:color w:val="0000EE"/>
                  <w:w w:val="94"/>
                </w:rPr>
                <w:t>Certification by Chief Executive Officer pursuant to 18 U.S.C. Section</w:t>
              </w:r>
            </w:hyperlink>
          </w:p>
        </w:tc>
        <w:tc>
          <w:tcPr>
            <w:tcW w:w="20" w:type="dxa"/>
            <w:vAlign w:val="bottom"/>
            <w:tcBorders>
              <w:bottom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10"/>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80" w:type="dxa"/>
            <w:vAlign w:val="bottom"/>
            <w:tcBorders>
              <w:bottom w:val="single" w:sz="8" w:color="0000EE"/>
            </w:tcBorders>
            <w:gridSpan w:val="23"/>
          </w:tcPr>
          <w:p>
            <w:pPr>
              <w:spacing w:after="0" w:line="129" w:lineRule="exact"/>
              <w:rPr>
                <w:rFonts w:ascii="Arial" w:cs="Arial" w:eastAsia="Arial" w:hAnsi="Arial"/>
                <w:sz w:val="14"/>
                <w:szCs w:val="14"/>
                <w:color w:val="0000EE"/>
                <w:w w:val="91"/>
              </w:rPr>
            </w:pPr>
            <w:hyperlink w:anchor="page75">
              <w:r>
                <w:rPr>
                  <w:rFonts w:ascii="Arial" w:cs="Arial" w:eastAsia="Arial" w:hAnsi="Arial"/>
                  <w:sz w:val="14"/>
                  <w:szCs w:val="14"/>
                  <w:color w:val="0000EE"/>
                  <w:w w:val="91"/>
                </w:rPr>
                <w:t>1350, as adopted pursuant to Section 906 of the Sarbanes-Oxley Act of</w:t>
              </w:r>
            </w:hyperlink>
          </w:p>
        </w:tc>
        <w:tc>
          <w:tcPr>
            <w:tcW w:w="40" w:type="dxa"/>
            <w:vAlign w:val="bottom"/>
            <w:tcBorders>
              <w:bottom w:val="single" w:sz="8" w:color="0000EE"/>
            </w:tcBorders>
          </w:tcPr>
          <w:p>
            <w:pPr>
              <w:spacing w:after="0"/>
              <w:rPr>
                <w:sz w:val="11"/>
                <w:szCs w:val="11"/>
                <w:color w:val="auto"/>
              </w:rPr>
            </w:pPr>
          </w:p>
        </w:tc>
        <w:tc>
          <w:tcPr>
            <w:tcW w:w="340" w:type="dxa"/>
            <w:vAlign w:val="bottom"/>
            <w:gridSpan w:val="10"/>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1"/>
                <w:szCs w:val="11"/>
                <w:color w:val="auto"/>
              </w:rPr>
            </w:pPr>
          </w:p>
        </w:tc>
        <w:tc>
          <w:tcPr>
            <w:tcW w:w="640" w:type="dxa"/>
            <w:vAlign w:val="bottom"/>
            <w:gridSpan w:val="3"/>
          </w:tcPr>
          <w:p>
            <w:pPr>
              <w:spacing w:after="0" w:line="129" w:lineRule="exact"/>
              <w:rPr>
                <w:rFonts w:ascii="Arial" w:cs="Arial" w:eastAsia="Arial" w:hAnsi="Arial"/>
                <w:sz w:val="14"/>
                <w:szCs w:val="14"/>
                <w:color w:val="0000EE"/>
              </w:rPr>
            </w:pPr>
            <w:hyperlink w:anchor="page75">
              <w:r>
                <w:rPr>
                  <w:rFonts w:ascii="Arial" w:cs="Arial" w:eastAsia="Arial" w:hAnsi="Arial"/>
                  <w:sz w:val="14"/>
                  <w:szCs w:val="14"/>
                  <w:color w:val="0000EE"/>
                </w:rPr>
                <w:t>2002</w:t>
              </w:r>
              <w:r>
                <w:rPr>
                  <w:rFonts w:ascii="Arial" w:cs="Arial" w:eastAsia="Arial" w:hAnsi="Arial"/>
                  <w:sz w:val="14"/>
                  <w:szCs w:val="14"/>
                  <w:color w:val="000000"/>
                </w:rPr>
                <w:t>.</w:t>
              </w:r>
            </w:hyperlink>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760" w:type="dxa"/>
            <w:vAlign w:val="bottom"/>
            <w:gridSpan w:val="19"/>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Borders>
              <w:bottom w:val="single" w:sz="8" w:color="0000EE"/>
            </w:tcBorders>
            <w:gridSpan w:val="21"/>
          </w:tcPr>
          <w:p>
            <w:pPr>
              <w:spacing w:after="0" w:line="142" w:lineRule="exact"/>
              <w:rPr>
                <w:rFonts w:ascii="Arial" w:cs="Arial" w:eastAsia="Arial" w:hAnsi="Arial"/>
                <w:sz w:val="14"/>
                <w:szCs w:val="14"/>
                <w:color w:val="0000EE"/>
                <w:w w:val="94"/>
              </w:rPr>
            </w:pPr>
            <w:hyperlink w:anchor="page76">
              <w:r>
                <w:rPr>
                  <w:rFonts w:ascii="Arial" w:cs="Arial" w:eastAsia="Arial" w:hAnsi="Arial"/>
                  <w:sz w:val="14"/>
                  <w:szCs w:val="14"/>
                  <w:color w:val="0000EE"/>
                  <w:w w:val="94"/>
                </w:rPr>
                <w:t>Certification by Chief Financial Officer pursuant to 18 U.S.C. Section</w:t>
              </w:r>
            </w:hyperlink>
          </w:p>
        </w:tc>
        <w:tc>
          <w:tcPr>
            <w:tcW w:w="420" w:type="dxa"/>
            <w:vAlign w:val="bottom"/>
            <w:gridSpan w:val="13"/>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60" w:type="dxa"/>
            <w:vAlign w:val="bottom"/>
            <w:gridSpan w:val="34"/>
          </w:tcPr>
          <w:p>
            <w:pPr>
              <w:spacing w:after="0" w:line="129" w:lineRule="exact"/>
              <w:rPr>
                <w:rFonts w:ascii="Arial" w:cs="Arial" w:eastAsia="Arial" w:hAnsi="Arial"/>
                <w:sz w:val="14"/>
                <w:szCs w:val="14"/>
                <w:color w:val="0000EE"/>
              </w:rPr>
            </w:pPr>
            <w:hyperlink w:anchor="page76">
              <w:r>
                <w:rPr>
                  <w:rFonts w:ascii="Arial" w:cs="Arial" w:eastAsia="Arial" w:hAnsi="Arial"/>
                  <w:sz w:val="14"/>
                  <w:szCs w:val="14"/>
                  <w:color w:val="0000EE"/>
                </w:rPr>
                <w:t>1350, as adopted pursuant to Section 906 of the Sarbanes-Oxley Act of</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101.INS</w:t>
            </w:r>
          </w:p>
        </w:tc>
        <w:tc>
          <w:tcPr>
            <w:tcW w:w="100" w:type="dxa"/>
            <w:vAlign w:val="bottom"/>
          </w:tcPr>
          <w:p>
            <w:pPr>
              <w:spacing w:after="0"/>
              <w:rPr>
                <w:sz w:val="11"/>
                <w:szCs w:val="11"/>
                <w:color w:val="auto"/>
              </w:rPr>
            </w:pPr>
          </w:p>
        </w:tc>
        <w:tc>
          <w:tcPr>
            <w:tcW w:w="64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76">
              <w:r>
                <w:rPr>
                  <w:rFonts w:ascii="Arial" w:cs="Arial" w:eastAsia="Arial" w:hAnsi="Arial"/>
                  <w:sz w:val="14"/>
                  <w:szCs w:val="14"/>
                  <w:color w:val="0000EE"/>
                </w:rPr>
                <w:t>2002</w:t>
              </w:r>
              <w:r>
                <w:rPr>
                  <w:rFonts w:ascii="Arial" w:cs="Arial" w:eastAsia="Arial" w:hAnsi="Arial"/>
                  <w:sz w:val="14"/>
                  <w:szCs w:val="14"/>
                  <w:color w:val="000000"/>
                </w:rPr>
                <w:t>.</w:t>
              </w:r>
            </w:hyperlink>
          </w:p>
        </w:tc>
        <w:tc>
          <w:tcPr>
            <w:tcW w:w="5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7"/>
        </w:trPr>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0000EE"/>
            </w:tcBorders>
            <w:gridSpan w:val="2"/>
          </w:tcPr>
          <w:p>
            <w:pPr>
              <w:spacing w:after="0" w:line="137" w:lineRule="exact"/>
              <w:rPr>
                <w:sz w:val="20"/>
                <w:szCs w:val="20"/>
                <w:color w:val="auto"/>
              </w:rPr>
            </w:pPr>
            <w:r>
              <w:rPr>
                <w:rFonts w:ascii="Arial" w:cs="Arial" w:eastAsia="Arial" w:hAnsi="Arial"/>
                <w:sz w:val="14"/>
                <w:szCs w:val="14"/>
                <w:color w:val="auto"/>
                <w:w w:val="77"/>
              </w:rPr>
              <w:t>Inline</w:t>
            </w:r>
          </w:p>
        </w:tc>
        <w:tc>
          <w:tcPr>
            <w:tcW w:w="4180" w:type="dxa"/>
            <w:vAlign w:val="bottom"/>
            <w:gridSpan w:val="32"/>
          </w:tcPr>
          <w:p>
            <w:pPr>
              <w:jc w:val="right"/>
              <w:ind w:right="180"/>
              <w:spacing w:after="0" w:line="137" w:lineRule="exact"/>
              <w:rPr>
                <w:sz w:val="20"/>
                <w:szCs w:val="20"/>
                <w:color w:val="auto"/>
              </w:rPr>
            </w:pPr>
            <w:r>
              <w:rPr>
                <w:rFonts w:ascii="Arial" w:cs="Arial" w:eastAsia="Arial" w:hAnsi="Arial"/>
                <w:sz w:val="14"/>
                <w:szCs w:val="14"/>
                <w:color w:val="auto"/>
                <w:w w:val="94"/>
              </w:rPr>
              <w:t>XBRL Instance Document – the instance document does not appear</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gridSpan w:val="34"/>
          </w:tcPr>
          <w:p>
            <w:pPr>
              <w:spacing w:after="0" w:line="149" w:lineRule="exact"/>
              <w:rPr>
                <w:sz w:val="20"/>
                <w:szCs w:val="20"/>
                <w:color w:val="auto"/>
              </w:rPr>
            </w:pPr>
            <w:r>
              <w:rPr>
                <w:rFonts w:ascii="Arial" w:cs="Arial" w:eastAsia="Arial" w:hAnsi="Arial"/>
                <w:sz w:val="14"/>
                <w:szCs w:val="14"/>
                <w:color w:val="auto"/>
              </w:rPr>
              <w:t>in the Interactive Data File because its XBRL tags are embedded within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gridSpan w:val="34"/>
          </w:tcPr>
          <w:p>
            <w:pPr>
              <w:spacing w:after="0"/>
              <w:rPr>
                <w:sz w:val="20"/>
                <w:szCs w:val="20"/>
                <w:color w:val="auto"/>
              </w:rPr>
            </w:pPr>
            <w:r>
              <w:rPr>
                <w:rFonts w:ascii="Arial" w:cs="Arial" w:eastAsia="Arial" w:hAnsi="Arial"/>
                <w:sz w:val="14"/>
                <w:szCs w:val="14"/>
                <w:color w:val="auto"/>
              </w:rPr>
              <w:t>the Inline XBRL document.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2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0" w:type="dxa"/>
            <w:vAlign w:val="bottom"/>
          </w:tcPr>
          <w:p>
            <w:pPr>
              <w:spacing w:after="0"/>
              <w:rPr>
                <w:sz w:val="15"/>
                <w:szCs w:val="15"/>
                <w:color w:val="auto"/>
              </w:rPr>
            </w:pPr>
          </w:p>
        </w:tc>
        <w:tc>
          <w:tcPr>
            <w:tcW w:w="4460" w:type="dxa"/>
            <w:vAlign w:val="bottom"/>
            <w:gridSpan w:val="34"/>
          </w:tcPr>
          <w:p>
            <w:pPr>
              <w:spacing w:after="0"/>
              <w:rPr>
                <w:sz w:val="20"/>
                <w:szCs w:val="20"/>
                <w:color w:val="auto"/>
              </w:rPr>
            </w:pPr>
            <w:r>
              <w:rPr>
                <w:rFonts w:ascii="Arial" w:cs="Arial" w:eastAsia="Arial" w:hAnsi="Arial"/>
                <w:sz w:val="14"/>
                <w:szCs w:val="14"/>
                <w:color w:val="auto"/>
              </w:rPr>
              <w:t>Inline XBRL Taxonomy Extension Schema Document.</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101.CAL</w:t>
            </w:r>
          </w:p>
        </w:tc>
        <w:tc>
          <w:tcPr>
            <w:tcW w:w="7160" w:type="dxa"/>
            <w:vAlign w:val="bottom"/>
          </w:tcPr>
          <w:p>
            <w:pPr>
              <w:ind w:left="340"/>
              <w:spacing w:after="0"/>
              <w:rPr>
                <w:sz w:val="20"/>
                <w:szCs w:val="20"/>
                <w:color w:val="auto"/>
              </w:rPr>
            </w:pPr>
            <w:r>
              <w:rPr>
                <w:rFonts w:ascii="Arial" w:cs="Arial" w:eastAsia="Arial" w:hAnsi="Arial"/>
                <w:sz w:val="14"/>
                <w:szCs w:val="14"/>
                <w:color w:val="auto"/>
              </w:rPr>
              <w:t>Inline XBRL Taxonomy Extension Calculation Linkbase Document.</w:t>
            </w:r>
          </w:p>
        </w:tc>
        <w:tc>
          <w:tcPr>
            <w:tcW w:w="2920" w:type="dxa"/>
            <w:vAlign w:val="bottom"/>
          </w:tcPr>
          <w:p>
            <w:pPr>
              <w:ind w:left="2820"/>
              <w:spacing w:after="0"/>
              <w:rPr>
                <w:sz w:val="20"/>
                <w:szCs w:val="20"/>
                <w:color w:val="auto"/>
              </w:rPr>
            </w:pPr>
            <w:r>
              <w:rPr>
                <w:rFonts w:ascii="Arial" w:cs="Arial" w:eastAsia="Arial" w:hAnsi="Arial"/>
                <w:sz w:val="14"/>
                <w:szCs w:val="14"/>
                <w:color w:val="auto"/>
                <w:w w:val="85"/>
              </w:rPr>
              <w:t>X</w:t>
            </w: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101.DEF</w:t>
            </w:r>
          </w:p>
        </w:tc>
        <w:tc>
          <w:tcPr>
            <w:tcW w:w="7160" w:type="dxa"/>
            <w:vAlign w:val="bottom"/>
          </w:tcPr>
          <w:p>
            <w:pPr>
              <w:ind w:left="340"/>
              <w:spacing w:after="0"/>
              <w:rPr>
                <w:sz w:val="20"/>
                <w:szCs w:val="20"/>
                <w:color w:val="auto"/>
              </w:rPr>
            </w:pPr>
            <w:r>
              <w:rPr>
                <w:rFonts w:ascii="Arial" w:cs="Arial" w:eastAsia="Arial" w:hAnsi="Arial"/>
                <w:sz w:val="14"/>
                <w:szCs w:val="14"/>
                <w:color w:val="auto"/>
              </w:rPr>
              <w:t>Inline XBRL Taxonomy Extension Definition Linkbase Document.</w:t>
            </w:r>
          </w:p>
        </w:tc>
        <w:tc>
          <w:tcPr>
            <w:tcW w:w="2920" w:type="dxa"/>
            <w:vAlign w:val="bottom"/>
          </w:tcPr>
          <w:p>
            <w:pPr>
              <w:ind w:left="2820"/>
              <w:spacing w:after="0"/>
              <w:rPr>
                <w:sz w:val="20"/>
                <w:szCs w:val="20"/>
                <w:color w:val="auto"/>
              </w:rPr>
            </w:pPr>
            <w:r>
              <w:rPr>
                <w:rFonts w:ascii="Arial" w:cs="Arial" w:eastAsia="Arial" w:hAnsi="Arial"/>
                <w:sz w:val="14"/>
                <w:szCs w:val="14"/>
                <w:color w:val="auto"/>
                <w:w w:val="85"/>
              </w:rPr>
              <w:t>X</w:t>
            </w: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101.LAB</w:t>
            </w:r>
          </w:p>
        </w:tc>
        <w:tc>
          <w:tcPr>
            <w:tcW w:w="7160" w:type="dxa"/>
            <w:vAlign w:val="bottom"/>
          </w:tcPr>
          <w:p>
            <w:pPr>
              <w:ind w:left="340"/>
              <w:spacing w:after="0"/>
              <w:rPr>
                <w:sz w:val="20"/>
                <w:szCs w:val="20"/>
                <w:color w:val="auto"/>
              </w:rPr>
            </w:pPr>
            <w:r>
              <w:rPr>
                <w:rFonts w:ascii="Arial" w:cs="Arial" w:eastAsia="Arial" w:hAnsi="Arial"/>
                <w:sz w:val="14"/>
                <w:szCs w:val="14"/>
                <w:color w:val="auto"/>
              </w:rPr>
              <w:t>Inline XBRL Taxonomy Extension Label Linkbase Document.</w:t>
            </w:r>
          </w:p>
        </w:tc>
        <w:tc>
          <w:tcPr>
            <w:tcW w:w="2920" w:type="dxa"/>
            <w:vAlign w:val="bottom"/>
          </w:tcPr>
          <w:p>
            <w:pPr>
              <w:ind w:left="2820"/>
              <w:spacing w:after="0"/>
              <w:rPr>
                <w:sz w:val="20"/>
                <w:szCs w:val="20"/>
                <w:color w:val="auto"/>
              </w:rPr>
            </w:pPr>
            <w:r>
              <w:rPr>
                <w:rFonts w:ascii="Arial" w:cs="Arial" w:eastAsia="Arial" w:hAnsi="Arial"/>
                <w:sz w:val="14"/>
                <w:szCs w:val="14"/>
                <w:color w:val="auto"/>
                <w:w w:val="85"/>
              </w:rPr>
              <w:t>X</w:t>
            </w: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101.PRE</w:t>
            </w:r>
          </w:p>
        </w:tc>
        <w:tc>
          <w:tcPr>
            <w:tcW w:w="7160" w:type="dxa"/>
            <w:vAlign w:val="bottom"/>
          </w:tcPr>
          <w:p>
            <w:pPr>
              <w:ind w:left="340"/>
              <w:spacing w:after="0"/>
              <w:rPr>
                <w:sz w:val="20"/>
                <w:szCs w:val="20"/>
                <w:color w:val="auto"/>
              </w:rPr>
            </w:pPr>
            <w:r>
              <w:rPr>
                <w:rFonts w:ascii="Arial" w:cs="Arial" w:eastAsia="Arial" w:hAnsi="Arial"/>
                <w:sz w:val="14"/>
                <w:szCs w:val="14"/>
                <w:color w:val="auto"/>
              </w:rPr>
              <w:t>Inline XBRL Taxonomy Extension Presentation Linkbase Document.</w:t>
            </w:r>
          </w:p>
        </w:tc>
        <w:tc>
          <w:tcPr>
            <w:tcW w:w="2920" w:type="dxa"/>
            <w:vAlign w:val="bottom"/>
          </w:tcPr>
          <w:p>
            <w:pPr>
              <w:ind w:left="2820"/>
              <w:spacing w:after="0"/>
              <w:rPr>
                <w:sz w:val="20"/>
                <w:szCs w:val="20"/>
                <w:color w:val="auto"/>
              </w:rPr>
            </w:pPr>
            <w:r>
              <w:rPr>
                <w:rFonts w:ascii="Arial" w:cs="Arial" w:eastAsia="Arial" w:hAnsi="Arial"/>
                <w:sz w:val="14"/>
                <w:szCs w:val="14"/>
                <w:color w:val="auto"/>
                <w:w w:val="85"/>
              </w:rPr>
              <w:t>X</w:t>
            </w:r>
          </w:p>
        </w:tc>
      </w:tr>
      <w:tr>
        <w:trPr>
          <w:trHeight w:val="148"/>
        </w:trPr>
        <w:tc>
          <w:tcPr>
            <w:tcW w:w="880" w:type="dxa"/>
            <w:vAlign w:val="bottom"/>
          </w:tcPr>
          <w:p>
            <w:pPr>
              <w:spacing w:after="0" w:line="149" w:lineRule="exact"/>
              <w:rPr>
                <w:sz w:val="20"/>
                <w:szCs w:val="20"/>
                <w:color w:val="auto"/>
              </w:rPr>
            </w:pPr>
            <w:r>
              <w:rPr>
                <w:rFonts w:ascii="Arial" w:cs="Arial" w:eastAsia="Arial" w:hAnsi="Arial"/>
                <w:sz w:val="14"/>
                <w:szCs w:val="14"/>
                <w:color w:val="auto"/>
              </w:rPr>
              <w:t>104</w:t>
            </w:r>
          </w:p>
        </w:tc>
        <w:tc>
          <w:tcPr>
            <w:tcW w:w="7160" w:type="dxa"/>
            <w:vAlign w:val="bottom"/>
          </w:tcPr>
          <w:p>
            <w:pPr>
              <w:ind w:left="340"/>
              <w:spacing w:after="0" w:line="149" w:lineRule="exact"/>
              <w:rPr>
                <w:sz w:val="20"/>
                <w:szCs w:val="20"/>
                <w:color w:val="auto"/>
              </w:rPr>
            </w:pPr>
            <w:r>
              <w:rPr>
                <w:rFonts w:ascii="Arial" w:cs="Arial" w:eastAsia="Arial" w:hAnsi="Arial"/>
                <w:sz w:val="14"/>
                <w:szCs w:val="14"/>
                <w:color w:val="auto"/>
              </w:rPr>
              <w:t>Cover Page Interactive Data File (embedded within the Inline XBRL</w:t>
            </w:r>
          </w:p>
        </w:tc>
        <w:tc>
          <w:tcPr>
            <w:tcW w:w="2920" w:type="dxa"/>
            <w:vAlign w:val="bottom"/>
          </w:tcPr>
          <w:p>
            <w:pPr>
              <w:spacing w:after="0"/>
              <w:rPr>
                <w:sz w:val="12"/>
                <w:szCs w:val="12"/>
                <w:color w:val="auto"/>
              </w:rPr>
            </w:pPr>
          </w:p>
        </w:tc>
      </w:tr>
      <w:tr>
        <w:trPr>
          <w:trHeight w:val="182"/>
        </w:trPr>
        <w:tc>
          <w:tcPr>
            <w:tcW w:w="880" w:type="dxa"/>
            <w:vAlign w:val="bottom"/>
          </w:tcPr>
          <w:p>
            <w:pPr>
              <w:spacing w:after="0"/>
              <w:rPr>
                <w:sz w:val="15"/>
                <w:szCs w:val="15"/>
                <w:color w:val="auto"/>
              </w:rPr>
            </w:pPr>
          </w:p>
        </w:tc>
        <w:tc>
          <w:tcPr>
            <w:tcW w:w="7160" w:type="dxa"/>
            <w:vAlign w:val="bottom"/>
          </w:tcPr>
          <w:p>
            <w:pPr>
              <w:ind w:left="340"/>
              <w:spacing w:after="0"/>
              <w:rPr>
                <w:sz w:val="20"/>
                <w:szCs w:val="20"/>
                <w:color w:val="auto"/>
              </w:rPr>
            </w:pPr>
            <w:r>
              <w:rPr>
                <w:rFonts w:ascii="Arial" w:cs="Arial" w:eastAsia="Arial" w:hAnsi="Arial"/>
                <w:sz w:val="14"/>
                <w:szCs w:val="14"/>
                <w:color w:val="auto"/>
              </w:rPr>
              <w:t>document).</w:t>
            </w:r>
          </w:p>
        </w:tc>
        <w:tc>
          <w:tcPr>
            <w:tcW w:w="2920" w:type="dxa"/>
            <w:vAlign w:val="bottom"/>
          </w:tcPr>
          <w:p>
            <w:pPr>
              <w:ind w:left="2820"/>
              <w:spacing w:after="0"/>
              <w:rPr>
                <w:sz w:val="20"/>
                <w:szCs w:val="20"/>
                <w:color w:val="auto"/>
              </w:rPr>
            </w:pPr>
            <w:r>
              <w:rPr>
                <w:rFonts w:ascii="Arial" w:cs="Arial" w:eastAsia="Arial" w:hAnsi="Arial"/>
                <w:sz w:val="14"/>
                <w:szCs w:val="14"/>
                <w:color w:val="auto"/>
                <w:w w:val="85"/>
              </w:rPr>
              <w:t>X</w:t>
            </w:r>
          </w:p>
        </w:tc>
      </w:tr>
    </w:tbl>
    <w:p>
      <w:pPr>
        <w:spacing w:after="0" w:line="142" w:lineRule="exact"/>
        <w:rPr>
          <w:sz w:val="20"/>
          <w:szCs w:val="20"/>
          <w:color w:val="auto"/>
        </w:rPr>
      </w:pPr>
    </w:p>
    <w:p>
      <w:pPr>
        <w:ind w:left="1220" w:hanging="1212"/>
        <w:spacing w:after="0"/>
        <w:tabs>
          <w:tab w:leader="none" w:pos="1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3" w:lineRule="exact"/>
        <w:rPr>
          <w:sz w:val="20"/>
          <w:szCs w:val="20"/>
          <w:color w:val="auto"/>
        </w:rPr>
      </w:pPr>
    </w:p>
    <w:p>
      <w:pPr>
        <w:ind w:left="1220" w:hanging="1212"/>
        <w:spacing w:after="0" w:line="237" w:lineRule="auto"/>
        <w:tabs>
          <w:tab w:leader="none" w:pos="1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66" w:right="4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2"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March 12, 2020</w:t>
      </w:r>
      <w:r>
        <w:rPr>
          <w:sz w:val="20"/>
          <w:szCs w:val="20"/>
          <w:color w:val="auto"/>
        </w:rPr>
        <w:tab/>
      </w:r>
      <w:r>
        <w:rPr>
          <w:rFonts w:ascii="Arial" w:cs="Arial" w:eastAsia="Arial" w:hAnsi="Arial"/>
          <w:sz w:val="18"/>
          <w:szCs w:val="18"/>
          <w:b w:val="1"/>
          <w:bCs w:val="1"/>
          <w:color w:val="auto"/>
        </w:rPr>
        <w:t>RED VIOLET, INC.</w:t>
      </w:r>
    </w:p>
    <w:p>
      <w:pPr>
        <w:spacing w:after="0" w:line="255" w:lineRule="exact"/>
        <w:rPr>
          <w:sz w:val="20"/>
          <w:szCs w:val="20"/>
          <w:color w:val="auto"/>
        </w:rPr>
      </w:pPr>
    </w:p>
    <w:p>
      <w:pPr>
        <w:ind w:left="622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14605</wp:posOffset>
            </wp:positionV>
            <wp:extent cx="29197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Derek Dubner</w:t>
      </w:r>
    </w:p>
    <w:p>
      <w:pPr>
        <w:spacing w:after="0" w:line="2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237" w:lineRule="exact"/>
        <w:rPr>
          <w:sz w:val="20"/>
          <w:szCs w:val="20"/>
          <w:color w:val="auto"/>
        </w:rPr>
      </w:pPr>
    </w:p>
    <w:p>
      <w:pPr>
        <w:ind w:left="622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14605</wp:posOffset>
            </wp:positionV>
            <wp:extent cx="2919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Daniel MacLachlan</w:t>
      </w:r>
    </w:p>
    <w:p>
      <w:pPr>
        <w:spacing w:after="0" w:line="2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Dubner</w:t>
            </w:r>
          </w:p>
        </w:tc>
        <w:tc>
          <w:tcPr>
            <w:tcW w:w="120" w:type="dxa"/>
            <w:vAlign w:val="bottom"/>
          </w:tcPr>
          <w:p>
            <w:pPr>
              <w:spacing w:after="0"/>
              <w:rPr>
                <w:sz w:val="24"/>
                <w:szCs w:val="24"/>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Interim Chairman</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Derek Dubner</w:t>
            </w:r>
          </w:p>
        </w:tc>
        <w:tc>
          <w:tcPr>
            <w:tcW w:w="120" w:type="dxa"/>
            <w:vAlign w:val="bottom"/>
          </w:tcPr>
          <w:p>
            <w:pPr>
              <w:spacing w:after="0"/>
              <w:rPr>
                <w:sz w:val="19"/>
                <w:szCs w:val="19"/>
                <w:color w:val="auto"/>
              </w:rPr>
            </w:pPr>
          </w:p>
        </w:tc>
        <w:tc>
          <w:tcPr>
            <w:tcW w:w="4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680" w:type="dxa"/>
            <w:vAlign w:val="bottom"/>
          </w:tcPr>
          <w:p>
            <w:pPr>
              <w:spacing w:after="0"/>
              <w:rPr>
                <w:sz w:val="19"/>
                <w:szCs w:val="19"/>
                <w:color w:val="auto"/>
              </w:rPr>
            </w:pPr>
          </w:p>
        </w:tc>
      </w:tr>
      <w:tr>
        <w:trPr>
          <w:trHeight w:val="323"/>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MacLachlan</w:t>
            </w:r>
          </w:p>
        </w:tc>
        <w:tc>
          <w:tcPr>
            <w:tcW w:w="120" w:type="dxa"/>
            <w:vAlign w:val="bottom"/>
          </w:tcPr>
          <w:p>
            <w:pPr>
              <w:spacing w:after="0"/>
              <w:rPr>
                <w:sz w:val="24"/>
                <w:szCs w:val="24"/>
                <w:color w:val="auto"/>
              </w:rPr>
            </w:pPr>
          </w:p>
        </w:tc>
        <w:tc>
          <w:tcPr>
            <w:tcW w:w="4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Daniel MacLachlan</w:t>
            </w:r>
          </w:p>
        </w:tc>
        <w:tc>
          <w:tcPr>
            <w:tcW w:w="120" w:type="dxa"/>
            <w:vAlign w:val="bottom"/>
          </w:tcPr>
          <w:p>
            <w:pPr>
              <w:spacing w:after="0"/>
              <w:rPr>
                <w:sz w:val="19"/>
                <w:szCs w:val="19"/>
                <w:color w:val="auto"/>
              </w:rPr>
            </w:pPr>
          </w:p>
        </w:tc>
        <w:tc>
          <w:tcPr>
            <w:tcW w:w="4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1680" w:type="dxa"/>
            <w:vAlign w:val="bottom"/>
          </w:tcPr>
          <w:p>
            <w:pPr>
              <w:spacing w:after="0"/>
              <w:rPr>
                <w:sz w:val="19"/>
                <w:szCs w:val="19"/>
                <w:color w:val="auto"/>
              </w:rPr>
            </w:pPr>
          </w:p>
        </w:tc>
      </w:tr>
      <w:tr>
        <w:trPr>
          <w:trHeight w:val="323"/>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Rubin</w:t>
            </w:r>
          </w:p>
        </w:tc>
        <w:tc>
          <w:tcPr>
            <w:tcW w:w="120" w:type="dxa"/>
            <w:vAlign w:val="bottom"/>
          </w:tcPr>
          <w:p>
            <w:pPr>
              <w:spacing w:after="0"/>
              <w:rPr>
                <w:sz w:val="24"/>
                <w:szCs w:val="24"/>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Steven D. Rubin</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23"/>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Benz</w:t>
            </w:r>
          </w:p>
        </w:tc>
        <w:tc>
          <w:tcPr>
            <w:tcW w:w="120" w:type="dxa"/>
            <w:vAlign w:val="bottom"/>
          </w:tcPr>
          <w:p>
            <w:pPr>
              <w:spacing w:after="0"/>
              <w:rPr>
                <w:sz w:val="24"/>
                <w:szCs w:val="24"/>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Peter Benz</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23"/>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Swayman</w:t>
            </w:r>
          </w:p>
        </w:tc>
        <w:tc>
          <w:tcPr>
            <w:tcW w:w="120" w:type="dxa"/>
            <w:vAlign w:val="bottom"/>
          </w:tcPr>
          <w:p>
            <w:pPr>
              <w:spacing w:after="0"/>
              <w:rPr>
                <w:sz w:val="24"/>
                <w:szCs w:val="24"/>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Robert Swayman</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ind w:left="700"/>
              <w:spacing w:after="0"/>
              <w:rPr>
                <w:sz w:val="20"/>
                <w:szCs w:val="20"/>
                <w:color w:val="auto"/>
              </w:rPr>
            </w:pPr>
            <w:r>
              <w:rPr>
                <w:rFonts w:ascii="Arial" w:cs="Arial" w:eastAsia="Arial" w:hAnsi="Arial"/>
                <w:sz w:val="14"/>
                <w:szCs w:val="14"/>
                <w:b w:val="1"/>
                <w:bCs w:val="1"/>
                <w:color w:val="auto"/>
              </w:rPr>
              <w:t>Page</w:t>
            </w:r>
          </w:p>
        </w:tc>
      </w:tr>
      <w:tr>
        <w:trPr>
          <w:trHeight w:val="299"/>
        </w:trPr>
        <w:tc>
          <w:tcPr>
            <w:tcW w:w="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 for the years ended December 31, 2019 and 2018</w:t>
              </w:r>
            </w:hyperlink>
          </w:p>
        </w:tc>
        <w:tc>
          <w:tcPr>
            <w:tcW w:w="1120" w:type="dxa"/>
            <w:vAlign w:val="bottom"/>
          </w:tcPr>
          <w:p>
            <w:pPr>
              <w:ind w:left="660"/>
              <w:spacing w:after="0"/>
              <w:rPr>
                <w:sz w:val="20"/>
                <w:szCs w:val="20"/>
                <w:color w:val="auto"/>
              </w:rPr>
            </w:pPr>
            <w:r>
              <w:rPr>
                <w:rFonts w:ascii="Arial" w:cs="Arial" w:eastAsia="Arial" w:hAnsi="Arial"/>
                <w:sz w:val="18"/>
                <w:szCs w:val="18"/>
                <w:color w:val="auto"/>
              </w:rPr>
              <w:t>F-2</w:t>
            </w:r>
          </w:p>
        </w:tc>
      </w:tr>
      <w:tr>
        <w:trPr>
          <w:trHeight w:val="209"/>
        </w:trPr>
        <w:tc>
          <w:tcPr>
            <w:tcW w:w="20" w:type="dxa"/>
            <w:vAlign w:val="bottom"/>
          </w:tcPr>
          <w:p>
            <w:pPr>
              <w:spacing w:after="0"/>
              <w:rPr>
                <w:sz w:val="18"/>
                <w:szCs w:val="18"/>
                <w:color w:val="auto"/>
              </w:rPr>
            </w:pPr>
          </w:p>
        </w:tc>
        <w:tc>
          <w:tcPr>
            <w:tcW w:w="7620" w:type="dxa"/>
            <w:vAlign w:val="bottom"/>
            <w:tcBorders>
              <w:top w:val="single" w:sz="8" w:color="0000EE"/>
            </w:tcBorders>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as of December 31, 2019 and 2018</w:t>
              </w:r>
            </w:hyperlink>
          </w:p>
        </w:tc>
        <w:tc>
          <w:tcPr>
            <w:tcW w:w="2480" w:type="dxa"/>
            <w:vAlign w:val="bottom"/>
            <w:gridSpan w:val="2"/>
          </w:tcPr>
          <w:p>
            <w:pPr>
              <w:spacing w:after="0"/>
              <w:rPr>
                <w:sz w:val="18"/>
                <w:szCs w:val="18"/>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F-3</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0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operations for the years ended December 31, 2019 and 2018</w:t>
              </w:r>
            </w:hyperlink>
          </w:p>
        </w:tc>
        <w:tc>
          <w:tcPr>
            <w:tcW w:w="1120" w:type="dxa"/>
            <w:vAlign w:val="bottom"/>
          </w:tcPr>
          <w:p>
            <w:pPr>
              <w:ind w:left="660"/>
              <w:spacing w:after="0"/>
              <w:rPr>
                <w:sz w:val="20"/>
                <w:szCs w:val="20"/>
                <w:color w:val="auto"/>
              </w:rPr>
            </w:pPr>
            <w:r>
              <w:rPr>
                <w:rFonts w:ascii="Arial" w:cs="Arial" w:eastAsia="Arial" w:hAnsi="Arial"/>
                <w:sz w:val="18"/>
                <w:szCs w:val="18"/>
                <w:color w:val="auto"/>
              </w:rPr>
              <w:t>F-4</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changes in shareholders’ equity and member’s capital for the years ended December 31, 2019 and 2018</w:t>
              </w:r>
            </w:hyperlink>
          </w:p>
        </w:tc>
        <w:tc>
          <w:tcPr>
            <w:tcW w:w="660" w:type="dxa"/>
            <w:vAlign w:val="bottom"/>
          </w:tcPr>
          <w:p>
            <w:pPr>
              <w:spacing w:after="0"/>
              <w:rPr>
                <w:sz w:val="18"/>
                <w:szCs w:val="18"/>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F-5</w:t>
            </w:r>
          </w:p>
        </w:tc>
      </w:tr>
      <w:tr>
        <w:trPr>
          <w:trHeight w:val="209"/>
        </w:trPr>
        <w:tc>
          <w:tcPr>
            <w:tcW w:w="20" w:type="dxa"/>
            <w:vAlign w:val="bottom"/>
          </w:tcPr>
          <w:p>
            <w:pPr>
              <w:spacing w:after="0"/>
              <w:rPr>
                <w:sz w:val="18"/>
                <w:szCs w:val="18"/>
                <w:color w:val="auto"/>
              </w:rPr>
            </w:pPr>
          </w:p>
        </w:tc>
        <w:tc>
          <w:tcPr>
            <w:tcW w:w="1010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cash flows for the years ended December 31, 2019 and 201</w:t>
              </w:r>
            </w:hyperlink>
            <w:r>
              <w:rPr>
                <w:rFonts w:ascii="Arial" w:cs="Arial" w:eastAsia="Arial" w:hAnsi="Arial"/>
                <w:sz w:val="18"/>
                <w:szCs w:val="18"/>
                <w:color w:val="000000"/>
              </w:rPr>
              <w:t>8</w:t>
            </w:r>
          </w:p>
        </w:tc>
        <w:tc>
          <w:tcPr>
            <w:tcW w:w="1120" w:type="dxa"/>
            <w:vAlign w:val="bottom"/>
          </w:tcPr>
          <w:p>
            <w:pPr>
              <w:ind w:left="660"/>
              <w:spacing w:after="0"/>
              <w:rPr>
                <w:sz w:val="20"/>
                <w:szCs w:val="20"/>
                <w:color w:val="auto"/>
              </w:rPr>
            </w:pPr>
            <w:r>
              <w:rPr>
                <w:rFonts w:ascii="Arial" w:cs="Arial" w:eastAsia="Arial" w:hAnsi="Arial"/>
                <w:sz w:val="18"/>
                <w:szCs w:val="18"/>
                <w:color w:val="auto"/>
              </w:rPr>
              <w:t>F-6</w:t>
            </w:r>
          </w:p>
        </w:tc>
      </w:tr>
      <w:tr>
        <w:trPr>
          <w:trHeight w:val="209"/>
        </w:trPr>
        <w:tc>
          <w:tcPr>
            <w:tcW w:w="20" w:type="dxa"/>
            <w:vAlign w:val="bottom"/>
          </w:tcPr>
          <w:p>
            <w:pPr>
              <w:spacing w:after="0"/>
              <w:rPr>
                <w:sz w:val="18"/>
                <w:szCs w:val="18"/>
                <w:color w:val="auto"/>
              </w:rPr>
            </w:pPr>
          </w:p>
        </w:tc>
        <w:tc>
          <w:tcPr>
            <w:tcW w:w="6240" w:type="dxa"/>
            <w:vAlign w:val="bottom"/>
            <w:tcBorders>
              <w:top w:val="single" w:sz="8" w:color="0000EE"/>
            </w:tcBorders>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100" w:type="dxa"/>
            <w:vAlign w:val="bottom"/>
            <w:tcBorders>
              <w:top w:val="single" w:sz="8" w:color="auto"/>
            </w:tcBorders>
            <w:gridSpan w:val="2"/>
          </w:tcPr>
          <w:p>
            <w:pPr>
              <w:spacing w:after="0"/>
              <w:rPr>
                <w:sz w:val="18"/>
                <w:szCs w:val="18"/>
                <w:color w:val="auto"/>
              </w:rPr>
            </w:pPr>
          </w:p>
        </w:tc>
        <w:tc>
          <w:tcPr>
            <w:tcW w:w="3760" w:type="dxa"/>
            <w:vAlign w:val="bottom"/>
            <w:gridSpan w:val="3"/>
          </w:tcPr>
          <w:p>
            <w:pPr>
              <w:spacing w:after="0"/>
              <w:rPr>
                <w:sz w:val="18"/>
                <w:szCs w:val="18"/>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F-7</w:t>
            </w:r>
          </w:p>
        </w:tc>
      </w:tr>
      <w:tr>
        <w:trPr>
          <w:trHeight w:val="857"/>
        </w:trPr>
        <w:tc>
          <w:tcPr>
            <w:tcW w:w="20" w:type="dxa"/>
            <w:vAlign w:val="bottom"/>
          </w:tcPr>
          <w:p>
            <w:pPr>
              <w:spacing w:after="0"/>
              <w:rPr>
                <w:sz w:val="24"/>
                <w:szCs w:val="24"/>
                <w:color w:val="auto"/>
              </w:rPr>
            </w:pPr>
          </w:p>
        </w:tc>
        <w:tc>
          <w:tcPr>
            <w:tcW w:w="304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520" w:type="dxa"/>
            <w:vAlign w:val="bottom"/>
            <w:gridSpan w:val="6"/>
          </w:tcPr>
          <w:p>
            <w:pPr>
              <w:ind w:left="900"/>
              <w:spacing w:after="0"/>
              <w:rPr>
                <w:sz w:val="20"/>
                <w:szCs w:val="20"/>
                <w:color w:val="auto"/>
              </w:rPr>
            </w:pPr>
            <w:r>
              <w:rPr>
                <w:rFonts w:ascii="Arial" w:cs="Arial" w:eastAsia="Arial" w:hAnsi="Arial"/>
                <w:sz w:val="18"/>
                <w:szCs w:val="18"/>
                <w:color w:val="auto"/>
              </w:rPr>
              <w:t>F-1</w:t>
            </w:r>
          </w:p>
        </w:tc>
        <w:tc>
          <w:tcPr>
            <w:tcW w:w="1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audited the accompanying consolidated balance sheets of Red Violet, Inc. (a Delaware corporation) and subsidiaries (the “Company”) as of December 31, 2019 and 2018, the related consolidated statements of operations, changes in shareholders’ equity and member’s capital, and cash flows for the years then ended,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26"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As discussed in Note 13 to the consolidated financial statements, the Company has changed its method of accounting for leases due to the adoption of Accounting Standard Update No. 2016-02 “Leases (Topic 842).”</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r>
      <w:tr>
        <w:trPr>
          <w:trHeight w:val="203"/>
        </w:trPr>
        <w:tc>
          <w:tcPr>
            <w:tcW w:w="20" w:type="dxa"/>
            <w:vAlign w:val="bottom"/>
          </w:tcPr>
          <w:p>
            <w:pPr>
              <w:spacing w:after="0"/>
              <w:rPr>
                <w:sz w:val="17"/>
                <w:szCs w:val="17"/>
                <w:color w:val="auto"/>
              </w:rPr>
            </w:pPr>
          </w:p>
        </w:tc>
        <w:tc>
          <w:tcPr>
            <w:tcW w:w="72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9"/>
              </w:rPr>
              <w:t>ASSETS:</w:t>
            </w:r>
          </w:p>
        </w:tc>
        <w:tc>
          <w:tcPr>
            <w:tcW w:w="6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9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$40 and $77</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40" w:type="dxa"/>
            <w:vAlign w:val="bottom"/>
            <w:gridSpan w:val="3"/>
          </w:tcPr>
          <w:p>
            <w:pPr>
              <w:ind w:left="80"/>
              <w:spacing w:after="0"/>
              <w:rPr>
                <w:sz w:val="20"/>
                <w:szCs w:val="20"/>
                <w:color w:val="auto"/>
              </w:rPr>
            </w:pPr>
            <w:r>
              <w:rPr>
                <w:rFonts w:ascii="Arial" w:cs="Arial" w:eastAsia="Arial" w:hAnsi="Arial"/>
                <w:sz w:val="18"/>
                <w:szCs w:val="18"/>
                <w:color w:val="auto"/>
              </w:rPr>
              <w:t>as of December 31, 2019 and 2018, respectively</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19,971</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9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FF0FC"/>
          </w:tcPr>
          <w:p>
            <w:pPr>
              <w:spacing w:after="0"/>
              <w:rPr>
                <w:sz w:val="19"/>
                <w:szCs w:val="19"/>
                <w:color w:val="auto"/>
              </w:rPr>
            </w:pPr>
          </w:p>
        </w:tc>
      </w:tr>
      <w:tr>
        <w:trPr>
          <w:trHeight w:val="26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9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w:t>
            </w:r>
          </w:p>
        </w:tc>
        <w:tc>
          <w:tcPr>
            <w:tcW w:w="12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3920" w:type="dxa"/>
            <w:vAlign w:val="bottom"/>
            <w:tcBorders>
              <w:top w:val="single" w:sz="8" w:color="CFF0FC"/>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2920" w:type="dxa"/>
            <w:vAlign w:val="bottom"/>
            <w:tcBorders>
              <w:top w:val="single" w:sz="8" w:color="CFF0FC"/>
              <w:bottom w:val="single" w:sz="8" w:color="CFF0FC"/>
            </w:tcBorders>
            <w:shd w:val="clear" w:color="auto" w:fill="CFF0FC"/>
          </w:tcPr>
          <w:p>
            <w:pPr>
              <w:spacing w:after="0"/>
              <w:rPr>
                <w:sz w:val="16"/>
                <w:szCs w:val="16"/>
                <w:color w:val="auto"/>
              </w:rPr>
            </w:pPr>
          </w:p>
        </w:tc>
        <w:tc>
          <w:tcPr>
            <w:tcW w:w="90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00" w:type="dxa"/>
            <w:vAlign w:val="bottom"/>
            <w:tcBorders>
              <w:top w:val="single" w:sz="8" w:color="auto"/>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Noncurrent operating lease liabilities</w:t>
            </w:r>
          </w:p>
        </w:tc>
        <w:tc>
          <w:tcPr>
            <w:tcW w:w="9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4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issued and outstanding, as of December 31, 2019 and December 31, 2018</w:t>
            </w: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11,657,912 and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ind w:left="80"/>
              <w:spacing w:after="0"/>
              <w:rPr>
                <w:sz w:val="20"/>
                <w:szCs w:val="20"/>
                <w:color w:val="auto"/>
              </w:rPr>
            </w:pPr>
            <w:r>
              <w:rPr>
                <w:rFonts w:ascii="Arial" w:cs="Arial" w:eastAsia="Arial" w:hAnsi="Arial"/>
                <w:sz w:val="18"/>
                <w:szCs w:val="18"/>
                <w:color w:val="auto"/>
              </w:rPr>
              <w:t>10,266,613 shares issued, 11,554,765 and 10,266,613 shares outstanding, as of</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40" w:type="dxa"/>
            <w:vAlign w:val="bottom"/>
            <w:gridSpan w:val="3"/>
          </w:tcPr>
          <w:p>
            <w:pPr>
              <w:ind w:left="80"/>
              <w:spacing w:after="0"/>
              <w:rPr>
                <w:sz w:val="20"/>
                <w:szCs w:val="20"/>
                <w:color w:val="auto"/>
              </w:rPr>
            </w:pPr>
            <w:r>
              <w:rPr>
                <w:rFonts w:ascii="Arial" w:cs="Arial" w:eastAsia="Arial" w:hAnsi="Arial"/>
                <w:sz w:val="18"/>
                <w:szCs w:val="18"/>
                <w:color w:val="auto"/>
              </w:rPr>
              <w:t>December 31, 2019 and 2018</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103,147 and 0 shares as of December 31, 2019 and 2018</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59,187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41,052</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(15,860)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(4,784)</w:t>
            </w: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shareholders' equity</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36,278</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9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12,257</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7,528</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3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15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41,498</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(11,212)</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5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5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5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3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Loss per share:</w:t>
            </w:r>
          </w:p>
        </w:tc>
        <w:tc>
          <w:tcPr>
            <w:tcW w:w="1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19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(1.03)</w:t>
            </w: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5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15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10,762,881</w:t>
            </w:r>
          </w:p>
        </w:tc>
        <w:tc>
          <w:tcPr>
            <w:tcW w:w="3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10,266,613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AND MEMBER’S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06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6"/>
            <w:vMerge w:val="restart"/>
          </w:tcPr>
          <w:p>
            <w:pPr>
              <w:jc w:val="right"/>
              <w:ind w:right="441"/>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9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Member's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18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12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13"/>
                <w:szCs w:val="13"/>
                <w:color w:val="auto"/>
              </w:rPr>
            </w:pPr>
          </w:p>
        </w:tc>
        <w:tc>
          <w:tcPr>
            <w:tcW w:w="800" w:type="dxa"/>
            <w:vAlign w:val="bottom"/>
            <w:gridSpan w:val="2"/>
          </w:tcPr>
          <w:p>
            <w:pPr>
              <w:jc w:val="right"/>
              <w:ind w:right="261"/>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3"/>
                <w:szCs w:val="13"/>
                <w:color w:val="auto"/>
              </w:rPr>
            </w:pPr>
          </w:p>
        </w:tc>
        <w:tc>
          <w:tcPr>
            <w:tcW w:w="7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2017</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Contribution by Fluent, Inc., including</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00"/>
              <w:spacing w:after="0"/>
              <w:rPr>
                <w:sz w:val="20"/>
                <w:szCs w:val="20"/>
                <w:color w:val="auto"/>
              </w:rPr>
            </w:pPr>
            <w:r>
              <w:rPr>
                <w:rFonts w:ascii="Arial" w:cs="Arial" w:eastAsia="Arial" w:hAnsi="Arial"/>
                <w:sz w:val="18"/>
                <w:szCs w:val="18"/>
                <w:color w:val="auto"/>
              </w:rPr>
              <w:t>allocation of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(4,784)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(2,084)</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Spin-off from Fluent, Inc.</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10,265,613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8"/>
              </w:rPr>
              <w:t>(40,262)</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10,266,613</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41,052</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710,299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Increase in treasury stock resulting</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00"/>
              <w:spacing w:after="0"/>
              <w:rPr>
                <w:sz w:val="20"/>
                <w:szCs w:val="20"/>
                <w:color w:val="auto"/>
              </w:rPr>
            </w:pPr>
            <w:r>
              <w:rPr>
                <w:rFonts w:ascii="Arial" w:cs="Arial" w:eastAsia="Arial" w:hAnsi="Arial"/>
                <w:sz w:val="18"/>
                <w:szCs w:val="18"/>
                <w:color w:val="auto"/>
              </w:rPr>
              <w:t>from shares withheld to cover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00"/>
              <w:spacing w:after="0"/>
              <w:rPr>
                <w:sz w:val="20"/>
                <w:szCs w:val="20"/>
                <w:color w:val="auto"/>
              </w:rPr>
            </w:pPr>
            <w:r>
              <w:rPr>
                <w:rFonts w:ascii="Arial" w:cs="Arial" w:eastAsia="Arial" w:hAnsi="Arial"/>
                <w:sz w:val="18"/>
                <w:szCs w:val="18"/>
                <w:color w:val="auto"/>
              </w:rPr>
              <w:t>statutory taxes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(103,147)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direct</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offering to certain investors, net of</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issuance costs of $55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681,000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(11,076)</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11,657,912</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(103,147)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59,187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0" w:type="dxa"/>
            <w:vAlign w:val="bottom"/>
            <w:gridSpan w:val="5"/>
          </w:tcPr>
          <w:p>
            <w:pPr>
              <w:jc w:val="right"/>
              <w:ind w:right="247"/>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70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7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(11,076)</w:t>
            </w: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(6,868)</w:t>
            </w: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Allocation of expenses from Fluent, Inc.</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Noncash lease expenses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(909)</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(3,501)</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74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(8,053)</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(5,912)</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(5,911)</w:t>
            </w: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(6,001)</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Capital contributed by Fluent, Inc.</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shares, net of issuance costs</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40" w:type="dxa"/>
            <w:vAlign w:val="bottom"/>
          </w:tcPr>
          <w:p>
            <w:pPr>
              <w:spacing w:after="0"/>
              <w:rPr>
                <w:sz w:val="19"/>
                <w:szCs w:val="19"/>
                <w:color w:val="auto"/>
              </w:rPr>
            </w:pPr>
          </w:p>
        </w:tc>
        <w:tc>
          <w:tcPr>
            <w:tcW w:w="940" w:type="dxa"/>
            <w:vAlign w:val="bottom"/>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9,885</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r>
      <w:tr>
        <w:trPr>
          <w:trHeight w:val="26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4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120" w:type="dxa"/>
            <w:vAlign w:val="bottom"/>
            <w:tcBorders>
              <w:bottom w:val="single" w:sz="8" w:color="CFF0FC"/>
            </w:tcBorders>
          </w:tcPr>
          <w:p>
            <w:pPr>
              <w:spacing w:after="0"/>
              <w:rPr>
                <w:sz w:val="22"/>
                <w:szCs w:val="22"/>
                <w:color w:val="auto"/>
              </w:rPr>
            </w:pPr>
          </w:p>
        </w:tc>
      </w:tr>
      <w:tr>
        <w:trPr>
          <w:trHeight w:val="21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INFORMATION</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6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68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16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9"/>
                <w:szCs w:val="19"/>
                <w:color w:val="auto"/>
              </w:rPr>
            </w:pP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168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16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3,387</w:t>
            </w:r>
          </w:p>
        </w:tc>
        <w:tc>
          <w:tcPr>
            <w:tcW w:w="160" w:type="dxa"/>
            <w:vAlign w:val="bottom"/>
          </w:tcPr>
          <w:p>
            <w:pPr>
              <w:spacing w:after="0"/>
              <w:rPr>
                <w:sz w:val="20"/>
                <w:szCs w:val="20"/>
                <w:color w:val="auto"/>
              </w:rPr>
            </w:pP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Principal activities and 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Principal activities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Red Violet, Inc. (“we,” “us,” “our,” “red violet,” or the “Company”), a Delaware corporation, is a software and services company specializing in data fusion and analytics, providing cloud-based mission-critical analytics and information solutions to enterprises with use cases including fraud detection, risk mitigation, due diligence and marketing. Our mission is to transform data into intelligence utilizing our proprietary technology platform to solve complex problems for our clients. Harnessing the power of data fusion and powerful analytics, we transform data into intelligence, in a fast and efficient manner, so that our clients can spend their time on what matters most -- running their organizations with confidence. Through our intelligent platform, CORE</w:t>
      </w:r>
      <w:r>
        <w:rPr>
          <w:rFonts w:ascii="Arial" w:cs="Arial" w:eastAsia="Arial" w:hAnsi="Arial"/>
          <w:sz w:val="14"/>
          <w:szCs w:val="14"/>
          <w:color w:val="auto"/>
        </w:rPr>
        <w:t>TM</w:t>
      </w:r>
      <w:r>
        <w:rPr>
          <w:rFonts w:ascii="Arial" w:cs="Arial" w:eastAsia="Arial" w:hAnsi="Arial"/>
          <w:sz w:val="17"/>
          <w:szCs w:val="17"/>
          <w:color w:val="auto"/>
        </w:rPr>
        <w:t>, we uncover the relevance of disparate data points utilizing our analytical capabilities to provide real-time and insightful views of people, businesses, assets and their interrelationships. We empower clients across markets and industries to better execute all aspects of their business, from managing risk, identifying fraud and abuse, and ensuring legislative compliance, to debt recovery.</w:t>
      </w:r>
    </w:p>
    <w:p>
      <w:pPr>
        <w:spacing w:after="0" w:line="18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provide unique and compelling solutions essential to the daily workflow of organizations within both the public and private sectors. Our cloud-based data fusion platform, combined with our massive database consisting of public-records, proprietary and publicly-available data, as well as a unique repository of self-reported information on millions of consumers, enables the delivery of differentiated products and solutions used for a variety of essential functions. These essential functions include identification and authentication, and investigation and validation.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only one operating segment, as defined by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Organization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26, 2018, Fluent, Inc. (“Fluent”) completed a spin-off of its risk management business from its digital marketing business by way of a distribution of all the shares of common stock of Fluent’s then wholly-owned subsidiary, red violet, to Fluent’s stockholders of record as of March 19, 2018, the record date, and certain warrant holders (the “Spin-off”). The distribution occurred by way of a pro rata stock distribution to such common stock and warrant holders, each of whom received one share of red violet’s common stock for every 7.5 shares of Fluent’s common stock held on the record date or to which they were entitled to under their warrants, which resulted in a distribution of a total of 10,266,613 shares of red violet common stock. Upon the Spin-off, the Company owns Fluent subsidiaries that previously operated Fluent’s risk management business.</w:t>
      </w:r>
    </w:p>
    <w:p>
      <w:pPr>
        <w:spacing w:after="0" w:line="1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a result of the Spin-off, red violet is an independent public company and red violet’s common stock began regular-way trading on The NASDAQ Capital Market under the symbol “RDVT” on March 27,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liquidity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accompanying consolidated financial statements have been prepared by red violet in accordance with accounting principles generally accepted in the United States (“US GAAP”).</w:t>
      </w:r>
    </w:p>
    <w:p>
      <w:pPr>
        <w:spacing w:after="0" w:line="16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 xml:space="preserve">The Company accounted for the Spin-off in accordance with ASC 805-50-30-5 </w:t>
      </w:r>
      <w:r>
        <w:rPr>
          <w:rFonts w:ascii="Arial" w:cs="Arial" w:eastAsia="Arial" w:hAnsi="Arial"/>
          <w:sz w:val="18"/>
          <w:szCs w:val="18"/>
          <w:i w:val="1"/>
          <w:iCs w:val="1"/>
          <w:color w:val="auto"/>
        </w:rPr>
        <w:t>Initial Measurement- Transactions Between Entities Under Common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w:t>
      </w:r>
      <w:r>
        <w:rPr>
          <w:rFonts w:ascii="Arial" w:cs="Arial" w:eastAsia="Arial" w:hAnsi="Arial"/>
          <w:sz w:val="18"/>
          <w:szCs w:val="18"/>
          <w:color w:val="auto"/>
        </w:rPr>
        <w:t>–</w:t>
      </w:r>
      <w:r>
        <w:rPr>
          <w:rFonts w:ascii="Arial" w:cs="Arial" w:eastAsia="Arial" w:hAnsi="Arial"/>
          <w:sz w:val="18"/>
          <w:szCs w:val="18"/>
          <w:i w:val="1"/>
          <w:iCs w:val="1"/>
          <w:color w:val="auto"/>
        </w:rPr>
        <w:t xml:space="preserve"> Transfer Date Measurement </w:t>
      </w:r>
      <w:r>
        <w:rPr>
          <w:rFonts w:ascii="Arial" w:cs="Arial" w:eastAsia="Arial" w:hAnsi="Arial"/>
          <w:sz w:val="18"/>
          <w:szCs w:val="18"/>
          <w:color w:val="auto"/>
        </w:rPr>
        <w:t>and therefore the net assets transferred from Fluent to red violet upon the Spin-off were reflected in red violet’s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at Fluent’s carrying values at the time of the Spin-off.</w:t>
      </w:r>
    </w:p>
    <w:p>
      <w:pPr>
        <w:spacing w:after="0" w:line="18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reported a net loss of $11,076 and $6,868 for the years ended December 31, 2019 and 2018, respectively. Net cash provided by operating activities was $1,647 for the year ended December 31, 2019 as compared to net cash used in operating activities of $8,053 for the year ended December 31, 2018. As of December 31, 2019, the Company had an accumulated deficit of $15,860.</w:t>
      </w:r>
    </w:p>
    <w:p>
      <w:pPr>
        <w:spacing w:after="0" w:line="18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As of December 31, 2019, the Company had available cash and cash equivalents of $11,776, an increase of $1,826 from $9,950 as of December 31, 2018. Based on this available cash and cash equivalents, and the projections of growth in revenue and operating results in the coming year, the Company believes that it will have sufficient cash resources to finance its operations and expected capital expenditures for the next twelve months.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subsidiaries. All significant transactions among the Company and its subsidiaries have been eliminated upon consolidation.</w:t>
      </w:r>
    </w:p>
    <w:p>
      <w:pPr>
        <w:spacing w:after="0" w:line="1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Although the Spin-off was completed on March 26, 2018, the Company has reflected the Spin-off in these financial statements as if it occurred on March 31, 2018 as the Company determined that the impact is not material to the consolidated financial statements.</w:t>
      </w:r>
    </w:p>
    <w:p>
      <w:pPr>
        <w:spacing w:after="0" w:line="16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financial statements present the consolidated results of operations, financial condition, and cash flows of red violet and its subsidiaries. For periods prior to the Spin-off, these financial statements were prepared on a consolidated and combined basis because certain of the entities were under common control. All intercompany accounts and transactions have been eliminated between the consolidated and combined entities.</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historical consolidated and combined financial results presented prior to the Spin-off may not be indicative of the results that would have been achieved by the Company had it operated as a separate, standalone entity prior to the Spin-off. The consolidated and combined financial statements presented prior to the Spin-off do not reflect any changes that were expected to occur in the Company’s operations in connection with or as a result of the Spin-off.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consolidated financial statements in accordance with US GAAP requires red violet’s management to make estimates and assumptions relating to the reported amounts of assets and liabilities and the disclosure of contingent assets and liabilities at the date of the consolidated financial statements and the reported amounts of revenue and expenses during the reporting periods. Significant items subject to such estimates and assumptions include the allowance for doubtful accounts, useful lives of property and equipment and intangible assets, recoverability of the carrying amount of goodwill and intangible assets, share-based compensation and income tax provision. These estimates are often based on complex judgments and assumptions that management believes to be reasonable but are inherently uncertain and unpredictable. Actual results could differ from these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Cash and cash equivalents consist of cash on hand and bank deposits with original maturities of three months or less, which are unrestricted as to withdrawal and use.</w:t>
      </w:r>
    </w:p>
    <w:p>
      <w:pPr>
        <w:spacing w:after="0" w:line="16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Company’s cash and bank deposits were held in major financial institutions located in the United States, which management believes have high credit ratings. The cash and bank deposits held in the United States, denominated in USD, amounted to $11,776 and $9,950 as of December 31, 2019 and 2018, respectively.</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Financial instruments and related items, which potentially subject the Company to concentrations of credit risk, consist principally of cash investments. The Company places its temporary cash instruments with well-known financial institutions within the United States, and, at times, may maintain balances in United States banks in excess of the $250 US Federal Deposit Insurance Corporation insurance limit. The Company monitors the credit ratings of the financial institutions to mitigate this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Accounts receivable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are due from customers and are generally unsecured, which consist of amounts earned but not yet collected. None of the Company’s accounts receivable bear interest.</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allowance for doubtful accounts is management’s best estimate of the amount of probable credit losses in the Company’s existing accounts receivable. Management determines the allowance based on reviews of customer-specific facts and economic conditions. Account balances are charged off against the allowance after all means of collection have been exhausted and the potential for recovery is considered remote. The Company does not have any off-balance-sheet credit exposure related to its customers. The amount of the allowance for doubtful accounts was $40 and $77 as of December 31, 2019 and 2018, respectively.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(e) Property and equipment</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Property and equipment are stated at cost, net of accumulated depreciation or amortization. Expenditures for maintenance, repairs, and minor renewals are charged to expense in the period incurred. Betterments and additions are capitalized. Property and equipment are depreciated on the straight-line basis over the estimated useful lives of the assets. Leasehold improvements are depreciated over the shorter of their estimated useful lives or lease terms that are reasonably assured. The estimated useful lives of property and equipment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Computer and network equipment</w:t>
            </w:r>
          </w:p>
        </w:tc>
        <w:tc>
          <w:tcPr>
            <w:tcW w:w="212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21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2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When items of property and equipment are retired or otherwise disposed of, loss/income is charged or credited for the difference between the net book value and proceeds received thereon.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assets other than goodwill</w:t>
      </w:r>
    </w:p>
    <w:p>
      <w:pPr>
        <w:spacing w:after="0" w:line="22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Company’s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accordance with ASC 350-40, </w:t>
      </w:r>
      <w:r>
        <w:rPr>
          <w:rFonts w:ascii="Arial" w:cs="Arial" w:eastAsia="Arial" w:hAnsi="Arial"/>
          <w:sz w:val="18"/>
          <w:szCs w:val="18"/>
          <w:i w:val="1"/>
          <w:iCs w:val="1"/>
          <w:color w:val="auto"/>
        </w:rPr>
        <w:t>“Software — Internal use software,”</w:t>
      </w:r>
      <w:r>
        <w:rPr>
          <w:rFonts w:ascii="Arial" w:cs="Arial" w:eastAsia="Arial" w:hAnsi="Arial"/>
          <w:sz w:val="18"/>
          <w:szCs w:val="18"/>
          <w:color w:val="auto"/>
        </w:rPr>
        <w:t xml:space="preserve"> the Company capitalizes eligible costs, including salaries and staff benefits, share-based compensation expense,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Goodwill</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December 31, 2019 and 2018, the balance of goodwill of $5,227 was as a result of the acquisition of Interactive Data, LLC (“Interactive Data”), a wholly-owned subsidiary of red violet, effective on October 2, 2014.</w:t>
      </w:r>
    </w:p>
    <w:p>
      <w:pPr>
        <w:spacing w:after="0" w:line="18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step one assessment involves determining the fair value of each reporting unit using market participant assumptions. Should an impairment exist, the Company would recognize an impairment charge for the amount by which the carrying amount of a reporting unit exceeds its fair value up to the amount of goodwill allocated to that reporting unit.</w:t>
      </w:r>
    </w:p>
    <w:p>
      <w:pPr>
        <w:spacing w:after="0" w:line="16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measurement date of our annual goodwill impairment test is October 1. On October 1, 2019 and 2018, the Company performed qualitative assessments on the reporting unit and, based on this assessment, no events have occurred to indicate that it is more likely than not that the fair value of the reporting unit is less than its carry amount. The Company concluded that goodwill was not impaired as of December 31, 2019 and 2018.</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purposes of reviewing impairment and the recoverability of goodwill, the Company must make various assumptions regarding estimated future cash flows and other factors in determining the fair values, including market multiples, discount rates, etc.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(h) Impairment of long-lived assets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concluded there was no impairment as of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Fair value of financial instruments</w:t>
      </w:r>
    </w:p>
    <w:p>
      <w:pPr>
        <w:spacing w:after="0" w:line="225" w:lineRule="exact"/>
        <w:rPr>
          <w:sz w:val="20"/>
          <w:szCs w:val="20"/>
          <w:color w:val="auto"/>
        </w:rPr>
      </w:pPr>
    </w:p>
    <w:p>
      <w:pPr>
        <w:ind w:right="240"/>
        <w:spacing w:after="0" w:line="341"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establishes a three-tier fair value hierarchy, which prioritizes the inputs used in measuring fair value. The hierarchy prioritizes the inputs into three levels based on the extent to which inputs used in measuring fair value are observable in the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These tiers include:</w:t>
      </w:r>
    </w:p>
    <w:p>
      <w:pPr>
        <w:spacing w:after="0" w:line="117"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 defined as observable inputs such as quoted prices in active markets;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 defined as inputs other than quoted prices in active markets that are either directly or indirectly observable;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Level 3 – defined as unobservable inputs in which little or no market data exists, therefore requiring an entity to develop its own assumptions.</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the Company’s cash and cash equivalents, receivables and payables approximate their carrying amount because of the short-term nature of these instruments.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Revenue recognition</w:t>
      </w:r>
    </w:p>
    <w:p>
      <w:pPr>
        <w:spacing w:after="0" w:line="225" w:lineRule="exact"/>
        <w:rPr>
          <w:sz w:val="20"/>
          <w:szCs w:val="20"/>
          <w:color w:val="auto"/>
        </w:rPr>
      </w:pPr>
    </w:p>
    <w:p>
      <w:pPr>
        <w:ind w:right="200"/>
        <w:spacing w:after="0" w:line="218" w:lineRule="exact"/>
        <w:rPr>
          <w:sz w:val="20"/>
          <w:szCs w:val="20"/>
          <w:color w:val="auto"/>
        </w:rPr>
      </w:pPr>
      <w:r>
        <w:rPr>
          <w:rFonts w:ascii="Arial" w:cs="Arial" w:eastAsia="Arial" w:hAnsi="Arial"/>
          <w:sz w:val="16"/>
          <w:szCs w:val="16"/>
          <w:color w:val="auto"/>
        </w:rPr>
        <w:t xml:space="preserve">On January 1, 2018, 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using the modi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retrospective method applied to all contracts that were not completed contracts at the date of initial application. There was no impact on the opening accumulated de</w:t>
      </w:r>
      <w:r>
        <w:rPr>
          <w:rFonts w:ascii="Arial Unicode MS" w:cs="Arial Unicode MS" w:eastAsia="Arial Unicode MS" w:hAnsi="Arial Unicode MS"/>
          <w:sz w:val="16"/>
          <w:szCs w:val="16"/>
          <w:color w:val="auto"/>
        </w:rPr>
        <w:t></w:t>
      </w:r>
      <w:r>
        <w:rPr>
          <w:rFonts w:ascii="Arial" w:cs="Arial" w:eastAsia="Arial" w:hAnsi="Arial"/>
          <w:sz w:val="16"/>
          <w:szCs w:val="16"/>
          <w:color w:val="auto"/>
        </w:rPr>
        <w:t>cit as of January 1, 2018 due to the adoption of Topic 606. Revenue is recognized when control of goods or services is transferred to the Company’s customers, in an amount that re</w:t>
      </w:r>
      <w:r>
        <w:rPr>
          <w:rFonts w:ascii="Arial Unicode MS" w:cs="Arial Unicode MS" w:eastAsia="Arial Unicode MS" w:hAnsi="Arial Unicode MS"/>
          <w:sz w:val="16"/>
          <w:szCs w:val="16"/>
          <w:color w:val="auto"/>
        </w:rPr>
        <w:t></w:t>
      </w:r>
      <w:r>
        <w:rPr>
          <w:rFonts w:ascii="Arial" w:cs="Arial" w:eastAsia="Arial" w:hAnsi="Arial"/>
          <w:sz w:val="16"/>
          <w:szCs w:val="16"/>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20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The Company’s revenue is recorded net of applicable sales taxes billed to customers.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240"/>
        <w:spacing w:after="0" w:line="301"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56"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For the years ended December 31, 2019 and 2018, 65% and 58% of total revenue was attributable to customers with pricing contracts, respectively, versus 35% and 42% attributable to transactional customers, respectively. Pricing contracts are generally annual contracts or longer, with auto renewal.</w:t>
      </w:r>
    </w:p>
    <w:p>
      <w:pPr>
        <w:spacing w:after="0" w:line="124"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If a customer pays consideration before the Company transfers services to the customer, those amounts are classi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as deferred revenue. As of December 31, 2019 and 2018, the balance of deferred revenue was $128 and $26, respectively, all of which is expected to be realized in the next 12 months. In relation to the deferred revenue balance as of December 31, 2018, $26 was recognized into revenue during the year ended December 31, 2019.</w:t>
      </w:r>
    </w:p>
    <w:p>
      <w:pPr>
        <w:spacing w:after="0" w:line="20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December 31, 2019, $2,929 of revenue is expected to be recognized in the future for performance obligations that are unsatisfied or partially unsatisfied, related to pricing contracts that have a term of more than 12 months. $1,820 of revenue will be recognized in 2020, $1,106 in 2021, and $3 in 2022.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9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69" w:lineRule="exact"/>
        <w:rPr>
          <w:sz w:val="20"/>
          <w:szCs w:val="20"/>
          <w:color w:val="auto"/>
        </w:rPr>
      </w:pPr>
    </w:p>
    <w:p>
      <w:pPr>
        <w:ind w:right="240"/>
        <w:spacing w:after="0" w:line="221"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Cost of revenue (exclusive of depreciation and amortization)</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Our cost of revenue primarily includes data acquisition costs and other cost of revenue. Data acquisition costs consist primarily of the costs to acquire data either on a transactional basis or through flat-fee data licensing agreements, including unlimited usage agreements. Data acquisition costs are recognized based on a straight-line amortization method. Other cost of revenue includes expenses related to third-party infrastructure fees.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Advertising and promotion costs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Advertising and promotion costs are charged to operations as incurred. Advertising and promotion costs, included in sales and marketing expenses amounted to $108 and $198 for the years ended December 31, 2019 and 2018,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accounts for share-based compensation to employees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Under ASC 718, the Company measures the cost of employee services received in exchange for an award of equity instruments based on the grant-date fair value of the award and, for those awards subject only to service condition, recognize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estimated number of stock awards that will ultimately vest requires judgment, and to the extent actual results or updated estimates differ from our current estimates, such amount will be recorded as a cumulative adjustment in the period estimates are revised. Changes in our estimates and assumptions may cause us to realize material changes in share-based compensation expense in the future.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line="270" w:lineRule="auto"/>
        <w:rPr>
          <w:sz w:val="20"/>
          <w:szCs w:val="20"/>
          <w:color w:val="auto"/>
        </w:rPr>
      </w:pPr>
      <w:r>
        <w:rPr>
          <w:rFonts w:ascii="Arial" w:cs="Arial" w:eastAsia="Arial" w:hAnsi="Arial"/>
          <w:sz w:val="17"/>
          <w:szCs w:val="17"/>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2019, the Company has deemed the achievement of the performance-based criteria to be probable for all share-based awards with performance-based vesting criteria.</w:t>
      </w:r>
    </w:p>
    <w:p>
      <w:pPr>
        <w:spacing w:after="0" w:line="18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applies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which generally expands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to include share-based payment transactions for acquiring goods and services from nonemployees and supersedes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previously included the accounting for nonemployee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Income taxes</w:t>
      </w:r>
    </w:p>
    <w:p>
      <w:pPr>
        <w:spacing w:after="0" w:line="22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which requires the use of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w:t>
      </w:r>
    </w:p>
    <w:p>
      <w:pPr>
        <w:spacing w:after="0" w:line="19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effect on deferred tax assets and liabilities of a change in tax rates or laws is recognized in income in the period that the change in tax rates or laws is enacted. A valuation allowance is provided to reduce the amount of deferred tax assets if it is considered more likely than not that some portion or all of the deferred tax assets will not be realized.</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Loss per share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 periods. Diluted loss per share reflects the potential dilution that could occur if securities or other contracts to issue common stock were exercised or converted into common stock and is calculated using the treasury stock method for stock options and unvested shares. Common equivalent shares are excluded from the calculation in the loss periods as their effects would be anti-dilutive.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Contingencies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ordinary course of business, the Company is subject to loss contingencies that cover a wide range of matters. An estimated loss from a loss contingency such as a legal proceeding or claim is accrued if it is probable that a liability has been incurred and the amount of the loss can be reasonably estimated. In determining whether a loss should be accrued, the Company evaluates, among other factors, the degree of probability and the ability to make a reasonable estimate of the amount of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Segment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ASC 280, “Segment Reporting.”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8300" w:firstLine="8"/>
        <w:spacing w:after="0" w:line="500" w:lineRule="auto"/>
        <w:tabs>
          <w:tab w:leader="none" w:pos="235"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concentrations and risks Concentration of credit risk</w:t>
      </w:r>
    </w:p>
    <w:p>
      <w:pPr>
        <w:spacing w:after="0" w:line="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Assets that potentially subject the Company to significant concentration of credit risk primarily consist of cash and cash equivalents, and accounts receivable. As of December 31, 2019 and 2018, all of the Company’s cash and cash equivalents were deposited in financial institutions located in the United States, which management believes are of high credit quality. Accounts receivable are typically unsecured and are derived from revenue earned from customers. The risk with respect to accounts receivable is mitigated by credit evaluations the Company performs on its customers and its ongoing monitoring process of outstanding balances.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2018, one individual customer accounted for 15% and 11% of the total revenue,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and 2018, there was no individual customer that accounted for more than 10% of the Company’s accounts receivable, net.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suppliers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products and services depend extensively upon continued access to and receipt of data from external sources, including data received from the major credit bureaus, including our largest data supplier. The Company’s other data suppliers include strategic partners, as well as various government and public records repositories. Our largest data supplier, with whom we have expanded our relationship while securing what we believe to be favorable business terms over the years, accounted for approximately 40% of our total data acquisition costs for the year ended December 31, 2019, compared to approximately 46% for the year ended December 31, 2018. The initial term of the agreement, as amended, with this supplier ends April 30, 2022, and continues thereafter on a month-to-month basis unless and until either party provides the other with a minimum of 30 days’ written notice of termination.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150 days’ advance written notice to us and we may terminate this agreement by providing not less than 24 months’ advance written notice to this supplier. The remaining minimum purchase commitments through the end of the initial term is $10.4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8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2019 and 2018, among data suppliers, one data supplier accounted for 43% and 42% of the Company’s total accounts payable,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Recently issued accounting standards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an emerging growth company, the Company has left open the opportunity to take advantage of the extended transition period provided to emerging growth companies in Section 13(a) of the Exchange Act, however, it is the Company’s present intention to adopt any applicable new accounting standards timely.</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2016, Financial Accounting Standard Board (“FASB”) issued Accounting Standard Updates (“ASU”) No. 2016-02 (“ASU 2016-02”),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Targeted Improvements.” Topic 842 is effective for public entities and private entities in the first quarter of 2019 and the first quarter of 2020, respectively, on a modified retrospective basis. The Company adopted Topic 842 in the first quarter of 2019. The Company recorded a right-of-use asset and a total operating lease obligation on its consolidated balance sheet of approximately $3.0 million and $3.4 million, respectively, upon the adoption. Refer to Note 13, Leases, for further details.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20"/>
        <w:spacing w:after="0" w:line="270" w:lineRule="auto"/>
        <w:rPr>
          <w:sz w:val="20"/>
          <w:szCs w:val="20"/>
          <w:color w:val="auto"/>
        </w:rPr>
      </w:pPr>
      <w:r>
        <w:rPr>
          <w:rFonts w:ascii="Arial" w:cs="Arial" w:eastAsia="Arial" w:hAnsi="Arial"/>
          <w:sz w:val="17"/>
          <w:szCs w:val="17"/>
          <w:color w:val="auto"/>
        </w:rPr>
        <w:t xml:space="preserve">In June 2016, FASB issued ASU No. 2016-13 (“ASU 2016-13”), </w:t>
      </w:r>
      <w:r>
        <w:rPr>
          <w:rFonts w:ascii="Arial" w:cs="Arial" w:eastAsia="Arial" w:hAnsi="Arial"/>
          <w:sz w:val="17"/>
          <w:szCs w:val="17"/>
          <w:i w:val="1"/>
          <w:iCs w:val="1"/>
          <w:color w:val="auto"/>
        </w:rPr>
        <w:t>“Financial Instruments - 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In November 2018, FASB issued ASU No. 2018-19, “Codification Improvements to Topic 326, Financial Instruments-Credit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public companies beginning January 1, 2020, with early adoption permitted, on a modified retrospective approach. Based on our preliminary evaluation, the Company does not expect this guidance will have a material impact on its consolidated financial statements and related disclosures.</w:t>
      </w:r>
    </w:p>
    <w:p>
      <w:pPr>
        <w:spacing w:after="0" w:line="182"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 xml:space="preserve">In August 2018, FASB issued ASU No. 2018-15 (“ASU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which requires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in a hosting arrangement that is a service contract to follow the guidance in Subtopic 350-40 to determine 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will be effective for the Company for annual reporting periods beginning after December 15, 2020, on a retrospective or prospective basis and early adoption is permitted. The Company is currently evaluating the impact this guidance will have on its consolidated financial statements and related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2018, the basic and diluted loss per share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FF0FC"/>
            </w:tcBorders>
            <w:vMerge w:val="continue"/>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(11,076)</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 xml:space="preserve">Weighted average shares outstanding - Basic and diluted </w:t>
            </w:r>
            <w:r>
              <w:rPr>
                <w:rFonts w:ascii="Arial" w:cs="Arial" w:eastAsia="Arial" w:hAnsi="Arial"/>
                <w:sz w:val="15"/>
                <w:szCs w:val="15"/>
                <w:color w:val="auto"/>
              </w:rPr>
              <w:t>(1)</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10,762,881</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10,266,613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1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Basic and diluted:</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right="60" w:hanging="372"/>
        <w:spacing w:after="0" w:line="301"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the Spin-off, the financial information of red violet represented the consolidated and combined figures of red violet and its subsidiaries. red violet only had 1,000 shares of common stock outstanding, all of which Fluent owned. On March 26, 2018, upon the Spin-off of red violet, an aggregate of 10,266,613 shares of red violet common stock were distributed to Fluent stockholders and certain warrant holders. This number of shares remained outstanding at December 31, 2018, and it is utilized to calculate the basic and diluted loss per share for the year ended December 31, 2018.</w:t>
      </w:r>
    </w:p>
    <w:p>
      <w:pPr>
        <w:spacing w:after="0" w:line="1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 total of 2,237,827 unvested restricted stock units (“RSUs”) and 12,250 RSUs that were vested but not delivered have been excluded from the diluted loss per share for the year ended December 31, 2019, and 2,121,000 unvested RSUs have been excluded from the diluted loss per share calculation for the year ended December 31, 2018, as the impact is anti-dilutive.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4"/>
                <w:szCs w:val="14"/>
                <w:color w:val="auto"/>
              </w:rPr>
            </w:pPr>
          </w:p>
        </w:tc>
        <w:tc>
          <w:tcPr>
            <w:tcW w:w="1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5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 net</w:t>
            </w: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4120" w:type="dxa"/>
            <w:vAlign w:val="bottom"/>
          </w:tcPr>
          <w:p>
            <w:pPr>
              <w:spacing w:after="0"/>
              <w:rPr>
                <w:sz w:val="24"/>
                <w:szCs w:val="24"/>
                <w:color w:val="auto"/>
              </w:rPr>
            </w:pPr>
          </w:p>
        </w:tc>
        <w:tc>
          <w:tcPr>
            <w:tcW w:w="2820" w:type="dxa"/>
            <w:vAlign w:val="bottom"/>
            <w:gridSpan w:val="2"/>
          </w:tcPr>
          <w:p>
            <w:pPr>
              <w:jc w:val="right"/>
              <w:ind w:right="1050"/>
              <w:spacing w:after="0"/>
              <w:rPr>
                <w:sz w:val="20"/>
                <w:szCs w:val="20"/>
                <w:color w:val="auto"/>
              </w:rPr>
            </w:pPr>
            <w:r>
              <w:rPr>
                <w:rFonts w:ascii="Arial" w:cs="Arial" w:eastAsia="Arial" w:hAnsi="Arial"/>
                <w:sz w:val="18"/>
                <w:szCs w:val="18"/>
                <w:color w:val="auto"/>
              </w:rPr>
              <w:t>F-14</w:t>
            </w: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movement of allowance for doubtful accounts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8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16"/>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Charges to expenses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582</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Write-offs</w:t>
            </w:r>
          </w:p>
        </w:tc>
        <w:tc>
          <w:tcPr>
            <w:tcW w:w="4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(619)</w:t>
            </w:r>
          </w:p>
        </w:tc>
        <w:tc>
          <w:tcPr>
            <w:tcW w:w="7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bad debts of $582 and $294 was provided for the years ended December 31,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December 31, 2019</w:t>
            </w:r>
          </w:p>
        </w:tc>
        <w:tc>
          <w:tcPr>
            <w:tcW w:w="20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2018</w:t>
            </w:r>
          </w:p>
        </w:tc>
      </w:tr>
      <w:tr>
        <w:trPr>
          <w:trHeight w:val="223"/>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and network equipment</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Total cost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(684)</w:t>
            </w: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property and equipment of $252 and $266 was recorded for the years ended December 31,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147"/>
              <w:spacing w:after="0"/>
              <w:rPr>
                <w:sz w:val="20"/>
                <w:szCs w:val="20"/>
                <w:color w:val="auto"/>
              </w:rPr>
            </w:pPr>
            <w:r>
              <w:rPr>
                <w:rFonts w:ascii="Arial" w:cs="Arial" w:eastAsia="Arial" w:hAnsi="Arial"/>
                <w:sz w:val="14"/>
                <w:szCs w:val="14"/>
                <w:b w:val="1"/>
                <w:bCs w:val="1"/>
                <w:color w:val="auto"/>
                <w:w w:val="91"/>
              </w:rPr>
              <w:t>December 31, 2019</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5"/>
              </w:rPr>
              <w:t>December 31, 2018</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340" w:type="dxa"/>
            <w:vAlign w:val="bottom"/>
            <w:gridSpan w:val="4"/>
          </w:tcPr>
          <w:p>
            <w:pPr>
              <w:jc w:val="center"/>
              <w:ind w:right="387"/>
              <w:spacing w:after="0" w:line="133" w:lineRule="exact"/>
              <w:rPr>
                <w:sz w:val="20"/>
                <w:szCs w:val="20"/>
                <w:color w:val="auto"/>
              </w:rPr>
            </w:pPr>
            <w:r>
              <w:rPr>
                <w:rFonts w:ascii="Arial" w:cs="Arial" w:eastAsia="Arial" w:hAnsi="Arial"/>
                <w:sz w:val="14"/>
                <w:szCs w:val="14"/>
                <w:b w:val="1"/>
                <w:bCs w:val="1"/>
                <w:color w:val="auto"/>
                <w:w w:val="90"/>
              </w:rPr>
              <w:t>Accumulated</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72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640" w:type="dxa"/>
            <w:vAlign w:val="bottom"/>
            <w:vMerge w:val="continue"/>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340" w:type="dxa"/>
            <w:vAlign w:val="bottom"/>
            <w:gridSpan w:val="4"/>
          </w:tcPr>
          <w:p>
            <w:pPr>
              <w:jc w:val="center"/>
              <w:ind w:right="407"/>
              <w:spacing w:after="0"/>
              <w:rPr>
                <w:sz w:val="20"/>
                <w:szCs w:val="20"/>
                <w:color w:val="auto"/>
              </w:rPr>
            </w:pPr>
            <w:r>
              <w:rPr>
                <w:rFonts w:ascii="Arial" w:cs="Arial" w:eastAsia="Arial" w:hAnsi="Arial"/>
                <w:sz w:val="14"/>
                <w:szCs w:val="14"/>
                <w:b w:val="1"/>
                <w:bCs w:val="1"/>
                <w:color w:val="auto"/>
                <w:w w:val="95"/>
              </w:rPr>
              <w:t>Amortization</w:t>
            </w: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0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5-10 years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(5,656</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80"/>
        <w:spacing w:after="0" w:line="307"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4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Amortization expenses of $2,637 and $1,730 were included in depreciation and amortization expense for the years ended December 31, 2019 and 2018, respectively. As of December 31, 2019, intangible assets of $3,479, included in the gross amounts of software developed for internal use, have not started amortization, as they are not ready for their intended use.</w:t>
      </w:r>
    </w:p>
    <w:p>
      <w:pPr>
        <w:spacing w:after="0" w:line="18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capitalized costs of software developed for internal use of $6,700 and $6,348 during the years ended December 31, 2019 and 2018,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As of December 31, 2019, estimated amortization expenses related to the Company’s intangible assets for 2020 through 2025 and thereafter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82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82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9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Employees compensation expenses</w:t>
            </w:r>
          </w:p>
        </w:tc>
        <w:tc>
          <w:tcPr>
            <w:tcW w:w="82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ind w:right="14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3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Accrued data acquisition costs</w:t>
            </w:r>
          </w:p>
        </w:tc>
        <w:tc>
          <w:tcPr>
            <w:tcW w:w="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8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Deferred rent</w:t>
            </w:r>
          </w:p>
        </w:tc>
        <w:tc>
          <w:tcPr>
            <w:tcW w:w="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Litigation settlement payable</w:t>
            </w:r>
          </w:p>
        </w:tc>
        <w:tc>
          <w:tcPr>
            <w:tcW w:w="8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 expenses payable</w:t>
            </w:r>
          </w:p>
        </w:tc>
        <w:tc>
          <w:tcPr>
            <w:tcW w:w="82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14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1,571</w:t>
            </w:r>
          </w:p>
        </w:tc>
        <w:tc>
          <w:tcPr>
            <w:tcW w:w="3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income, net</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 ended December 31, 2018, other income, net consisted primarily of transition service income of $218 and the insurance proceeds of $350 in relation to previously settled litigation.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federal and state income taxes in the United States. The income taxes on loss before income taxes consisted of the following: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tcBorders>
              <w:bottom w:val="single" w:sz="8" w:color="CEF0FC"/>
            </w:tcBorders>
            <w:vMerge w:val="continue"/>
          </w:tcPr>
          <w:p>
            <w:pPr>
              <w:spacing w:after="0"/>
              <w:rPr>
                <w:sz w:val="13"/>
                <w:szCs w:val="13"/>
                <w:color w:val="auto"/>
              </w:rPr>
            </w:pPr>
          </w:p>
        </w:tc>
        <w:tc>
          <w:tcPr>
            <w:tcW w:w="3120" w:type="dxa"/>
            <w:vAlign w:val="bottom"/>
            <w:tcBorders>
              <w:bottom w:val="single" w:sz="8" w:color="CE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95"/>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E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9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E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EF0FC"/>
          </w:tcPr>
          <w:p>
            <w:pPr>
              <w:spacing w:after="0"/>
              <w:rPr>
                <w:sz w:val="20"/>
                <w:szCs w:val="20"/>
                <w:color w:val="auto"/>
              </w:rPr>
            </w:pPr>
            <w:r>
              <w:rPr>
                <w:rFonts w:ascii="Arial" w:cs="Arial" w:eastAsia="Arial" w:hAnsi="Arial"/>
                <w:sz w:val="18"/>
                <w:szCs w:val="18"/>
                <w:color w:val="auto"/>
              </w:rPr>
              <w:t>Current</w:t>
            </w:r>
          </w:p>
        </w:tc>
        <w:tc>
          <w:tcPr>
            <w:tcW w:w="3120" w:type="dxa"/>
            <w:vAlign w:val="bottom"/>
            <w:shd w:val="clear" w:color="auto" w:fill="CEF0FC"/>
          </w:tcPr>
          <w:p>
            <w:pPr>
              <w:spacing w:after="0"/>
              <w:rPr>
                <w:sz w:val="19"/>
                <w:szCs w:val="19"/>
                <w:color w:val="auto"/>
              </w:rPr>
            </w:pPr>
          </w:p>
        </w:tc>
        <w:tc>
          <w:tcPr>
            <w:tcW w:w="480" w:type="dxa"/>
            <w:vAlign w:val="bottom"/>
            <w:shd w:val="clear" w:color="auto" w:fill="CEF0FC"/>
          </w:tcPr>
          <w:p>
            <w:pPr>
              <w:spacing w:after="0"/>
              <w:rPr>
                <w:sz w:val="19"/>
                <w:szCs w:val="19"/>
                <w:color w:val="auto"/>
              </w:rPr>
            </w:pPr>
          </w:p>
        </w:tc>
        <w:tc>
          <w:tcPr>
            <w:tcW w:w="1560" w:type="dxa"/>
            <w:vAlign w:val="bottom"/>
            <w:shd w:val="clear" w:color="auto" w:fill="CEF0FC"/>
          </w:tcPr>
          <w:p>
            <w:pPr>
              <w:spacing w:after="0"/>
              <w:rPr>
                <w:sz w:val="19"/>
                <w:szCs w:val="19"/>
                <w:color w:val="auto"/>
              </w:rPr>
            </w:pPr>
          </w:p>
        </w:tc>
        <w:tc>
          <w:tcPr>
            <w:tcW w:w="320" w:type="dxa"/>
            <w:vAlign w:val="bottom"/>
            <w:shd w:val="clear" w:color="auto" w:fill="CEF0FC"/>
          </w:tcPr>
          <w:p>
            <w:pPr>
              <w:spacing w:after="0"/>
              <w:rPr>
                <w:sz w:val="19"/>
                <w:szCs w:val="19"/>
                <w:color w:val="auto"/>
              </w:rPr>
            </w:pPr>
          </w:p>
        </w:tc>
        <w:tc>
          <w:tcPr>
            <w:tcW w:w="740" w:type="dxa"/>
            <w:vAlign w:val="bottom"/>
            <w:shd w:val="clear" w:color="auto" w:fill="CEF0FC"/>
          </w:tcPr>
          <w:p>
            <w:pPr>
              <w:spacing w:after="0"/>
              <w:rPr>
                <w:sz w:val="19"/>
                <w:szCs w:val="19"/>
                <w:color w:val="auto"/>
              </w:rPr>
            </w:pPr>
          </w:p>
        </w:tc>
        <w:tc>
          <w:tcPr>
            <w:tcW w:w="1300" w:type="dxa"/>
            <w:vAlign w:val="bottom"/>
            <w:shd w:val="clear" w:color="auto" w:fill="CEF0FC"/>
          </w:tcPr>
          <w:p>
            <w:pPr>
              <w:spacing w:after="0"/>
              <w:rPr>
                <w:sz w:val="19"/>
                <w:szCs w:val="19"/>
                <w:color w:val="auto"/>
              </w:rPr>
            </w:pPr>
          </w:p>
        </w:tc>
        <w:tc>
          <w:tcPr>
            <w:tcW w:w="10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00"/>
              <w:spacing w:after="0"/>
              <w:rPr>
                <w:sz w:val="20"/>
                <w:szCs w:val="20"/>
                <w:color w:val="auto"/>
              </w:rPr>
            </w:pPr>
            <w:r>
              <w:rPr>
                <w:rFonts w:ascii="Arial" w:cs="Arial" w:eastAsia="Arial" w:hAnsi="Arial"/>
                <w:sz w:val="18"/>
                <w:szCs w:val="18"/>
                <w:color w:val="auto"/>
              </w:rPr>
              <w:t>Federal and state</w:t>
            </w:r>
          </w:p>
        </w:tc>
        <w:tc>
          <w:tcPr>
            <w:tcW w:w="3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EF0FC"/>
          </w:tcPr>
          <w:p>
            <w:pPr>
              <w:spacing w:after="0"/>
              <w:rPr>
                <w:sz w:val="20"/>
                <w:szCs w:val="20"/>
                <w:color w:val="auto"/>
              </w:rPr>
            </w:pPr>
            <w:r>
              <w:rPr>
                <w:rFonts w:ascii="Arial" w:cs="Arial" w:eastAsia="Arial" w:hAnsi="Arial"/>
                <w:sz w:val="18"/>
                <w:szCs w:val="18"/>
                <w:color w:val="auto"/>
              </w:rPr>
              <w:t>Deferred</w:t>
            </w:r>
          </w:p>
        </w:tc>
        <w:tc>
          <w:tcPr>
            <w:tcW w:w="3120" w:type="dxa"/>
            <w:vAlign w:val="bottom"/>
            <w:shd w:val="clear" w:color="auto" w:fill="CEF0FC"/>
          </w:tcPr>
          <w:p>
            <w:pPr>
              <w:spacing w:after="0"/>
              <w:rPr>
                <w:sz w:val="19"/>
                <w:szCs w:val="19"/>
                <w:color w:val="auto"/>
              </w:rPr>
            </w:pPr>
          </w:p>
        </w:tc>
        <w:tc>
          <w:tcPr>
            <w:tcW w:w="480" w:type="dxa"/>
            <w:vAlign w:val="bottom"/>
            <w:shd w:val="clear" w:color="auto" w:fill="CEF0FC"/>
          </w:tcPr>
          <w:p>
            <w:pPr>
              <w:spacing w:after="0"/>
              <w:rPr>
                <w:sz w:val="19"/>
                <w:szCs w:val="19"/>
                <w:color w:val="auto"/>
              </w:rPr>
            </w:pPr>
          </w:p>
        </w:tc>
        <w:tc>
          <w:tcPr>
            <w:tcW w:w="1560" w:type="dxa"/>
            <w:vAlign w:val="bottom"/>
            <w:shd w:val="clear" w:color="auto" w:fill="CEF0FC"/>
          </w:tcPr>
          <w:p>
            <w:pPr>
              <w:spacing w:after="0"/>
              <w:rPr>
                <w:sz w:val="19"/>
                <w:szCs w:val="19"/>
                <w:color w:val="auto"/>
              </w:rPr>
            </w:pPr>
          </w:p>
        </w:tc>
        <w:tc>
          <w:tcPr>
            <w:tcW w:w="320" w:type="dxa"/>
            <w:vAlign w:val="bottom"/>
            <w:shd w:val="clear" w:color="auto" w:fill="CEF0FC"/>
          </w:tcPr>
          <w:p>
            <w:pPr>
              <w:spacing w:after="0"/>
              <w:rPr>
                <w:sz w:val="19"/>
                <w:szCs w:val="19"/>
                <w:color w:val="auto"/>
              </w:rPr>
            </w:pPr>
          </w:p>
        </w:tc>
        <w:tc>
          <w:tcPr>
            <w:tcW w:w="740" w:type="dxa"/>
            <w:vAlign w:val="bottom"/>
            <w:shd w:val="clear" w:color="auto" w:fill="CEF0FC"/>
          </w:tcPr>
          <w:p>
            <w:pPr>
              <w:spacing w:after="0"/>
              <w:rPr>
                <w:sz w:val="19"/>
                <w:szCs w:val="19"/>
                <w:color w:val="auto"/>
              </w:rPr>
            </w:pPr>
          </w:p>
        </w:tc>
        <w:tc>
          <w:tcPr>
            <w:tcW w:w="1300" w:type="dxa"/>
            <w:vAlign w:val="bottom"/>
            <w:shd w:val="clear" w:color="auto" w:fill="CEF0FC"/>
          </w:tcPr>
          <w:p>
            <w:pPr>
              <w:spacing w:after="0"/>
              <w:rPr>
                <w:sz w:val="19"/>
                <w:szCs w:val="19"/>
                <w:color w:val="auto"/>
              </w:rPr>
            </w:pPr>
          </w:p>
        </w:tc>
        <w:tc>
          <w:tcPr>
            <w:tcW w:w="10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00"/>
              <w:spacing w:after="0"/>
              <w:rPr>
                <w:sz w:val="20"/>
                <w:szCs w:val="20"/>
                <w:color w:val="auto"/>
              </w:rPr>
            </w:pPr>
            <w:r>
              <w:rPr>
                <w:rFonts w:ascii="Arial" w:cs="Arial" w:eastAsia="Arial" w:hAnsi="Arial"/>
                <w:sz w:val="18"/>
                <w:szCs w:val="18"/>
                <w:color w:val="auto"/>
              </w:rPr>
              <w:t>Federal</w:t>
            </w:r>
          </w:p>
        </w:tc>
        <w:tc>
          <w:tcPr>
            <w:tcW w:w="3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(2,449)</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EF0FC"/>
          </w:tcPr>
          <w:p>
            <w:pPr>
              <w:ind w:left="100"/>
              <w:spacing w:after="0"/>
              <w:rPr>
                <w:sz w:val="20"/>
                <w:szCs w:val="20"/>
                <w:color w:val="auto"/>
              </w:rPr>
            </w:pPr>
            <w:r>
              <w:rPr>
                <w:rFonts w:ascii="Arial" w:cs="Arial" w:eastAsia="Arial" w:hAnsi="Arial"/>
                <w:sz w:val="18"/>
                <w:szCs w:val="18"/>
                <w:color w:val="auto"/>
              </w:rPr>
              <w:t>State</w:t>
            </w:r>
          </w:p>
        </w:tc>
        <w:tc>
          <w:tcPr>
            <w:tcW w:w="3120" w:type="dxa"/>
            <w:vAlign w:val="bottom"/>
            <w:shd w:val="clear" w:color="auto" w:fill="CEF0FC"/>
          </w:tcPr>
          <w:p>
            <w:pPr>
              <w:spacing w:after="0"/>
              <w:rPr>
                <w:sz w:val="19"/>
                <w:szCs w:val="19"/>
                <w:color w:val="auto"/>
              </w:rPr>
            </w:pPr>
          </w:p>
        </w:tc>
        <w:tc>
          <w:tcPr>
            <w:tcW w:w="480" w:type="dxa"/>
            <w:vAlign w:val="bottom"/>
            <w:shd w:val="clear" w:color="auto" w:fill="CEF0FC"/>
          </w:tcPr>
          <w:p>
            <w:pPr>
              <w:spacing w:after="0"/>
              <w:rPr>
                <w:sz w:val="19"/>
                <w:szCs w:val="19"/>
                <w:color w:val="auto"/>
              </w:rPr>
            </w:pPr>
          </w:p>
        </w:tc>
        <w:tc>
          <w:tcPr>
            <w:tcW w:w="1880" w:type="dxa"/>
            <w:vAlign w:val="bottom"/>
            <w:gridSpan w:val="2"/>
            <w:shd w:val="clear" w:color="auto" w:fill="CEF0FC"/>
          </w:tcPr>
          <w:p>
            <w:pPr>
              <w:jc w:val="right"/>
              <w:ind w:right="260"/>
              <w:spacing w:after="0"/>
              <w:rPr>
                <w:sz w:val="20"/>
                <w:szCs w:val="20"/>
                <w:color w:val="auto"/>
              </w:rPr>
            </w:pPr>
            <w:r>
              <w:rPr>
                <w:rFonts w:ascii="Arial" w:cs="Arial" w:eastAsia="Arial" w:hAnsi="Arial"/>
                <w:sz w:val="18"/>
                <w:szCs w:val="18"/>
                <w:color w:val="auto"/>
              </w:rPr>
              <w:t>(359)</w:t>
            </w:r>
          </w:p>
        </w:tc>
        <w:tc>
          <w:tcPr>
            <w:tcW w:w="740" w:type="dxa"/>
            <w:vAlign w:val="bottom"/>
            <w:shd w:val="clear" w:color="auto" w:fill="CEF0FC"/>
          </w:tcPr>
          <w:p>
            <w:pPr>
              <w:spacing w:after="0"/>
              <w:rPr>
                <w:sz w:val="19"/>
                <w:szCs w:val="19"/>
                <w:color w:val="auto"/>
              </w:rPr>
            </w:pPr>
          </w:p>
        </w:tc>
        <w:tc>
          <w:tcPr>
            <w:tcW w:w="1300" w:type="dxa"/>
            <w:vAlign w:val="bottom"/>
            <w:shd w:val="clear" w:color="auto" w:fill="CEF0FC"/>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3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2,808</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23"/>
        </w:trPr>
        <w:tc>
          <w:tcPr>
            <w:tcW w:w="3620" w:type="dxa"/>
            <w:vAlign w:val="bottom"/>
            <w:tcBorders>
              <w:top w:val="single" w:sz="8" w:color="CEF0FC"/>
            </w:tcBorders>
            <w:shd w:val="clear" w:color="auto" w:fill="CEF0FC"/>
          </w:tcPr>
          <w:p>
            <w:pPr>
              <w:spacing w:after="0"/>
              <w:rPr>
                <w:sz w:val="19"/>
                <w:szCs w:val="19"/>
                <w:color w:val="auto"/>
              </w:rPr>
            </w:pPr>
          </w:p>
        </w:tc>
        <w:tc>
          <w:tcPr>
            <w:tcW w:w="3120" w:type="dxa"/>
            <w:vAlign w:val="bottom"/>
            <w:tcBorders>
              <w:top w:val="single" w:sz="8" w:color="CEF0FC"/>
            </w:tcBorders>
            <w:shd w:val="clear" w:color="auto" w:fill="CEF0FC"/>
          </w:tcPr>
          <w:p>
            <w:pPr>
              <w:spacing w:after="0"/>
              <w:rPr>
                <w:sz w:val="19"/>
                <w:szCs w:val="19"/>
                <w:color w:val="auto"/>
              </w:rPr>
            </w:pPr>
          </w:p>
        </w:tc>
        <w:tc>
          <w:tcPr>
            <w:tcW w:w="480" w:type="dxa"/>
            <w:vAlign w:val="bottom"/>
            <w:tcBorders>
              <w:top w:val="single" w:sz="8" w:color="auto"/>
              <w:bottom w:val="single" w:sz="8" w:color="auto"/>
            </w:tcBorders>
            <w:shd w:val="clear" w:color="auto" w:fill="CEF0FC"/>
          </w:tcPr>
          <w:p>
            <w:pPr>
              <w:spacing w:after="0"/>
              <w:rPr>
                <w:sz w:val="19"/>
                <w:szCs w:val="19"/>
                <w:color w:val="auto"/>
              </w:rPr>
            </w:pPr>
          </w:p>
        </w:tc>
        <w:tc>
          <w:tcPr>
            <w:tcW w:w="156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EF0FC"/>
            </w:tcBorders>
            <w:shd w:val="clear" w:color="auto" w:fill="CEF0FC"/>
          </w:tcPr>
          <w:p>
            <w:pPr>
              <w:spacing w:after="0"/>
              <w:rPr>
                <w:sz w:val="19"/>
                <w:szCs w:val="19"/>
                <w:color w:val="auto"/>
              </w:rPr>
            </w:pPr>
          </w:p>
        </w:tc>
        <w:tc>
          <w:tcPr>
            <w:tcW w:w="740" w:type="dxa"/>
            <w:vAlign w:val="bottom"/>
            <w:tcBorders>
              <w:top w:val="single" w:sz="8" w:color="auto"/>
              <w:bottom w:val="single" w:sz="8" w:color="auto"/>
            </w:tcBorders>
            <w:shd w:val="clear" w:color="auto" w:fill="CEF0FC"/>
          </w:tcPr>
          <w:p>
            <w:pPr>
              <w:spacing w:after="0"/>
              <w:rPr>
                <w:sz w:val="19"/>
                <w:szCs w:val="19"/>
                <w:color w:val="auto"/>
              </w:rPr>
            </w:pPr>
          </w:p>
        </w:tc>
        <w:tc>
          <w:tcPr>
            <w:tcW w:w="130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EF0FC"/>
            </w:tcBorders>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3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20" w:type="dxa"/>
            <w:vAlign w:val="bottom"/>
          </w:tcPr>
          <w:p>
            <w:pPr>
              <w:spacing w:after="0"/>
              <w:rPr>
                <w:sz w:val="24"/>
                <w:szCs w:val="24"/>
                <w:color w:val="auto"/>
              </w:rPr>
            </w:pPr>
          </w:p>
        </w:tc>
        <w:tc>
          <w:tcPr>
            <w:tcW w:w="3600" w:type="dxa"/>
            <w:vAlign w:val="bottom"/>
            <w:gridSpan w:val="2"/>
          </w:tcPr>
          <w:p>
            <w:pPr>
              <w:jc w:val="right"/>
              <w:ind w:right="1330"/>
              <w:spacing w:after="0"/>
              <w:rPr>
                <w:sz w:val="20"/>
                <w:szCs w:val="20"/>
                <w:color w:val="auto"/>
              </w:rPr>
            </w:pPr>
            <w:r>
              <w:rPr>
                <w:rFonts w:ascii="Arial" w:cs="Arial" w:eastAsia="Arial" w:hAnsi="Arial"/>
                <w:sz w:val="18"/>
                <w:szCs w:val="18"/>
                <w:color w:val="auto"/>
              </w:rPr>
              <w:t>F-16</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60"/>
        <w:spacing w:after="0" w:line="277" w:lineRule="auto"/>
        <w:rPr>
          <w:sz w:val="20"/>
          <w:szCs w:val="20"/>
          <w:color w:val="auto"/>
        </w:rPr>
      </w:pPr>
      <w:r>
        <w:rPr>
          <w:rFonts w:ascii="Arial" w:cs="Arial" w:eastAsia="Arial" w:hAnsi="Arial"/>
          <w:sz w:val="18"/>
          <w:szCs w:val="18"/>
          <w:color w:val="auto"/>
        </w:rPr>
        <w:t>The Company’s effective income tax benefit differed from the U.S. corporate statutory income tax rate for the years ended December 31, 2019 and 2018. A reconciliation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gridSpan w:val="4"/>
            <w:vMerge w:val="continue"/>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color w:val="auto"/>
              </w:rPr>
              <w:t>2018</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Tax on loss before income taxes</w:t>
            </w:r>
          </w:p>
        </w:tc>
        <w:tc>
          <w:tcPr>
            <w:tcW w:w="5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3"/>
            <w:vMerge w:val="continue"/>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(2,326)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FF0FC"/>
          </w:tcPr>
          <w:p>
            <w:pPr>
              <w:jc w:val="right"/>
              <w:ind w:right="413"/>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(1,442)</w:t>
            </w:r>
          </w:p>
        </w:tc>
        <w:tc>
          <w:tcPr>
            <w:tcW w:w="4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Effect of state taxes (net of federal tax benefit)</w:t>
            </w:r>
          </w:p>
        </w:tc>
        <w:tc>
          <w:tcPr>
            <w:tcW w:w="5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1,543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Excess tax benefit from share-based compensation</w:t>
            </w:r>
          </w:p>
        </w:tc>
        <w:tc>
          <w:tcPr>
            <w:tcW w:w="5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Nondeductible executive compensation</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permanent differences</w:t>
            </w:r>
          </w:p>
        </w:tc>
        <w:tc>
          <w:tcPr>
            <w:tcW w:w="5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Effect of the Spin-off from Fluent</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9,410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(9,522)</w:t>
            </w:r>
          </w:p>
        </w:tc>
        <w:tc>
          <w:tcPr>
            <w:tcW w:w="4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color w:val="auto"/>
              </w:rPr>
              <w:t>Income tax benefit</w:t>
            </w: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4"/>
            <w:vMerge w:val="continue"/>
          </w:tcPr>
          <w:p>
            <w:pPr>
              <w:spacing w:after="0"/>
              <w:rPr>
                <w:sz w:val="19"/>
                <w:szCs w:val="19"/>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580" w:type="dxa"/>
            <w:vAlign w:val="bottom"/>
          </w:tcPr>
          <w:p>
            <w:pPr>
              <w:jc w:val="right"/>
              <w:ind w:right="413"/>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60" w:type="dxa"/>
            <w:vAlign w:val="bottom"/>
            <w:gridSpan w:val="5"/>
          </w:tcPr>
          <w:p>
            <w:pPr>
              <w:spacing w:after="0"/>
              <w:rPr>
                <w:sz w:val="20"/>
                <w:szCs w:val="20"/>
                <w:color w:val="auto"/>
              </w:rPr>
            </w:pPr>
            <w:r>
              <w:rPr>
                <w:rFonts w:ascii="Arial" w:cs="Arial" w:eastAsia="Arial" w:hAnsi="Arial"/>
                <w:sz w:val="18"/>
                <w:szCs w:val="18"/>
                <w:color w:val="auto"/>
                <w:w w:val="95"/>
              </w:rPr>
              <w:t>Components of deferred tax assets and liabilities consist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Deferred tax assets:</w:t>
            </w:r>
          </w:p>
        </w:tc>
        <w:tc>
          <w:tcPr>
            <w:tcW w:w="56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Net operating loss carryforwards</w:t>
            </w:r>
          </w:p>
        </w:tc>
        <w:tc>
          <w:tcPr>
            <w:tcW w:w="560" w:type="dxa"/>
            <w:vAlign w:val="bottom"/>
          </w:tcPr>
          <w:p>
            <w:pPr>
              <w:spacing w:after="0"/>
              <w:rPr>
                <w:sz w:val="19"/>
                <w:szCs w:val="19"/>
                <w:color w:val="auto"/>
              </w:rPr>
            </w:pPr>
          </w:p>
        </w:tc>
        <w:tc>
          <w:tcPr>
            <w:tcW w:w="144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6,711</w:t>
            </w:r>
          </w:p>
        </w:tc>
        <w:tc>
          <w:tcPr>
            <w:tcW w:w="140" w:type="dxa"/>
            <w:vAlign w:val="bottom"/>
          </w:tcPr>
          <w:p>
            <w:pPr>
              <w:spacing w:after="0"/>
              <w:rPr>
                <w:sz w:val="19"/>
                <w:szCs w:val="19"/>
                <w:color w:val="auto"/>
              </w:rPr>
            </w:pPr>
          </w:p>
        </w:tc>
        <w:tc>
          <w:tcPr>
            <w:tcW w:w="5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(5,126)</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2"/>
              </w:rPr>
              <w:t>Deferred tax liabilities:</w:t>
            </w:r>
          </w:p>
        </w:tc>
        <w:tc>
          <w:tcPr>
            <w:tcW w:w="33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deferred income tax</w:t>
            </w:r>
          </w:p>
        </w:tc>
        <w:tc>
          <w:tcPr>
            <w:tcW w:w="5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3"/>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2019, the Company had federal and state net operating loss carryforwards of $27,886 and $18,729, respectively, which begin to expire in 2034, except that $20,342 of federal net operating loss carryforwards incurred in 2018 and 2019 could be carried forward indefinitely. The Company’s net operating losses are not subject to annual Section 382 limitations due to ownership changes that could impact the future realization. The Company uses ASC 740 ordering when determining when excess tax benefits have been realized.</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or all of the deferred tax assets will not be realized. On a periodic basis, management evaluates and determines the amount of valuation allowance required and adjusts such valuation allowance accordingly. Primarily due to cumulative pre-tax losses, management determined a valuation allowance of $5,126 and $2,318 was necessary as of December 31, 2019 and 2018, respectively, to reduce the deferred tax assets to the amount that is more likely than not to be realized. The change in the valuation allowance was an increase of $2,808 for the year ended December 31, 2019 and a reduction of $9,522 for the year ended December 31, 2018. The decrease in the valuation allowance in 2018 is due to the decrease in net operating loss carryforwards as a result of the net operating loss carryforward that stayed with Fluent upon the Spin-off.</w:t>
      </w:r>
    </w:p>
    <w:p>
      <w:pPr>
        <w:spacing w:after="0" w:line="18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2016 remain open for tax examinations.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December 31, 2019 and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10. Common stock and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As of December 31, 2019 and 2018, the number of authorized shares of common stock was 200,000,000, with a par value of $0.001 per share, of which, 11,657,912 and 10,266,613 shares of common stock were issued, respectively, which included shares of treasury stock of 103,147 and 0, respectively.</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26, 2018, Fluent completed the Spin-off of its risk management business from its digital marketing business by way of a distribution of all the shares of common stock of red violet to Fluent’s stockholders of record as of March 19, 2018, the Record Date, and certain warrant holders, which resulted in a distribution of a total of 10,266,613 shares of red violet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the change in the number of issued shares of common stock was due to the following issuance:</w:t>
      </w:r>
    </w:p>
    <w:p>
      <w:pPr>
        <w:spacing w:after="0" w:line="225" w:lineRule="exact"/>
        <w:rPr>
          <w:sz w:val="20"/>
          <w:szCs w:val="20"/>
          <w:color w:val="auto"/>
        </w:rPr>
      </w:pPr>
    </w:p>
    <w:p>
      <w:pPr>
        <w:ind w:left="380" w:right="380" w:hanging="372"/>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aggregate of 710,299 shares of common stock were issued as a result of the vesting of RSUs, of which, 103,147 shares of common stock were withheld to pay withholding taxes upon such vesting, which are reflected in treasury stock.</w:t>
      </w:r>
    </w:p>
    <w:p>
      <w:pPr>
        <w:spacing w:after="0" w:line="61" w:lineRule="exact"/>
        <w:rPr>
          <w:rFonts w:ascii="Arial" w:cs="Arial" w:eastAsia="Arial" w:hAnsi="Arial"/>
          <w:sz w:val="18"/>
          <w:szCs w:val="18"/>
          <w:color w:val="auto"/>
        </w:rPr>
      </w:pPr>
    </w:p>
    <w:p>
      <w:pPr>
        <w:ind w:left="380" w:right="400" w:hanging="372"/>
        <w:spacing w:after="0" w:line="341"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aggregate of 681,000 shares of common stock, with an issuance price of $11.00 per share, were issued in a registered direct offering to certain investors, pursuant to a securities purchase agreement entered into on August 28, 2019. Net proceeds of $7,436 were received in August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 Company held 103,147 shares of treasury stock, with a cost of $1,255. There was no treasury stock as of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treasury stock was due to shares withheld to pay withholding taxes upon the vesting of RSUs.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2019 and 2018, the Company had 10,000,000 shares of preferred stock with par value of $0.001 per share authorized, and there were no shares of preferred stock issued or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22, 2018, the board of directors of the Company and Fluent, in its capacity as sole stockholder of red violet prior to the Spin-off, approved the Red Violet, Inc. 2018 Stock Incentive Plan (the “2018 Plan”), which became effective immediately prior to the Spin-off. A total of 3,000,000 shares of common stock were authorized to be issued under the 2018 Plan. 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were 39,624 shares of common stock available for future issuance under the 2018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Details of unvested RSUs activity during the years ended December 31, 2018 and 2019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 units</w:t>
            </w: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grant-date fair value</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2017</w:t>
            </w:r>
          </w:p>
        </w:tc>
        <w:tc>
          <w:tcPr>
            <w:tcW w:w="34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5"/>
                <w:szCs w:val="15"/>
                <w:color w:val="auto"/>
              </w:rPr>
              <w:t>(1)</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2,145,500</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5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(24,500)</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Unvested as of December 31, 2018</w:t>
            </w:r>
          </w:p>
        </w:tc>
        <w:tc>
          <w:tcPr>
            <w:tcW w:w="342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2,121,000</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5"/>
                <w:szCs w:val="15"/>
                <w:color w:val="auto"/>
              </w:rPr>
              <w:t>(1)(2)</w:t>
            </w:r>
          </w:p>
        </w:tc>
        <w:tc>
          <w:tcPr>
            <w:tcW w:w="5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917,500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Vested and delivered</w:t>
            </w:r>
          </w:p>
        </w:tc>
        <w:tc>
          <w:tcPr>
            <w:tcW w:w="5420" w:type="dxa"/>
            <w:vAlign w:val="bottom"/>
            <w:gridSpan w:val="3"/>
          </w:tcPr>
          <w:p>
            <w:pPr>
              <w:jc w:val="right"/>
              <w:ind w:right="220"/>
              <w:spacing w:after="0"/>
              <w:rPr>
                <w:sz w:val="20"/>
                <w:szCs w:val="20"/>
                <w:color w:val="auto"/>
              </w:rPr>
            </w:pPr>
            <w:r>
              <w:rPr>
                <w:rFonts w:ascii="Arial" w:cs="Arial" w:eastAsia="Arial" w:hAnsi="Arial"/>
                <w:sz w:val="18"/>
                <w:szCs w:val="18"/>
                <w:color w:val="auto"/>
              </w:rPr>
              <w:t>(607,152)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Withheld as treasury stock </w:t>
            </w:r>
            <w:r>
              <w:rPr>
                <w:rFonts w:ascii="Arial" w:cs="Arial" w:eastAsia="Arial" w:hAnsi="Arial"/>
                <w:sz w:val="15"/>
                <w:szCs w:val="15"/>
                <w:color w:val="auto"/>
              </w:rPr>
              <w:t>(3)</w:t>
            </w:r>
          </w:p>
        </w:tc>
        <w:tc>
          <w:tcPr>
            <w:tcW w:w="5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(103,147)</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Vested not delivered</w:t>
            </w:r>
          </w:p>
        </w:tc>
        <w:tc>
          <w:tcPr>
            <w:tcW w:w="5420" w:type="dxa"/>
            <w:vAlign w:val="bottom"/>
            <w:gridSpan w:val="3"/>
          </w:tcPr>
          <w:p>
            <w:pPr>
              <w:jc w:val="right"/>
              <w:ind w:right="220"/>
              <w:spacing w:after="0"/>
              <w:rPr>
                <w:sz w:val="20"/>
                <w:szCs w:val="20"/>
                <w:color w:val="auto"/>
              </w:rPr>
            </w:pPr>
            <w:r>
              <w:rPr>
                <w:rFonts w:ascii="Arial" w:cs="Arial" w:eastAsia="Arial" w:hAnsi="Arial"/>
                <w:sz w:val="18"/>
                <w:szCs w:val="18"/>
                <w:color w:val="auto"/>
              </w:rPr>
              <w:t>(12,250)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5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(78,124)</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Unvested as of December 31, 2019</w:t>
            </w:r>
          </w:p>
        </w:tc>
        <w:tc>
          <w:tcPr>
            <w:tcW w:w="342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2,237,827</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0" w:type="dxa"/>
            <w:vAlign w:val="bottom"/>
          </w:tcPr>
          <w:p>
            <w:pPr>
              <w:spacing w:after="0"/>
              <w:rPr>
                <w:sz w:val="24"/>
                <w:szCs w:val="24"/>
                <w:color w:val="auto"/>
              </w:rPr>
            </w:pPr>
          </w:p>
        </w:tc>
        <w:tc>
          <w:tcPr>
            <w:tcW w:w="5420" w:type="dxa"/>
            <w:vAlign w:val="bottom"/>
            <w:gridSpan w:val="3"/>
          </w:tcPr>
          <w:p>
            <w:pPr>
              <w:jc w:val="right"/>
              <w:ind w:right="3620"/>
              <w:spacing w:after="0"/>
              <w:rPr>
                <w:sz w:val="20"/>
                <w:szCs w:val="20"/>
                <w:color w:val="auto"/>
              </w:rPr>
            </w:pPr>
            <w:r>
              <w:rPr>
                <w:rFonts w:ascii="Arial" w:cs="Arial" w:eastAsia="Arial" w:hAnsi="Arial"/>
                <w:sz w:val="18"/>
                <w:szCs w:val="18"/>
                <w:color w:val="auto"/>
              </w:rPr>
              <w:t>F-18</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ind w:left="380" w:right="140" w:hanging="372"/>
        <w:spacing w:after="0" w:line="285"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September 5, 2018 and January 16, 2019, the Company granted an aggregate of 1,487,500 RSUs (included in “Granted” during the year ended December 31, 2018 above) and 90,000 RSUs (included in “Granted” during the year ended December 31, 2019 above), respectively, subject to both time- and performance-based requirements, to certain of its employees and directors, at a grant date fair value of $7.69 per share and $7.25 per share, respectively, with a three-year vesting period. Such RSU grants shall not vest unless and until the Company has, for any fiscal quarter in which the RSUs are outstanding, (i) gross revenue determined in accordance with the Company’s reviewed or audited financial statements in excess of</w:t>
      </w:r>
    </w:p>
    <w:p>
      <w:pPr>
        <w:ind w:left="380" w:right="100"/>
        <w:spacing w:after="0" w:line="288" w:lineRule="auto"/>
        <w:rPr>
          <w:rFonts w:ascii="Arial" w:cs="Arial" w:eastAsia="Arial" w:hAnsi="Arial"/>
          <w:sz w:val="16"/>
          <w:szCs w:val="16"/>
          <w:color w:val="auto"/>
        </w:rPr>
      </w:pPr>
      <w:r>
        <w:rPr>
          <w:rFonts w:ascii="Arial" w:cs="Arial" w:eastAsia="Arial" w:hAnsi="Arial"/>
          <w:sz w:val="16"/>
          <w:szCs w:val="16"/>
          <w:color w:val="auto"/>
        </w:rPr>
        <w:t>$7.0 million for such fiscal quarter, (ii) positive adjusted EBITDA, as determined based on amounts derived from the Company’s reviewed or audited financial statements for such fiscal quarter, and (iii) the participant continues to provide services to the Company either as an employee, director or consultant on the last day of the quarter that the performance criteria are met (collectively, the “2018 Performance Criteria”). Provided the 2018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2018 Performance Criteria have not been met. As of June 30, 2019, the Company determined that the 2018 Performance Criteria were met and expects to issue shares underlying the RSUs in accordance with the continuing time-based vesting requirement.</w:t>
      </w:r>
    </w:p>
    <w:p>
      <w:pPr>
        <w:spacing w:after="0" w:line="166" w:lineRule="exact"/>
        <w:rPr>
          <w:rFonts w:ascii="Arial" w:cs="Arial" w:eastAsia="Arial" w:hAnsi="Arial"/>
          <w:sz w:val="16"/>
          <w:szCs w:val="16"/>
          <w:color w:val="auto"/>
        </w:rPr>
      </w:pPr>
    </w:p>
    <w:p>
      <w:pPr>
        <w:ind w:left="380" w:right="140"/>
        <w:spacing w:after="0" w:line="301" w:lineRule="auto"/>
        <w:rPr>
          <w:rFonts w:ascii="Arial" w:cs="Arial" w:eastAsia="Arial" w:hAnsi="Arial"/>
          <w:sz w:val="16"/>
          <w:szCs w:val="16"/>
          <w:color w:val="auto"/>
        </w:rPr>
      </w:pPr>
      <w:r>
        <w:rPr>
          <w:rFonts w:ascii="Arial" w:cs="Arial" w:eastAsia="Arial" w:hAnsi="Arial"/>
          <w:sz w:val="16"/>
          <w:szCs w:val="16"/>
          <w:color w:val="auto"/>
        </w:rPr>
        <w:t>As a result of meeting the 2018 Performance Criteria as of June 30, 2019, the Company recognized a total of $7,724 of share-based compensation expense relating to RSUs with the 2018 Performance Criteria for the year ended December 31, 2019. Of the $7,724 recognized, $2,174 represented a catch-up of unamortized expense from September 5, 2018 through December 31, 2018, which was not recognized in prior periods because the Company determined at each period end that it was not probable that the 2018 Performance Criteria would be met.</w:t>
      </w:r>
    </w:p>
    <w:p>
      <w:pPr>
        <w:spacing w:after="0" w:line="155" w:lineRule="exact"/>
        <w:rPr>
          <w:rFonts w:ascii="Arial" w:cs="Arial" w:eastAsia="Arial" w:hAnsi="Arial"/>
          <w:sz w:val="16"/>
          <w:szCs w:val="16"/>
          <w:color w:val="auto"/>
        </w:rPr>
      </w:pPr>
    </w:p>
    <w:p>
      <w:pPr>
        <w:ind w:left="380" w:right="40" w:hanging="372"/>
        <w:spacing w:after="0" w:line="287"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August 28, 2019 and October 28, 2019, the Company granted an aggregate of 681,000 RSUs, subject to both time- and performance-based requirements, to certain employees, at a grant date fair value of $11.42 per share and $16.42 per share, respectively, with time vesting periods of either three or four years. Such RSU grants shall not vest unless and until the Company has, for any fiscal quarter in which the RSUs are outstanding,</w:t>
      </w:r>
    </w:p>
    <w:p>
      <w:pPr>
        <w:spacing w:after="0" w:line="1" w:lineRule="exact"/>
        <w:rPr>
          <w:rFonts w:ascii="Arial" w:cs="Arial" w:eastAsia="Arial" w:hAnsi="Arial"/>
          <w:sz w:val="16"/>
          <w:szCs w:val="16"/>
          <w:color w:val="auto"/>
        </w:rPr>
      </w:pPr>
    </w:p>
    <w:p>
      <w:pPr>
        <w:ind w:left="380"/>
        <w:spacing w:after="0" w:line="285" w:lineRule="auto"/>
        <w:rPr>
          <w:rFonts w:ascii="Arial" w:cs="Arial" w:eastAsia="Arial" w:hAnsi="Arial"/>
          <w:sz w:val="16"/>
          <w:szCs w:val="16"/>
          <w:color w:val="auto"/>
        </w:rPr>
      </w:pPr>
      <w:r>
        <w:rPr>
          <w:rFonts w:ascii="Arial" w:cs="Arial" w:eastAsia="Arial" w:hAnsi="Arial"/>
          <w:sz w:val="16"/>
          <w:szCs w:val="16"/>
          <w:color w:val="auto"/>
        </w:rPr>
        <w:t>(i) gross revenue determined in accordance with the Company’s reviewed or audited financial statements in excess of (a) $10.0 million for such fiscal quarter and positive adjusted EBITDA of at least $1.5 million, as determined based on amounts derived from the Company’s reviewed or audited financial statements for such fiscal quarter for 256,000 RSUs, and (b) $12.5 million for such fiscal quarter and positive adjusted EBITDA of at least $2.0 million, as determined based on amounts derived from the Company’s reviewed or audited financial statements for such fiscal quarter for 425,000 RSUs, and (ii) the recipient continues to provide services to the Company either as an employee, director or consultant on the last day of the quarter that the performance criteria is met (collectively, the “2019 Performance Criteria”). Provided the respective 2019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2019 Performance Criteria have not been met. As of the respective grant dates, the Company determined that it is probable that the 2019 Performance Criteria will be met and therefore, began to record the related amortization expense on the grant dates. The Company recognized a total of $1,345 of share-based compensation expense relating to RSUs with the 2019 Performance Criteria for the year ended December 31, 2019.</w:t>
      </w:r>
    </w:p>
    <w:p>
      <w:pPr>
        <w:spacing w:after="0" w:line="171" w:lineRule="exact"/>
        <w:rPr>
          <w:rFonts w:ascii="Arial" w:cs="Arial" w:eastAsia="Arial" w:hAnsi="Arial"/>
          <w:sz w:val="16"/>
          <w:szCs w:val="16"/>
          <w:color w:val="auto"/>
        </w:rPr>
      </w:pPr>
    </w:p>
    <w:p>
      <w:pPr>
        <w:ind w:left="380" w:right="16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increase in treasury stock was due to shares withheld to pay statutory taxes upon the vesting of RSUs during the year ended December 31, 2019. Refer to Note 10 for details.</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2019, unrecognized share-based compensation expense associated with the granted RSUs amounted to $15,496, which is expected to be recognized over a weighted average period of 2.3 years.</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Share-based compensation was allocated to the following accounts in the consolidated financial statements for the years ended December 31,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20" w:type="dxa"/>
            <w:vAlign w:val="bottom"/>
            <w:tcBorders>
              <w:bottom w:val="single" w:sz="8" w:color="CFF0FC"/>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10,701</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amounts recorded during the year ended December 31, 2018 included an allocation of share-based compensation related to the share-based awards granted by Fluent to Company employees or non-employees prior to the Spin-off.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7, 2018, the Company entered into an executive chairman services agreement with Mr. Michael Brauser, the then Executive Chairman of the Company, pursuant to which Mr. Brauser will be providing recommendations on organizational and capital structure, future financing needs and future acquisitions or strategic transactions (“Services Agreement”), for a term of one year, automatically renewing for additional one-year periods unless either party provides written notice to the other of its intent not to renew not fewer than 30 days prior to the expiration of the then current term. Mr. Brauser continues to provide services as a consultant under the Services Agreement after his resignation as Executive Chairman and as a member of the board of directors effective on September 9, 2018. Under the Services Agreement, Mr. Brauser receives cash compensation of $30 per month and is entitled to participate in the Company’s incentive compensation plan. The Company recognized consulting service fees relating to the Services Agreement of a total of $360 and $180 during the years ended December 31, 2019 and 2018, respectively. Mr. Brauser was also awarded additional cash compensation of $150 as bonus for the year ended December 31, 2019. In addition, amortization of share-based compensation expense of $1,801 in relation to the RSUs with the 2018 Performance Criteria previously granted to Mr. Brauser was recognized for the year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by Fluent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Contribution by Fluent represents cash funding provided or the portion of certain expenses allocated by Fluent to red violet, on or prior to the Spin-off.</w:t>
      </w:r>
    </w:p>
    <w:p>
      <w:pPr>
        <w:spacing w:after="0" w:line="23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allocated expenses are primarily corporate employee salaries and benefits of the functional groups (inclusive of executive management, accounting, administrative and information technology) and corporate administrative expenses (inclusive of legal services, accounting and finance services and other corporate and infrastructure services). Corporate employee salaries and benefits were allocated on the basis of time spent, and corporate administrative expenses were allocated on the basis of relative percentage of services utilized or benefit received. red violet recorded expenses of $325 for the three months ended March 31, 2018 as a result of the allocation of expenses from Fluent. Upon the Spin-off, Fluent no longer allocates any expenses to red violet.</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share-based compensation of $344, relating to the share-based awards granted by Fluent prior to the Spin-off, was recorded during the three months ended March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4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leases its corporate headquarters of 21,020 rentable square feet in accordance with a non-cancelable 89-month operating lease agreement as amended and effective in January 2017.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For the year ended December 31, 2019, a summary of the Company’s lease information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0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19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020" w:type="dxa"/>
            <w:vAlign w:val="bottom"/>
          </w:tcPr>
          <w:p>
            <w:pPr>
              <w:spacing w:after="0"/>
              <w:rPr>
                <w:sz w:val="20"/>
                <w:szCs w:val="20"/>
                <w:color w:val="auto"/>
              </w:rPr>
            </w:pPr>
            <w:r>
              <w:rPr>
                <w:rFonts w:ascii="Arial" w:cs="Arial" w:eastAsia="Arial" w:hAnsi="Arial"/>
                <w:sz w:val="18"/>
                <w:szCs w:val="18"/>
                <w:color w:val="auto"/>
              </w:rPr>
              <w:t>Operating lease costs</w:t>
            </w: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9"/>
                <w:szCs w:val="19"/>
                <w:color w:val="auto"/>
              </w:rPr>
            </w:pPr>
          </w:p>
        </w:tc>
      </w:tr>
      <w:tr>
        <w:trPr>
          <w:trHeight w:val="229"/>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1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702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9"/>
                <w:szCs w:val="19"/>
                <w:color w:val="auto"/>
              </w:rPr>
            </w:pPr>
          </w:p>
        </w:tc>
      </w:tr>
      <w:tr>
        <w:trPr>
          <w:trHeight w:val="22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8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 xml:space="preserve">Weighted average discount rate for operating leases </w:t>
            </w:r>
            <w:r>
              <w:rPr>
                <w:rFonts w:ascii="Arial" w:cs="Arial" w:eastAsia="Arial" w:hAnsi="Arial"/>
                <w:sz w:val="15"/>
                <w:szCs w:val="15"/>
                <w:color w:val="auto"/>
              </w:rPr>
              <w:t>(1)</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bl>
    <w:p>
      <w:pPr>
        <w:spacing w:after="0" w:line="200" w:lineRule="exact"/>
        <w:rPr>
          <w:sz w:val="20"/>
          <w:szCs w:val="20"/>
          <w:color w:val="auto"/>
        </w:rPr>
      </w:pPr>
    </w:p>
    <w:p>
      <w:pPr>
        <w:ind w:left="380" w:right="60" w:hanging="372"/>
        <w:spacing w:after="0" w:line="263"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used 8.0%, its estimated incremental borrowing rate for similar secured assets, as the discount rate for the leases to determine the present value of the lease payments because the implicit rate in each lease is not readily determinable. The discount rate was calculated on the basis of information available as of January 1, 2019, the application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weighted average remaining operating lease term was 4.8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scheduled future maturities and present value of the operating lease liabilities are as follows: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7" w:lineRule="exact"/>
        <w:rPr>
          <w:sz w:val="20"/>
          <w:szCs w:val="20"/>
          <w:color w:val="auto"/>
        </w:rPr>
      </w:pPr>
    </w:p>
    <w:p>
      <w:pPr>
        <w:spacing w:after="0"/>
        <w:tabs>
          <w:tab w:leader="none" w:pos="9720" w:val="left"/>
        </w:tabs>
        <w:rPr>
          <w:sz w:val="20"/>
          <w:szCs w:val="20"/>
          <w:color w:val="auto"/>
        </w:rPr>
      </w:pPr>
      <w:r>
        <w:rPr>
          <w:rFonts w:ascii="Arial" w:cs="Arial" w:eastAsia="Arial" w:hAnsi="Arial"/>
          <w:sz w:val="14"/>
          <w:szCs w:val="14"/>
          <w:b w:val="1"/>
          <w:bCs w:val="1"/>
          <w:color w:val="auto"/>
        </w:rPr>
        <w:t>Year</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2025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maturities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Present value included in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operating lease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br w:type="column"/>
      </w:r>
    </w:p>
    <w:p>
      <w:pPr>
        <w:ind w:left="1312" w:hanging="1312"/>
        <w:spacing w:after="0"/>
        <w:tabs>
          <w:tab w:leader="none" w:pos="13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705</w:t>
      </w:r>
    </w:p>
    <w:p>
      <w:pPr>
        <w:spacing w:after="0" w:line="43" w:lineRule="exact"/>
        <w:rPr>
          <w:rFonts w:ascii="Arial" w:cs="Arial" w:eastAsia="Arial" w:hAnsi="Arial"/>
          <w:sz w:val="16"/>
          <w:szCs w:val="16"/>
          <w:color w:val="auto"/>
        </w:rPr>
      </w:pPr>
    </w:p>
    <w:p>
      <w:pPr>
        <w:ind w:left="1312"/>
        <w:spacing w:after="0"/>
        <w:rPr>
          <w:rFonts w:ascii="Arial" w:cs="Arial" w:eastAsia="Arial" w:hAnsi="Arial"/>
          <w:sz w:val="16"/>
          <w:szCs w:val="16"/>
          <w:color w:val="auto"/>
        </w:rPr>
      </w:pPr>
      <w:r>
        <w:rPr>
          <w:rFonts w:ascii="Arial" w:cs="Arial" w:eastAsia="Arial" w:hAnsi="Arial"/>
          <w:sz w:val="16"/>
          <w:szCs w:val="16"/>
          <w:color w:val="auto"/>
        </w:rPr>
        <w:t>724</w:t>
      </w:r>
    </w:p>
    <w:p>
      <w:pPr>
        <w:spacing w:after="0" w:line="45" w:lineRule="exact"/>
        <w:rPr>
          <w:rFonts w:ascii="Arial" w:cs="Arial" w:eastAsia="Arial" w:hAnsi="Arial"/>
          <w:sz w:val="16"/>
          <w:szCs w:val="16"/>
          <w:color w:val="auto"/>
        </w:rPr>
      </w:pPr>
    </w:p>
    <w:p>
      <w:pPr>
        <w:ind w:left="1312"/>
        <w:spacing w:after="0"/>
        <w:rPr>
          <w:rFonts w:ascii="Arial" w:cs="Arial" w:eastAsia="Arial" w:hAnsi="Arial"/>
          <w:sz w:val="16"/>
          <w:szCs w:val="16"/>
          <w:color w:val="auto"/>
        </w:rPr>
      </w:pPr>
      <w:r>
        <w:rPr>
          <w:rFonts w:ascii="Arial" w:cs="Arial" w:eastAsia="Arial" w:hAnsi="Arial"/>
          <w:sz w:val="16"/>
          <w:szCs w:val="16"/>
          <w:color w:val="auto"/>
        </w:rPr>
        <w:t>743</w:t>
      </w:r>
    </w:p>
    <w:p>
      <w:pPr>
        <w:spacing w:after="0" w:line="45" w:lineRule="exact"/>
        <w:rPr>
          <w:rFonts w:ascii="Arial" w:cs="Arial" w:eastAsia="Arial" w:hAnsi="Arial"/>
          <w:sz w:val="16"/>
          <w:szCs w:val="16"/>
          <w:color w:val="auto"/>
        </w:rPr>
      </w:pPr>
    </w:p>
    <w:p>
      <w:pPr>
        <w:ind w:left="1312"/>
        <w:spacing w:after="0"/>
        <w:rPr>
          <w:rFonts w:ascii="Arial" w:cs="Arial" w:eastAsia="Arial" w:hAnsi="Arial"/>
          <w:sz w:val="16"/>
          <w:szCs w:val="16"/>
          <w:color w:val="auto"/>
        </w:rPr>
      </w:pPr>
      <w:r>
        <w:rPr>
          <w:rFonts w:ascii="Arial" w:cs="Arial" w:eastAsia="Arial" w:hAnsi="Arial"/>
          <w:sz w:val="16"/>
          <w:szCs w:val="16"/>
          <w:color w:val="auto"/>
        </w:rPr>
        <w:t>765</w:t>
      </w:r>
    </w:p>
    <w:p>
      <w:pPr>
        <w:spacing w:after="0" w:line="45" w:lineRule="exact"/>
        <w:rPr>
          <w:rFonts w:ascii="Arial" w:cs="Arial" w:eastAsia="Arial" w:hAnsi="Arial"/>
          <w:sz w:val="16"/>
          <w:szCs w:val="16"/>
          <w:color w:val="auto"/>
        </w:rPr>
      </w:pPr>
    </w:p>
    <w:p>
      <w:pPr>
        <w:ind w:left="1312"/>
        <w:spacing w:after="0"/>
        <w:rPr>
          <w:rFonts w:ascii="Arial" w:cs="Arial" w:eastAsia="Arial" w:hAnsi="Arial"/>
          <w:sz w:val="16"/>
          <w:szCs w:val="16"/>
          <w:color w:val="auto"/>
        </w:rPr>
      </w:pPr>
      <w:r>
        <w:rPr>
          <w:rFonts w:ascii="Arial" w:cs="Arial" w:eastAsia="Arial" w:hAnsi="Arial"/>
          <w:sz w:val="16"/>
          <w:szCs w:val="16"/>
          <w:color w:val="auto"/>
        </w:rPr>
        <w:t>542</w:t>
      </w:r>
    </w:p>
    <w:p>
      <w:pPr>
        <w:spacing w:after="0" w:line="45" w:lineRule="exact"/>
        <w:rPr>
          <w:rFonts w:ascii="Arial" w:cs="Arial" w:eastAsia="Arial" w:hAnsi="Arial"/>
          <w:sz w:val="16"/>
          <w:szCs w:val="16"/>
          <w:color w:val="auto"/>
        </w:rPr>
      </w:pPr>
    </w:p>
    <w:p>
      <w:pPr>
        <w:ind w:left="1412"/>
        <w:spacing w:after="0"/>
        <w:rPr>
          <w:rFonts w:ascii="Arial" w:cs="Arial" w:eastAsia="Arial" w:hAnsi="Arial"/>
          <w:sz w:val="16"/>
          <w:szCs w:val="16"/>
          <w:color w:val="auto"/>
        </w:rPr>
      </w:pPr>
      <w:r>
        <w:rPr>
          <w:rFonts w:ascii="Arial" w:cs="Arial" w:eastAsia="Arial" w:hAnsi="Arial"/>
          <w:sz w:val="16"/>
          <w:szCs w:val="16"/>
          <w:color w:val="auto"/>
        </w:rPr>
        <w:t>77</w:t>
      </w:r>
    </w:p>
    <w:p>
      <w:pPr>
        <w:spacing w:after="0" w:line="58" w:lineRule="exact"/>
        <w:rPr>
          <w:sz w:val="20"/>
          <w:szCs w:val="20"/>
          <w:color w:val="auto"/>
        </w:rPr>
      </w:pPr>
    </w:p>
    <w:p>
      <w:pPr>
        <w:ind w:left="1192" w:hanging="1192"/>
        <w:spacing w:after="0"/>
        <w:tabs>
          <w:tab w:leader="none" w:pos="1192" w:val="left"/>
        </w:tabs>
        <w:numPr>
          <w:ilvl w:val="0"/>
          <w:numId w:val="29"/>
        </w:numPr>
        <w:rPr>
          <w:rFonts w:ascii="Arial" w:cs="Arial" w:eastAsia="Arial" w:hAnsi="Arial"/>
          <w:sz w:val="15"/>
          <w:szCs w:val="15"/>
          <w:color w:val="auto"/>
        </w:rPr>
      </w:pPr>
      <w:r>
        <w:rPr>
          <w:rFonts w:ascii="Arial" w:cs="Arial" w:eastAsia="Arial" w:hAnsi="Arial"/>
          <w:sz w:val="15"/>
          <w:szCs w:val="15"/>
          <w:color w:val="auto"/>
        </w:rPr>
        <w:t>3,556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1019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306" w:lineRule="exact"/>
        <w:rPr>
          <w:sz w:val="20"/>
          <w:szCs w:val="20"/>
          <w:color w:val="auto"/>
        </w:rPr>
      </w:pPr>
    </w:p>
    <w:p>
      <w:pPr>
        <w:ind w:left="1312" w:hanging="1312"/>
        <w:spacing w:after="0"/>
        <w:tabs>
          <w:tab w:leader="none" w:pos="1312" w:val="left"/>
        </w:tabs>
        <w:numPr>
          <w:ilvl w:val="0"/>
          <w:numId w:val="30"/>
        </w:numPr>
        <w:rPr>
          <w:rFonts w:ascii="Arial" w:cs="Arial" w:eastAsia="Arial" w:hAnsi="Arial"/>
          <w:sz w:val="16"/>
          <w:szCs w:val="16"/>
          <w:color w:val="auto"/>
        </w:rPr>
      </w:pPr>
      <w:r>
        <w:rPr>
          <w:rFonts w:ascii="Arial" w:cs="Arial" w:eastAsia="Arial" w:hAnsi="Arial"/>
          <w:sz w:val="16"/>
          <w:szCs w:val="16"/>
          <w:color w:val="auto"/>
        </w:rPr>
        <w:t>491</w:t>
      </w:r>
    </w:p>
    <w:p>
      <w:pPr>
        <w:spacing w:after="0" w:line="46" w:lineRule="exact"/>
        <w:rPr>
          <w:rFonts w:ascii="Arial" w:cs="Arial" w:eastAsia="Arial" w:hAnsi="Arial"/>
          <w:sz w:val="16"/>
          <w:szCs w:val="16"/>
          <w:color w:val="auto"/>
        </w:rPr>
      </w:pPr>
    </w:p>
    <w:p>
      <w:pPr>
        <w:ind w:left="1192"/>
        <w:spacing w:after="0"/>
        <w:rPr>
          <w:rFonts w:ascii="Arial" w:cs="Arial" w:eastAsia="Arial" w:hAnsi="Arial"/>
          <w:sz w:val="16"/>
          <w:szCs w:val="16"/>
          <w:color w:val="auto"/>
        </w:rPr>
      </w:pPr>
      <w:r>
        <w:rPr>
          <w:rFonts w:ascii="Arial" w:cs="Arial" w:eastAsia="Arial" w:hAnsi="Arial"/>
          <w:sz w:val="15"/>
          <w:szCs w:val="15"/>
          <w:color w:val="auto"/>
        </w:rPr>
        <w:t>2,459</w:t>
      </w:r>
    </w:p>
    <w:p>
      <w:pPr>
        <w:spacing w:after="0" w:line="74" w:lineRule="exact"/>
        <w:rPr>
          <w:sz w:val="20"/>
          <w:szCs w:val="20"/>
          <w:color w:val="auto"/>
        </w:rPr>
      </w:pPr>
    </w:p>
    <w:p>
      <w:pPr>
        <w:sectPr>
          <w:pgSz w:w="11900" w:h="16838" w:orient="portrait"/>
          <w:cols w:equalWidth="0" w:num="2">
            <w:col w:w="8808" w:space="720"/>
            <w:col w:w="1712"/>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9540" w:type="dxa"/>
            <w:vAlign w:val="bottom"/>
            <w:tcBorders>
              <w:right w:val="single" w:sz="8" w:color="CFF0FC"/>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540" w:type="dxa"/>
            <w:vAlign w:val="bottom"/>
            <w:tcBorders>
              <w:right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Total operating lease liabilities</w:t>
            </w: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2,950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40" w:type="dxa"/>
            <w:vAlign w:val="bottom"/>
            <w:vMerge w:val="continue"/>
          </w:tcPr>
          <w:p>
            <w:pPr>
              <w:spacing w:after="0"/>
              <w:rPr>
                <w:sz w:val="18"/>
                <w:szCs w:val="18"/>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225" w:lineRule="exact"/>
        <w:rPr>
          <w:sz w:val="20"/>
          <w:szCs w:val="20"/>
          <w:color w:val="auto"/>
        </w:rPr>
      </w:pPr>
    </w:p>
    <w:p>
      <w:pPr>
        <w:ind w:right="480"/>
        <w:spacing w:after="0" w:line="341" w:lineRule="auto"/>
        <w:rPr>
          <w:sz w:val="20"/>
          <w:szCs w:val="20"/>
          <w:color w:val="auto"/>
        </w:rPr>
      </w:pPr>
      <w:r>
        <w:rPr>
          <w:rFonts w:ascii="Arial" w:cs="Arial" w:eastAsia="Arial" w:hAnsi="Arial"/>
          <w:sz w:val="16"/>
          <w:szCs w:val="16"/>
          <w:color w:val="auto"/>
        </w:rPr>
        <w:t>The Company incurred data costs of $7,507 and $5,550 for the years ended December 31, 2019 and 2018, respectively, under certain data licensing agreements. As of December 31, 2019, future material capital commitments under certain data licensing agreements were $14,773, shown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19"/>
                <w:szCs w:val="19"/>
                <w:color w:val="auto"/>
              </w:rPr>
            </w:pPr>
          </w:p>
        </w:tc>
      </w:tr>
      <w:tr>
        <w:trPr>
          <w:trHeight w:val="229"/>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FF0FC"/>
          </w:tcPr>
          <w:p>
            <w:pPr>
              <w:spacing w:after="0"/>
              <w:rPr>
                <w:sz w:val="19"/>
                <w:szCs w:val="19"/>
                <w:color w:val="auto"/>
              </w:rPr>
            </w:pPr>
          </w:p>
        </w:tc>
      </w:tr>
      <w:tr>
        <w:trPr>
          <w:trHeight w:val="223"/>
        </w:trPr>
        <w:tc>
          <w:tcPr>
            <w:tcW w:w="95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w:t>
            </w:r>
          </w:p>
        </w:tc>
        <w:tc>
          <w:tcPr>
            <w:tcW w:w="100" w:type="dxa"/>
            <w:vAlign w:val="bottom"/>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Employment agreements</w:t>
      </w:r>
    </w:p>
    <w:p>
      <w:pPr>
        <w:spacing w:after="0" w:line="198" w:lineRule="exact"/>
        <w:rPr>
          <w:sz w:val="20"/>
          <w:szCs w:val="20"/>
          <w:color w:val="auto"/>
        </w:rPr>
      </w:pPr>
    </w:p>
    <w:p>
      <w:pPr>
        <w:ind w:right="480"/>
        <w:spacing w:after="0" w:line="307" w:lineRule="auto"/>
        <w:rPr>
          <w:sz w:val="20"/>
          <w:szCs w:val="20"/>
          <w:color w:val="auto"/>
        </w:rPr>
      </w:pPr>
      <w:r>
        <w:rPr>
          <w:rFonts w:ascii="Arial" w:cs="Arial" w:eastAsia="Arial" w:hAnsi="Arial"/>
          <w:sz w:val="17"/>
          <w:szCs w:val="17"/>
          <w:color w:val="auto"/>
        </w:rPr>
        <w:t>We have employment agreements with certain executives, mainly including our Chief Executive Officer, President, Chief Financial Officer and Chief Information Officer, which provide for compensation and certain other benefits and for severance payments under certain circumstances.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 Contingency</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our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3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June 21, 2018, the U.S. Supreme Court in South Dakota v. Wayfair, Inc. et al, overturned prior law which required physical presence for nexus and endorsed economic nexus as a basis for South Dakota to require online merchants to collect and remit sales taxes, even if the business does not have an in-state physical presence (the "Wayfair Decision"). As of December 31, 2019, the vast majority of states have enacted or announced their own interpretation of the Wayfair Decision. The Company collects and remits sales tax in certain states as a result of the Wayfair Decision and as a result of its continued overall compliance and review practice related to its sales and use tax obligations. Resulting from the finalization and settlement of an open state sales and use tax audit, the Company accrued for a sales and use tax expense of $245 as of December 31, 2019. With this matter now closed, the Company does not expect any adverse decisions related to state sales and use tax that would result in any additional loss.</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320" w:top="557"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following is a summary of red violet’s capital stock. All references herein to “certificate of incorporation” and “bylaws” are to red violet’s “amended and restated certificate of incorporation” and “amended and restated bylaws,” which are incorporated by reference as exhibits into red violet’s Annual Report on Form 10-K for the year ended December 31, 2019. These summaries and descriptions do not purport to be complete and are qualified in their entirety by reference to these documents, which you should read for a complete description of red violet’s capital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red violet is authorized to issue 200,000,000 shares of common stock, par value $0.001 per share, and 10,000,000 shares of preferred stock, par value $0.001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red violet is authorized to issue 200,000,000 shares of common stock, par value $0.001 per share. The holders of common stock are entitled to one vote per share on all matters submitted to a vote of stockholders, including the election of directors, except for amendments to the certificate of incorporation relating solely to the terms of a series of preferred stock. Additionally, all matters submitted to a vote of stockholders require the affirmative vote of the stockholders holding a majority of the shares. There are no cumulative voting in the election of directors. In the event of red violet’s liquidation or dissolution, holders of common stock will be entitled to share ratably in all assets remaining after payment of liabilities and the liquidation preferences of any outstanding shares of preferred stock. Holders of common stock have no preemptive rights and have no right to convert their common stock into any other securities and there are no redemption provisions applicable to the common stock.</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holders of common stock will be entitled to any dividends that may be declared by the red violet Board out of funds legally available for payment of dividends subject to the prior rights of holders of preferred stock and any contractual restrictions red violet has against the payment of dividends on common stock. red violet has not paid any cash dividends on its common stock since inception and it does not plan to pay any cash dividends on its common stock in the foreseeable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red violet had 11,554,765 shares of common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red violet had 103,147 shares of treasury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60"/>
        <w:spacing w:after="0" w:line="341" w:lineRule="auto"/>
        <w:rPr>
          <w:sz w:val="20"/>
          <w:szCs w:val="20"/>
          <w:color w:val="auto"/>
        </w:rPr>
      </w:pPr>
      <w:r>
        <w:rPr>
          <w:rFonts w:ascii="Arial" w:cs="Arial" w:eastAsia="Arial" w:hAnsi="Arial"/>
          <w:sz w:val="16"/>
          <w:szCs w:val="16"/>
          <w:color w:val="auto"/>
        </w:rPr>
        <w:t>red violet is authorized to issue 10,000,000 shares of “blank check” preferred stock with designations, rights and preferences as may be determined from time to time by the red violet Board. As of December 31, 2019, red violet had no shares of any class of preferred stock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“blank check” preferred stock</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red violet’s certificate of incorporation authorizes the issuance of up to 10,000,000 shares of “blank check” preferred stock with designations, rights and preferences as may be determined from time to time by the red violet Board. The red violet Board is empowered, without shareholder approval, to issue a series of preferred stock with dividend, liquidation, conversion, voting or other rights which could dilute the interest of, or impair the voting power of, its common stockholders. The issuance of a series of preferred stock could be used as a method of discouraging, delaying or preventing a change in control. For example, it would be possible for the red violet Board to issue preferred stock with voting or other rights or preferences that could impede the success of any attempt to effect a change in control of red violet.</w:t>
      </w:r>
    </w:p>
    <w:p>
      <w:pPr>
        <w:spacing w:after="0" w:line="176" w:lineRule="exact"/>
        <w:rPr>
          <w:sz w:val="20"/>
          <w:szCs w:val="20"/>
          <w:color w:val="auto"/>
        </w:rPr>
      </w:pPr>
    </w:p>
    <w:p>
      <w:pPr>
        <w:ind w:right="340"/>
        <w:spacing w:after="0" w:line="341" w:lineRule="auto"/>
        <w:rPr>
          <w:sz w:val="20"/>
          <w:szCs w:val="20"/>
          <w:color w:val="auto"/>
        </w:rPr>
      </w:pPr>
      <w:r>
        <w:rPr>
          <w:rFonts w:ascii="Arial" w:cs="Arial" w:eastAsia="Arial" w:hAnsi="Arial"/>
          <w:sz w:val="16"/>
          <w:szCs w:val="16"/>
          <w:color w:val="auto"/>
        </w:rPr>
        <w:t>red violet’s bylaws also allows the red violet Board to fix the number of directors, however, the certificate of incorporation requires that the red violet Board be composed of a least three and no more than 15 directors. red violet’s stockholders will not have cumulative voting in the election of directors.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general, Section 203 of the Delaware General Corporations Law (the “DGCL”) prohibits a Delaware corporation with a class of voting stock listed on a national securities exchange or held of record by 2000 or more stockholders from engaging in a “business combination” with an “interested shareholder” for a three-year period following the time that this shareholder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Under Section 203, a business combination between a corporation and an interested shareholder is prohibited unless it satisfies one of the following conditions:</w:t>
      </w:r>
    </w:p>
    <w:p>
      <w:pPr>
        <w:spacing w:after="0" w:line="164" w:lineRule="exact"/>
        <w:rPr>
          <w:sz w:val="20"/>
          <w:szCs w:val="20"/>
          <w:color w:val="auto"/>
        </w:rPr>
      </w:pPr>
    </w:p>
    <w:p>
      <w:pPr>
        <w:ind w:left="1000" w:right="800" w:hanging="269"/>
        <w:spacing w:after="0" w:line="277"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before the shareholder became interested, the board of directors approved either the business combination or the transaction which resulted in the shareholder becoming an interested shareholder;</w:t>
      </w:r>
    </w:p>
    <w:p>
      <w:pPr>
        <w:spacing w:after="0" w:line="169" w:lineRule="exact"/>
        <w:rPr>
          <w:rFonts w:ascii="Arial" w:cs="Arial" w:eastAsia="Arial" w:hAnsi="Arial"/>
          <w:sz w:val="18"/>
          <w:szCs w:val="18"/>
          <w:color w:val="auto"/>
        </w:rPr>
      </w:pPr>
    </w:p>
    <w:p>
      <w:pPr>
        <w:ind w:left="980" w:right="680" w:hanging="262"/>
        <w:spacing w:after="0" w:line="301"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(but not the outstanding voting stock owned by the interested stockholder), shares owned by persons who are directors and also officers, and employee stock plans, in some instances; or</w:t>
      </w:r>
    </w:p>
    <w:p>
      <w:pPr>
        <w:spacing w:after="0" w:line="155" w:lineRule="exact"/>
        <w:rPr>
          <w:rFonts w:ascii="Arial" w:cs="Arial" w:eastAsia="Arial" w:hAnsi="Arial"/>
          <w:sz w:val="16"/>
          <w:szCs w:val="16"/>
          <w:color w:val="auto"/>
        </w:rPr>
      </w:pPr>
    </w:p>
    <w:p>
      <w:pPr>
        <w:ind w:left="1000" w:right="880" w:hanging="269"/>
        <w:spacing w:after="0" w:line="263"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at or after the time the shareholder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shareholder.</w:t>
      </w:r>
    </w:p>
    <w:p>
      <w:pPr>
        <w:spacing w:after="0" w:line="183"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DGCL permits a corporation to opt out of, or choose not to be governed by, its anti-takeover statute by expressly stating so in its original certificate of incorporation (or subsequent amendment to its certificate of incorporation or bylaws approved by its stockholders). red violet’s certificate of incorporation contains a provision expressly opting out of the application of Section 203 of the DGCL; therefore the anti-takeover statute does not apply to red violet.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Unless red violet consents in writing to the selection of an alternative forum, the sole and exclusive forum for (i) any derivative action or proceeding brought against or on behalf of red violet, (ii) any action asserting a claim of breach of a duty owed by any current or former director, officer, other employee or stockholder of red violet to red violet or red violet’s stockholders, (iii) any action asserting a claim arising pursuant to any provision of the Delaware General Corporation Law, (iv) any action as to which the Delaware General Corporation Law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Shareholder Meetings and Action by Written Consent</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red violet’s bylaws, the Chairperson of the Board of Directors, its President and a majority of the members of the Board of Directors may each call a special meeting of stockholders. The bylaws do not permit meetings of stockholders to be called by any other person. red violet’s certificate of incorporation specifically prohibits action by its stockholders by written consent without a meeting of the stockholders unless authorized in advance by a resolution adopted by the red violet Board or otherwise provided for or fixed pursuant to the provisions of the certificate of incorporation relating to the rights of holders of any series of preferred stock.</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Any aspect of the foregoing, alone or together, could delay or prevent unsolicited takeovers and changes in control or changes in red violet’s management.</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0"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Continental Stock Transfer &amp; Trust Company is the transfer agent and registrar for red violet’s common stock. Their contact information is: 1 State Street, 30th Floor, New York, NY 10004, phone number (212) 845-3249, </w:t>
      </w:r>
      <w:r>
        <w:rPr>
          <w:rFonts w:ascii="Arial" w:cs="Arial" w:eastAsia="Arial" w:hAnsi="Arial"/>
          <w:sz w:val="18"/>
          <w:szCs w:val="18"/>
          <w:u w:val="single" w:color="auto"/>
          <w:color w:val="auto"/>
        </w:rPr>
        <w:t>www.continentalstock.com</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red violet’s common stock commenced trading on The NASDAQ Capital Market under the symbol “RDVT” on March 27, 2018.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350" w:right="4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10.13</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RESTRICTED STOCK UNIT AGREEMENT</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RED VIOLET, INC.</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2018 STOCK INCENTIVE PLAN</w:t>
      </w:r>
    </w:p>
    <w:p>
      <w:pPr>
        <w:spacing w:after="0" w:line="20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the</w:t>
      </w:r>
      <w:r>
        <w:rPr>
          <w:rFonts w:ascii="Arial" w:cs="Arial" w:eastAsia="Arial" w:hAnsi="Arial"/>
          <w:sz w:val="18"/>
          <w:szCs w:val="18"/>
          <w:b w:val="1"/>
          <w:bCs w:val="1"/>
          <w:color w:val="auto"/>
        </w:rPr>
        <w:t xml:space="preserve"> 28th day of October, 2019</w:t>
      </w:r>
      <w:r>
        <w:rPr>
          <w:rFonts w:ascii="Arial" w:cs="Arial" w:eastAsia="Arial" w:hAnsi="Arial"/>
          <w:sz w:val="18"/>
          <w:szCs w:val="18"/>
          <w:color w:val="auto"/>
        </w:rPr>
        <w:t>, between Red Violet, Inc. (“Company”), a Delaware corporation,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______________ </w:t>
      </w:r>
      <w:r>
        <w:rPr>
          <w:rFonts w:ascii="Arial" w:cs="Arial" w:eastAsia="Arial" w:hAnsi="Arial"/>
          <w:sz w:val="15"/>
          <w:szCs w:val="15"/>
          <w:color w:val="auto"/>
        </w:rPr>
        <w:t>(“Participant”). Capitalized terms not defined herein shall have the meaning ascribed thereto in the Red Violet, Inc. 2018 Stock Incentive Plan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(as amended from time to time, the “Plan”). This Agreement shall be effective as of the date hereof (“Effective Date”).</w:t>
      </w:r>
    </w:p>
    <w:p>
      <w:pPr>
        <w:spacing w:after="0" w:line="214" w:lineRule="exact"/>
        <w:rPr>
          <w:sz w:val="20"/>
          <w:szCs w:val="20"/>
          <w:color w:val="auto"/>
        </w:rPr>
      </w:pPr>
    </w:p>
    <w:p>
      <w:pPr>
        <w:ind w:left="1560" w:hanging="803"/>
        <w:spacing w:after="0"/>
        <w:tabs>
          <w:tab w:leader="none" w:pos="1560" w:val="left"/>
        </w:tabs>
        <w:numPr>
          <w:ilvl w:val="0"/>
          <w:numId w:val="32"/>
        </w:numPr>
        <w:rPr>
          <w:rFonts w:ascii="Arial" w:cs="Arial" w:eastAsia="Arial" w:hAnsi="Arial"/>
          <w:sz w:val="22"/>
          <w:szCs w:val="22"/>
          <w:color w:val="auto"/>
        </w:rPr>
      </w:pP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w:t>
      </w:r>
    </w:p>
    <w:p>
      <w:pPr>
        <w:spacing w:after="0" w:line="224" w:lineRule="exact"/>
        <w:rPr>
          <w:sz w:val="20"/>
          <w:szCs w:val="20"/>
          <w:color w:val="auto"/>
        </w:rPr>
      </w:pPr>
    </w:p>
    <w:p>
      <w:pPr>
        <w:ind w:firstLine="757"/>
        <w:spacing w:after="0" w:line="242" w:lineRule="auto"/>
        <w:tabs>
          <w:tab w:leader="none" w:pos="1628" w:val="left"/>
        </w:tabs>
        <w:numPr>
          <w:ilvl w:val="0"/>
          <w:numId w:val="33"/>
        </w:numPr>
        <w:rPr>
          <w:rFonts w:ascii="Arial" w:cs="Arial" w:eastAsia="Arial" w:hAnsi="Arial"/>
          <w:sz w:val="22"/>
          <w:szCs w:val="22"/>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Pursuant to the Plan, the Company hereby grants to the Participant the right to receive</w:t>
      </w:r>
      <w:r>
        <w:rPr>
          <w:rFonts w:ascii="Arial" w:cs="Arial" w:eastAsia="Arial" w:hAnsi="Arial"/>
          <w:sz w:val="18"/>
          <w:szCs w:val="18"/>
          <w:b w:val="1"/>
          <w:bCs w:val="1"/>
          <w:color w:val="auto"/>
        </w:rPr>
        <w:t xml:space="preserve"> ________________ (___________) </w:t>
      </w:r>
      <w:r>
        <w:rPr>
          <w:rFonts w:ascii="Arial" w:cs="Arial" w:eastAsia="Arial" w:hAnsi="Arial"/>
          <w:sz w:val="18"/>
          <w:szCs w:val="18"/>
          <w:color w:val="auto"/>
        </w:rPr>
        <w:t>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Company’s Common Stock upon the satisfaction of certain conditions (the “Restricted Stock Units”). Shares of the Company’s Common Stock shall be issued only upon vesting of the Restricted Stock Units and only upon the satisfaction of the terms and conditions set forth herein and in the Plan (such shares shall be referred to hereafter as the “Award Stock”).</w:t>
      </w:r>
    </w:p>
    <w:p>
      <w:pPr>
        <w:spacing w:after="0" w:line="224" w:lineRule="exact"/>
        <w:rPr>
          <w:rFonts w:ascii="Arial" w:cs="Arial" w:eastAsia="Arial" w:hAnsi="Arial"/>
          <w:sz w:val="22"/>
          <w:szCs w:val="22"/>
          <w:color w:val="auto"/>
        </w:rPr>
      </w:pPr>
    </w:p>
    <w:p>
      <w:pPr>
        <w:ind w:right="280" w:firstLine="757"/>
        <w:spacing w:after="0" w:line="239" w:lineRule="auto"/>
        <w:tabs>
          <w:tab w:leader="none" w:pos="1648" w:val="left"/>
        </w:tabs>
        <w:numPr>
          <w:ilvl w:val="0"/>
          <w:numId w:val="33"/>
        </w:numPr>
        <w:rPr>
          <w:rFonts w:ascii="Arial" w:cs="Arial" w:eastAsia="Arial" w:hAnsi="Arial"/>
          <w:sz w:val="22"/>
          <w:szCs w:val="22"/>
          <w:color w:val="auto"/>
        </w:rPr>
      </w:pPr>
      <w:r>
        <w:rPr>
          <w:rFonts w:ascii="Arial" w:cs="Arial" w:eastAsia="Arial" w:hAnsi="Arial"/>
          <w:sz w:val="18"/>
          <w:szCs w:val="18"/>
          <w:b w:val="1"/>
          <w:bCs w:val="1"/>
          <w:u w:val="single" w:color="auto"/>
          <w:color w:val="auto"/>
        </w:rPr>
        <w:t>Plan Incorporated</w:t>
      </w:r>
      <w:r>
        <w:rPr>
          <w:rFonts w:ascii="Arial" w:cs="Arial" w:eastAsia="Arial" w:hAnsi="Arial"/>
          <w:sz w:val="18"/>
          <w:szCs w:val="18"/>
          <w:color w:val="auto"/>
        </w:rPr>
        <w:t>. Participant acknowledges receipt of a copy of the Plan, and agrees that this Award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of the terms and conditions set forth in the Plan, including future amendments thereto, if any, pursuant to the terms thereof, which Plan is incorporated herein by reference as a part of this Agreement.</w:t>
      </w:r>
    </w:p>
    <w:p>
      <w:pPr>
        <w:spacing w:after="0" w:line="207" w:lineRule="exact"/>
        <w:rPr>
          <w:sz w:val="20"/>
          <w:szCs w:val="20"/>
          <w:color w:val="auto"/>
        </w:rPr>
      </w:pPr>
    </w:p>
    <w:p>
      <w:pPr>
        <w:ind w:left="1560" w:hanging="803"/>
        <w:spacing w:after="0"/>
        <w:tabs>
          <w:tab w:leader="none" w:pos="1560" w:val="left"/>
        </w:tabs>
        <w:numPr>
          <w:ilvl w:val="0"/>
          <w:numId w:val="34"/>
        </w:numPr>
        <w:rPr>
          <w:rFonts w:ascii="Arial" w:cs="Arial" w:eastAsia="Arial" w:hAnsi="Arial"/>
          <w:sz w:val="22"/>
          <w:szCs w:val="22"/>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Participant hereby accepts the Restricted Stock Units when issued and agrees as follows:</w:t>
      </w:r>
    </w:p>
    <w:p>
      <w:pPr>
        <w:spacing w:after="0" w:line="228" w:lineRule="exact"/>
        <w:rPr>
          <w:sz w:val="20"/>
          <w:szCs w:val="20"/>
          <w:color w:val="auto"/>
        </w:rPr>
      </w:pPr>
    </w:p>
    <w:p>
      <w:pPr>
        <w:ind w:right="120" w:firstLine="757"/>
        <w:spacing w:after="0" w:line="262" w:lineRule="auto"/>
        <w:tabs>
          <w:tab w:leader="none" w:pos="1636" w:val="left"/>
        </w:tabs>
        <w:numPr>
          <w:ilvl w:val="0"/>
          <w:numId w:val="35"/>
        </w:numPr>
        <w:rPr>
          <w:rFonts w:ascii="Arial" w:cs="Arial" w:eastAsia="Arial" w:hAnsi="Arial"/>
          <w:sz w:val="20"/>
          <w:szCs w:val="20"/>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No Award Stock shall be issued pursuant to the unvested Restricted Stock Units. Except as otherwise provided for in the Plan and this Agreement, the Restricted Stock Units shall vest upon the satisfaction of the time-based vesting requirements set forth below (each, a “Time-Based Vesting Requirement”) provided that the Performance Criteria (as defined in Section 2(b)) is met:</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Arial" w:cs="Arial" w:eastAsia="Arial" w:hAnsi="Arial"/>
                <w:sz w:val="18"/>
                <w:szCs w:val="18"/>
                <w:i w:val="1"/>
                <w:iCs w:val="1"/>
                <w:color w:val="auto"/>
              </w:rPr>
              <w:t>Date</w:t>
            </w:r>
          </w:p>
        </w:tc>
        <w:tc>
          <w:tcPr>
            <w:tcW w:w="3320" w:type="dxa"/>
            <w:vAlign w:val="bottom"/>
          </w:tcPr>
          <w:p>
            <w:pPr>
              <w:spacing w:after="0"/>
              <w:rPr>
                <w:sz w:val="17"/>
                <w:szCs w:val="17"/>
                <w:color w:val="auto"/>
              </w:rPr>
            </w:pPr>
          </w:p>
        </w:tc>
        <w:tc>
          <w:tcPr>
            <w:tcW w:w="2800" w:type="dxa"/>
            <w:vAlign w:val="bottom"/>
            <w:gridSpan w:val="2"/>
          </w:tcPr>
          <w:p>
            <w:pPr>
              <w:ind w:left="1080"/>
              <w:spacing w:after="0"/>
              <w:rPr>
                <w:sz w:val="20"/>
                <w:szCs w:val="20"/>
                <w:color w:val="auto"/>
              </w:rPr>
            </w:pPr>
            <w:r>
              <w:rPr>
                <w:rFonts w:ascii="Arial" w:cs="Arial" w:eastAsia="Arial" w:hAnsi="Arial"/>
                <w:sz w:val="18"/>
                <w:szCs w:val="18"/>
                <w:i w:val="1"/>
                <w:iCs w:val="1"/>
                <w:color w:val="auto"/>
                <w:w w:val="85"/>
              </w:rPr>
              <w:t>Total Percentage Vested</w:t>
            </w:r>
          </w:p>
        </w:tc>
      </w:tr>
      <w:tr>
        <w:trPr>
          <w:trHeight w:val="20"/>
        </w:trPr>
        <w:tc>
          <w:tcPr>
            <w:tcW w:w="3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452"/>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1, 2020</w:t>
            </w:r>
          </w:p>
        </w:tc>
        <w:tc>
          <w:tcPr>
            <w:tcW w:w="3320" w:type="dxa"/>
            <w:vAlign w:val="bottom"/>
          </w:tcPr>
          <w:p>
            <w:pPr>
              <w:ind w:left="40"/>
              <w:spacing w:after="0"/>
              <w:rPr>
                <w:sz w:val="20"/>
                <w:szCs w:val="20"/>
                <w:color w:val="auto"/>
              </w:rPr>
            </w:pPr>
            <w:r>
              <w:rPr>
                <w:rFonts w:ascii="Arial" w:cs="Arial" w:eastAsia="Arial" w:hAnsi="Arial"/>
                <w:sz w:val="18"/>
                <w:szCs w:val="18"/>
                <w:color w:val="auto"/>
              </w:rPr>
              <w:t>(“First Time Vesting Date”)</w:t>
            </w:r>
          </w:p>
        </w:tc>
        <w:tc>
          <w:tcPr>
            <w:tcW w:w="2800" w:type="dxa"/>
            <w:vAlign w:val="bottom"/>
            <w:gridSpan w:val="2"/>
          </w:tcPr>
          <w:p>
            <w:pPr>
              <w:ind w:left="1080"/>
              <w:spacing w:after="0"/>
              <w:rPr>
                <w:sz w:val="20"/>
                <w:szCs w:val="20"/>
                <w:color w:val="auto"/>
              </w:rPr>
            </w:pPr>
            <w:r>
              <w:rPr>
                <w:rFonts w:ascii="Arial" w:cs="Arial" w:eastAsia="Arial" w:hAnsi="Arial"/>
                <w:sz w:val="18"/>
                <w:szCs w:val="18"/>
                <w:color w:val="auto"/>
              </w:rPr>
              <w:t>33-1/3%</w:t>
            </w:r>
          </w:p>
        </w:tc>
      </w:tr>
      <w:tr>
        <w:trPr>
          <w:trHeight w:val="755"/>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1, 2021</w:t>
            </w:r>
          </w:p>
        </w:tc>
        <w:tc>
          <w:tcPr>
            <w:tcW w:w="3320" w:type="dxa"/>
            <w:vAlign w:val="bottom"/>
          </w:tcPr>
          <w:p>
            <w:pPr>
              <w:ind w:left="40"/>
              <w:spacing w:after="0"/>
              <w:rPr>
                <w:sz w:val="20"/>
                <w:szCs w:val="20"/>
                <w:color w:val="auto"/>
              </w:rPr>
            </w:pPr>
            <w:r>
              <w:rPr>
                <w:rFonts w:ascii="Arial" w:cs="Arial" w:eastAsia="Arial" w:hAnsi="Arial"/>
                <w:sz w:val="18"/>
                <w:szCs w:val="18"/>
                <w:color w:val="auto"/>
              </w:rPr>
              <w:t>(“Second Time Vesting Date”)</w:t>
            </w:r>
          </w:p>
        </w:tc>
        <w:tc>
          <w:tcPr>
            <w:tcW w:w="2800" w:type="dxa"/>
            <w:vAlign w:val="bottom"/>
            <w:gridSpan w:val="2"/>
          </w:tcPr>
          <w:p>
            <w:pPr>
              <w:ind w:left="1080"/>
              <w:spacing w:after="0"/>
              <w:rPr>
                <w:sz w:val="20"/>
                <w:szCs w:val="20"/>
                <w:color w:val="auto"/>
              </w:rPr>
            </w:pPr>
            <w:r>
              <w:rPr>
                <w:rFonts w:ascii="Arial" w:cs="Arial" w:eastAsia="Arial" w:hAnsi="Arial"/>
                <w:sz w:val="18"/>
                <w:szCs w:val="18"/>
                <w:color w:val="auto"/>
              </w:rPr>
              <w:t>66-2/3%</w:t>
            </w:r>
          </w:p>
        </w:tc>
      </w:tr>
      <w:tr>
        <w:trPr>
          <w:trHeight w:val="755"/>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1, 2022</w:t>
            </w:r>
          </w:p>
        </w:tc>
        <w:tc>
          <w:tcPr>
            <w:tcW w:w="3320" w:type="dxa"/>
            <w:vAlign w:val="bottom"/>
          </w:tcPr>
          <w:p>
            <w:pPr>
              <w:ind w:left="40"/>
              <w:spacing w:after="0"/>
              <w:rPr>
                <w:sz w:val="20"/>
                <w:szCs w:val="20"/>
                <w:color w:val="auto"/>
              </w:rPr>
            </w:pPr>
            <w:r>
              <w:rPr>
                <w:rFonts w:ascii="Arial" w:cs="Arial" w:eastAsia="Arial" w:hAnsi="Arial"/>
                <w:sz w:val="18"/>
                <w:szCs w:val="18"/>
                <w:color w:val="auto"/>
              </w:rPr>
              <w:t>(“Third Time Vesting Date”)</w:t>
            </w:r>
          </w:p>
        </w:tc>
        <w:tc>
          <w:tcPr>
            <w:tcW w:w="2800" w:type="dxa"/>
            <w:vAlign w:val="bottom"/>
            <w:gridSpan w:val="2"/>
          </w:tcPr>
          <w:p>
            <w:pPr>
              <w:ind w:left="108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3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shall be no proportionate or partial vesting in the periods between the vesting dates and all vesting shall occur only on the aforementioned vesting dates.</w:t>
      </w:r>
    </w:p>
    <w:p>
      <w:pPr>
        <w:spacing w:after="0" w:line="196" w:lineRule="exact"/>
        <w:rPr>
          <w:sz w:val="20"/>
          <w:szCs w:val="20"/>
          <w:color w:val="auto"/>
        </w:rPr>
      </w:pPr>
    </w:p>
    <w:p>
      <w:pPr>
        <w:ind w:right="160" w:firstLine="757"/>
        <w:spacing w:after="0" w:line="282" w:lineRule="auto"/>
        <w:tabs>
          <w:tab w:leader="none" w:pos="1648" w:val="left"/>
        </w:tabs>
        <w:numPr>
          <w:ilvl w:val="0"/>
          <w:numId w:val="36"/>
        </w:numPr>
        <w:rPr>
          <w:rFonts w:ascii="Arial" w:cs="Arial" w:eastAsia="Arial" w:hAnsi="Arial"/>
          <w:sz w:val="19"/>
          <w:szCs w:val="19"/>
          <w:color w:val="auto"/>
        </w:rPr>
      </w:pPr>
      <w:r>
        <w:rPr>
          <w:rFonts w:ascii="Arial" w:cs="Arial" w:eastAsia="Arial" w:hAnsi="Arial"/>
          <w:sz w:val="16"/>
          <w:szCs w:val="16"/>
          <w:u w:val="single" w:color="auto"/>
          <w:color w:val="auto"/>
        </w:rPr>
        <w:t>Performance Goal</w:t>
      </w:r>
      <w:r>
        <w:rPr>
          <w:rFonts w:ascii="Arial" w:cs="Arial" w:eastAsia="Arial" w:hAnsi="Arial"/>
          <w:sz w:val="16"/>
          <w:szCs w:val="16"/>
          <w:color w:val="auto"/>
        </w:rPr>
        <w:t>. Except as otherwise provided for in the Plan, the Employment Agreement (as hereinafter defined), and this Agreement, the Restricted Stock Units shall not vest unless and until the Company has, for any fiscal quarter in which the Restricted Stock Units are outstanding, (i) gross revenue determined in accordance with the Company’s reviewed and or audited financial statements in excess of $12.5 million for such fiscal quarter, (ii) positive adjusted EBITDA of at least $2.0 million, also as determined based on the Company’s reviewed or audited financial statements for such fiscal quarter and reported on Company’s Quarterly Reports on Form 10-Q or Annual Reports of Form 10-K and (iii) the Participant continues to provide services to the Company either as an employee, director or consultant on the last date of the quarter that the Performance Criteria is met (collectively, (i-iii), the “Performance Criteria”). Revenue and expenses from acquisitions made after the Effective Date and prior to the achievement of the Performance Criteria shall not be included in the determination of whether the Company has achieved the Performance Criteria.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1640" w:hanging="883"/>
        <w:spacing w:after="0"/>
        <w:tabs>
          <w:tab w:leader="none" w:pos="1640" w:val="left"/>
        </w:tabs>
        <w:numPr>
          <w:ilvl w:val="0"/>
          <w:numId w:val="37"/>
        </w:numPr>
        <w:rPr>
          <w:rFonts w:ascii="Arial" w:cs="Arial" w:eastAsia="Arial" w:hAnsi="Arial"/>
          <w:sz w:val="22"/>
          <w:szCs w:val="22"/>
          <w:color w:val="auto"/>
        </w:rPr>
      </w:pPr>
      <w:r>
        <w:rPr>
          <w:rFonts w:ascii="Arial" w:cs="Arial" w:eastAsia="Arial" w:hAnsi="Arial"/>
          <w:sz w:val="18"/>
          <w:szCs w:val="18"/>
          <w:u w:val="single" w:color="auto"/>
          <w:color w:val="auto"/>
        </w:rPr>
        <w:t>Termination of Employment or Other Service; Change in Control</w:t>
      </w:r>
      <w:r>
        <w:rPr>
          <w:rFonts w:ascii="Arial" w:cs="Arial" w:eastAsia="Arial" w:hAnsi="Arial"/>
          <w:sz w:val="18"/>
          <w:szCs w:val="18"/>
          <w:color w:val="auto"/>
        </w:rPr>
        <w:t>.</w:t>
      </w:r>
    </w:p>
    <w:p>
      <w:pPr>
        <w:spacing w:after="0" w:line="201" w:lineRule="exact"/>
        <w:rPr>
          <w:sz w:val="20"/>
          <w:szCs w:val="20"/>
          <w:color w:val="auto"/>
        </w:rPr>
      </w:pPr>
    </w:p>
    <w:p>
      <w:pPr>
        <w:ind w:right="80" w:firstLine="1497"/>
        <w:spacing w:after="0" w:line="263"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provided in this Agreement, if Participant’s employment or other service with the Company terminates, all Restricted Stock Units unvested at the time of termination shall expire and be forfeited immediately and returned to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ind w:left="1500"/>
              <w:spacing w:after="0"/>
              <w:rPr>
                <w:sz w:val="20"/>
                <w:szCs w:val="20"/>
                <w:color w:val="auto"/>
              </w:rPr>
            </w:pPr>
            <w:r>
              <w:rPr>
                <w:rFonts w:ascii="Arial" w:cs="Arial" w:eastAsia="Arial" w:hAnsi="Arial"/>
                <w:sz w:val="18"/>
                <w:szCs w:val="18"/>
                <w:color w:val="auto"/>
              </w:rPr>
              <w:t>(ii)</w:t>
            </w:r>
          </w:p>
        </w:tc>
        <w:tc>
          <w:tcPr>
            <w:tcW w:w="6820" w:type="dxa"/>
            <w:vAlign w:val="bottom"/>
            <w:gridSpan w:val="3"/>
          </w:tcPr>
          <w:p>
            <w:pPr>
              <w:spacing w:after="0"/>
              <w:rPr>
                <w:sz w:val="20"/>
                <w:szCs w:val="20"/>
                <w:color w:val="auto"/>
              </w:rPr>
            </w:pPr>
            <w:r>
              <w:rPr>
                <w:rFonts w:ascii="Arial" w:cs="Arial" w:eastAsia="Arial" w:hAnsi="Arial"/>
                <w:sz w:val="18"/>
                <w:szCs w:val="18"/>
                <w:color w:val="auto"/>
                <w:w w:val="94"/>
              </w:rPr>
              <w:t>Death. In the event that the Participant dies while in the employment or other service of the</w:t>
            </w:r>
          </w:p>
        </w:tc>
      </w:tr>
      <w:tr>
        <w:trPr>
          <w:trHeight w:val="20"/>
        </w:trPr>
        <w:tc>
          <w:tcPr>
            <w:tcW w:w="40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36"/>
        </w:trPr>
        <w:tc>
          <w:tcPr>
            <w:tcW w:w="10860" w:type="dxa"/>
            <w:vAlign w:val="bottom"/>
            <w:gridSpan w:val="4"/>
          </w:tcPr>
          <w:p>
            <w:pPr>
              <w:spacing w:after="0"/>
              <w:rPr>
                <w:sz w:val="20"/>
                <w:szCs w:val="20"/>
                <w:color w:val="auto"/>
              </w:rPr>
            </w:pPr>
            <w:r>
              <w:rPr>
                <w:rFonts w:ascii="Arial" w:cs="Arial" w:eastAsia="Arial" w:hAnsi="Arial"/>
                <w:sz w:val="18"/>
                <w:szCs w:val="18"/>
                <w:color w:val="auto"/>
              </w:rPr>
              <w:t>Company, all Restricted Stock Units which have not vested on the date of death shall immediately vest.</w:t>
            </w:r>
          </w:p>
        </w:tc>
      </w:tr>
      <w:tr>
        <w:trPr>
          <w:trHeight w:val="391"/>
        </w:trPr>
        <w:tc>
          <w:tcPr>
            <w:tcW w:w="4040" w:type="dxa"/>
            <w:vAlign w:val="bottom"/>
          </w:tcPr>
          <w:p>
            <w:pPr>
              <w:ind w:left="1500"/>
              <w:spacing w:after="0"/>
              <w:rPr>
                <w:sz w:val="20"/>
                <w:szCs w:val="20"/>
                <w:color w:val="auto"/>
              </w:rPr>
            </w:pPr>
            <w:r>
              <w:rPr>
                <w:rFonts w:ascii="Arial" w:cs="Arial" w:eastAsia="Arial" w:hAnsi="Arial"/>
                <w:sz w:val="18"/>
                <w:szCs w:val="18"/>
                <w:color w:val="auto"/>
              </w:rPr>
              <w:t>(iii)</w:t>
            </w:r>
          </w:p>
        </w:tc>
        <w:tc>
          <w:tcPr>
            <w:tcW w:w="6820" w:type="dxa"/>
            <w:vAlign w:val="bottom"/>
            <w:gridSpan w:val="3"/>
          </w:tcPr>
          <w:p>
            <w:pPr>
              <w:spacing w:after="0"/>
              <w:rPr>
                <w:sz w:val="20"/>
                <w:szCs w:val="20"/>
                <w:color w:val="auto"/>
              </w:rPr>
            </w:pPr>
            <w:r>
              <w:rPr>
                <w:rFonts w:ascii="Arial" w:cs="Arial" w:eastAsia="Arial" w:hAnsi="Arial"/>
                <w:sz w:val="18"/>
                <w:szCs w:val="18"/>
                <w:color w:val="auto"/>
                <w:w w:val="91"/>
              </w:rPr>
              <w:t>Disability. In the event that the Participant’s employment or other service with the Company is</w:t>
            </w:r>
          </w:p>
        </w:tc>
      </w:tr>
      <w:tr>
        <w:trPr>
          <w:trHeight w:val="20"/>
        </w:trPr>
        <w:tc>
          <w:tcPr>
            <w:tcW w:w="4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terminated by reason of Disability, the Committee may, in its sole discretion, provide that Restricted Stock Units which have not vested on the date of such termination shall immediately vest.</w:t>
      </w:r>
    </w:p>
    <w:p>
      <w:pPr>
        <w:spacing w:after="0" w:line="169" w:lineRule="exact"/>
        <w:rPr>
          <w:sz w:val="20"/>
          <w:szCs w:val="20"/>
          <w:color w:val="auto"/>
        </w:rPr>
      </w:pPr>
    </w:p>
    <w:p>
      <w:pPr>
        <w:ind w:right="100" w:firstLine="1497"/>
        <w:spacing w:after="0" w:line="277" w:lineRule="auto"/>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all Restricted Stock Units which have not vested on the date of such Change in Control shall immediately vest.</w:t>
      </w:r>
    </w:p>
    <w:p>
      <w:pPr>
        <w:spacing w:after="0" w:line="196" w:lineRule="exact"/>
        <w:rPr>
          <w:sz w:val="20"/>
          <w:szCs w:val="20"/>
          <w:color w:val="auto"/>
        </w:rPr>
      </w:pPr>
    </w:p>
    <w:p>
      <w:pPr>
        <w:ind w:right="500" w:firstLine="757"/>
        <w:spacing w:after="0" w:line="232" w:lineRule="auto"/>
        <w:tabs>
          <w:tab w:leader="none" w:pos="1640" w:val="left"/>
        </w:tabs>
        <w:numPr>
          <w:ilvl w:val="0"/>
          <w:numId w:val="38"/>
        </w:numPr>
        <w:rPr>
          <w:rFonts w:ascii="Arial" w:cs="Arial" w:eastAsia="Arial" w:hAnsi="Arial"/>
          <w:sz w:val="22"/>
          <w:szCs w:val="22"/>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Restricted Stock Units may not be sold, assigned, pledged, exchanged, hypothecated or otherwise transferred, encumbered or disposed of unless the Plan so provides.</w:t>
      </w:r>
    </w:p>
    <w:p>
      <w:pPr>
        <w:spacing w:after="0" w:line="196" w:lineRule="exact"/>
        <w:rPr>
          <w:sz w:val="20"/>
          <w:szCs w:val="20"/>
          <w:color w:val="auto"/>
        </w:rPr>
      </w:pPr>
    </w:p>
    <w:p>
      <w:pPr>
        <w:ind w:firstLine="333"/>
        <w:spacing w:after="0" w:line="284" w:lineRule="auto"/>
        <w:rPr>
          <w:sz w:val="20"/>
          <w:szCs w:val="20"/>
          <w:color w:val="auto"/>
        </w:rPr>
      </w:pPr>
      <w:r>
        <w:rPr>
          <w:rFonts w:ascii="Arial" w:cs="Arial" w:eastAsia="Arial" w:hAnsi="Arial"/>
          <w:sz w:val="16"/>
          <w:szCs w:val="16"/>
          <w:u w:val="single" w:color="auto"/>
          <w:color w:val="auto"/>
        </w:rPr>
        <w:t>Distribution</w:t>
      </w:r>
      <w:r>
        <w:rPr>
          <w:rFonts w:ascii="Arial" w:cs="Arial" w:eastAsia="Arial" w:hAnsi="Arial"/>
          <w:sz w:val="19"/>
          <w:szCs w:val="19"/>
          <w:color w:val="auto"/>
        </w:rPr>
        <w:t>(e)</w:t>
      </w:r>
      <w:r>
        <w:rPr>
          <w:rFonts w:ascii="Arial" w:cs="Arial" w:eastAsia="Arial" w:hAnsi="Arial"/>
          <w:sz w:val="16"/>
          <w:szCs w:val="16"/>
          <w:color w:val="auto"/>
        </w:rPr>
        <w:t>. Within 10 business days of the Company satisfying the Performance Criteria, the Company’s CFO shall provide a certification to the Company’s Compensation Committee (the “CFO Certification) that the Performance Criteria have been met for the prior fiscal quarter and the name of each employee, director or consultant as of the last day of the prior fiscal quarter who have equity awards subject to the Performance Criteria. Unless otherwise provided in the Restricted Stock Unit Deferral Election Form attached hereto as Appendix A, the Company shall, subject to the Time-Based Vesting Requirements, deliver a certificate evidencing shares of Award Stock to the Participant, direct its transfer agent to register such shares in book entry form or directly to the Participant consistent with applicable laws: (i) if the Performance Criteria is achieved for the first time and the First Time Vesting Date has passed, within 10 days of the CFO Certification for the first, second, third and fourth fiscal quarters in a calendar year and no event later than seventy-five (75) days following the quarter ended; or (ii) if the Performance Criteria was previously achieved, within thirty (30) days following the satisfaction of the Time-Based Vesting Requirements. For purposes of clarification, if the Performance Criteria have been met for the first time after the Second Time Vesting Date and on or before the quarter ending associated with the Third Time Vesting Date, then Participant shall receive the number of Restricted Stock Units associated with all prior Time Vesting Dates. Notwithstanding the foregoing, if the Restricted Stock Units vest due to: (i) a Change in Control, the certificate evidencing shares of Award Stock shall be delivered immediately upon the Change in Control, or (ii) a termination of employment due to death or Disability, the certificate evidencing shares of Award Stock shall be delivered within thirty (30) days following such termination of employment. For the Restricted Stock Unit Deferral Election Form to be effective, it must be received by the Company on the Effective Date, or to the extent that none of the Restricted Stock Units vest within 12 months of the Effective Date, no later than 30 days following the Effective Date. The Company must achieve the Performance Criteria no later than the quarter ending during the Third Time Vesting Date to receive any distributions under this Restricted Stock Unit Agreement.</w:t>
      </w:r>
    </w:p>
    <w:p>
      <w:pPr>
        <w:spacing w:after="0" w:line="200" w:lineRule="exact"/>
        <w:rPr>
          <w:sz w:val="20"/>
          <w:szCs w:val="20"/>
          <w:color w:val="auto"/>
        </w:rPr>
      </w:pPr>
    </w:p>
    <w:p>
      <w:pPr>
        <w:ind w:right="600" w:firstLine="757"/>
        <w:spacing w:after="0" w:line="234" w:lineRule="auto"/>
        <w:tabs>
          <w:tab w:leader="none" w:pos="1558" w:val="left"/>
        </w:tabs>
        <w:numPr>
          <w:ilvl w:val="0"/>
          <w:numId w:val="39"/>
        </w:numPr>
        <w:rPr>
          <w:rFonts w:ascii="Arial" w:cs="Arial" w:eastAsia="Arial" w:hAnsi="Arial"/>
          <w:sz w:val="22"/>
          <w:szCs w:val="22"/>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To the extent that this Award or the delivery of any Award Stock causes the Participant to be subject to any tax</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obligations, the Participant shall meet such obligations as provided for in the Plan.</w:t>
      </w:r>
    </w:p>
    <w:p>
      <w:pPr>
        <w:spacing w:after="0" w:line="225" w:lineRule="exact"/>
        <w:rPr>
          <w:rFonts w:ascii="Arial" w:cs="Arial" w:eastAsia="Arial" w:hAnsi="Arial"/>
          <w:sz w:val="22"/>
          <w:szCs w:val="22"/>
          <w:color w:val="auto"/>
        </w:rPr>
      </w:pPr>
    </w:p>
    <w:p>
      <w:pPr>
        <w:ind w:right="80" w:firstLine="757"/>
        <w:spacing w:after="0" w:line="234" w:lineRule="auto"/>
        <w:tabs>
          <w:tab w:leader="none" w:pos="1558" w:val="left"/>
        </w:tabs>
        <w:numPr>
          <w:ilvl w:val="0"/>
          <w:numId w:val="39"/>
        </w:numPr>
        <w:rPr>
          <w:rFonts w:ascii="Arial" w:cs="Arial" w:eastAsia="Arial" w:hAnsi="Arial"/>
          <w:sz w:val="22"/>
          <w:szCs w:val="22"/>
          <w:color w:val="auto"/>
        </w:rPr>
      </w:pPr>
      <w:r>
        <w:rPr>
          <w:rFonts w:ascii="Arial" w:cs="Arial" w:eastAsia="Arial" w:hAnsi="Arial"/>
          <w:sz w:val="18"/>
          <w:szCs w:val="18"/>
          <w:b w:val="1"/>
          <w:bCs w:val="1"/>
          <w:u w:val="single" w:color="auto"/>
          <w:color w:val="auto"/>
        </w:rPr>
        <w:t>Status as a Shareholder</w:t>
      </w:r>
      <w:r>
        <w:rPr>
          <w:rFonts w:ascii="Arial" w:cs="Arial" w:eastAsia="Arial" w:hAnsi="Arial"/>
          <w:sz w:val="18"/>
          <w:szCs w:val="18"/>
          <w:color w:val="auto"/>
        </w:rPr>
        <w:t>. Unless otherwise provided in the Plan, Participant shall have no rights of a shareholder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until the Award Stock is issued to him or her pursuant to Section 2 above.</w:t>
      </w:r>
    </w:p>
    <w:p>
      <w:pPr>
        <w:spacing w:after="0" w:line="225" w:lineRule="exact"/>
        <w:rPr>
          <w:rFonts w:ascii="Arial" w:cs="Arial" w:eastAsia="Arial" w:hAnsi="Arial"/>
          <w:sz w:val="22"/>
          <w:szCs w:val="22"/>
          <w:color w:val="auto"/>
        </w:rPr>
      </w:pPr>
    </w:p>
    <w:p>
      <w:pPr>
        <w:ind w:right="220" w:firstLine="757"/>
        <w:spacing w:after="0" w:line="242" w:lineRule="auto"/>
        <w:tabs>
          <w:tab w:leader="none" w:pos="1558" w:val="left"/>
        </w:tabs>
        <w:numPr>
          <w:ilvl w:val="0"/>
          <w:numId w:val="39"/>
        </w:numPr>
        <w:rPr>
          <w:rFonts w:ascii="Arial" w:cs="Arial" w:eastAsia="Arial" w:hAnsi="Arial"/>
          <w:sz w:val="22"/>
          <w:szCs w:val="22"/>
          <w:color w:val="auto"/>
        </w:rPr>
      </w:pPr>
      <w:r>
        <w:rPr>
          <w:rFonts w:ascii="Arial" w:cs="Arial" w:eastAsia="Arial" w:hAnsi="Arial"/>
          <w:sz w:val="18"/>
          <w:szCs w:val="18"/>
          <w:b w:val="1"/>
          <w:bCs w:val="1"/>
          <w:u w:val="single" w:color="auto"/>
          <w:color w:val="auto"/>
        </w:rPr>
        <w:t>Committee’s Powers</w:t>
      </w:r>
      <w:r>
        <w:rPr>
          <w:rFonts w:ascii="Arial" w:cs="Arial" w:eastAsia="Arial" w:hAnsi="Arial"/>
          <w:sz w:val="18"/>
          <w:szCs w:val="18"/>
          <w:color w:val="auto"/>
        </w:rPr>
        <w:t>. No provision contained in this Agreement shall in any way terminate, modify or alter, or be construed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as terminating, modifying or altering any of the powers, rights or authority vested in the Committee or, to the extent delegated, in its delegate pursuant to the terms of the Plan or resolutions adopted in furtherance of the Plan, including, without limitation, the right to make certain determinations and elections with respect to the Restricted Stock Units.</w:t>
      </w:r>
    </w:p>
    <w:p>
      <w:pPr>
        <w:spacing w:after="0" w:line="224" w:lineRule="exact"/>
        <w:rPr>
          <w:rFonts w:ascii="Arial" w:cs="Arial" w:eastAsia="Arial" w:hAnsi="Arial"/>
          <w:sz w:val="22"/>
          <w:szCs w:val="22"/>
          <w:color w:val="auto"/>
        </w:rPr>
      </w:pPr>
    </w:p>
    <w:p>
      <w:pPr>
        <w:ind w:right="300" w:firstLine="757"/>
        <w:spacing w:after="0" w:line="234" w:lineRule="auto"/>
        <w:tabs>
          <w:tab w:leader="none" w:pos="1558" w:val="left"/>
        </w:tabs>
        <w:numPr>
          <w:ilvl w:val="0"/>
          <w:numId w:val="39"/>
        </w:numPr>
        <w:rPr>
          <w:rFonts w:ascii="Arial" w:cs="Arial" w:eastAsia="Arial" w:hAnsi="Arial"/>
          <w:sz w:val="22"/>
          <w:szCs w:val="22"/>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and inure to the benefit of any successors to the Company and all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lawfully claiming under Participant.</w:t>
      </w:r>
    </w:p>
    <w:p>
      <w:pPr>
        <w:spacing w:after="0" w:line="225" w:lineRule="exact"/>
        <w:rPr>
          <w:rFonts w:ascii="Arial" w:cs="Arial" w:eastAsia="Arial" w:hAnsi="Arial"/>
          <w:sz w:val="22"/>
          <w:szCs w:val="22"/>
          <w:color w:val="auto"/>
        </w:rPr>
      </w:pPr>
    </w:p>
    <w:p>
      <w:pPr>
        <w:ind w:left="1560" w:hanging="803"/>
        <w:spacing w:after="0"/>
        <w:tabs>
          <w:tab w:leader="none" w:pos="1560" w:val="left"/>
        </w:tabs>
        <w:numPr>
          <w:ilvl w:val="0"/>
          <w:numId w:val="39"/>
        </w:numPr>
        <w:rPr>
          <w:rFonts w:ascii="Arial" w:cs="Arial" w:eastAsia="Arial" w:hAnsi="Arial"/>
          <w:sz w:val="20"/>
          <w:szCs w:val="20"/>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shall be governed by, and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5" w:right="379" w:bottom="1440" w:gutter="0" w:footer="0" w:header="0"/>
        </w:sectPr>
      </w:pPr>
    </w:p>
    <w:bookmarkStart w:id="66" w:name="page67"/>
    <w:bookmarkEnd w:id="66"/>
    <w:p>
      <w:pPr>
        <w:ind w:left="1540" w:hanging="803"/>
        <w:spacing w:after="0"/>
        <w:tabs>
          <w:tab w:leader="none" w:pos="1540" w:val="left"/>
        </w:tabs>
        <w:numPr>
          <w:ilvl w:val="0"/>
          <w:numId w:val="40"/>
        </w:numPr>
        <w:rPr>
          <w:rFonts w:ascii="Arial" w:cs="Arial" w:eastAsia="Arial" w:hAnsi="Arial"/>
          <w:sz w:val="22"/>
          <w:szCs w:val="22"/>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8" w:lineRule="exact"/>
        <w:rPr>
          <w:sz w:val="20"/>
          <w:szCs w:val="20"/>
          <w:color w:val="auto"/>
        </w:rPr>
      </w:pPr>
    </w:p>
    <w:p>
      <w:pPr>
        <w:ind w:left="-20" w:right="40" w:firstLine="757"/>
        <w:spacing w:after="0" w:line="282" w:lineRule="auto"/>
        <w:tabs>
          <w:tab w:leader="none" w:pos="1616" w:val="left"/>
        </w:tabs>
        <w:numPr>
          <w:ilvl w:val="0"/>
          <w:numId w:val="41"/>
        </w:numPr>
        <w:rPr>
          <w:rFonts w:ascii="Arial" w:cs="Arial" w:eastAsia="Arial" w:hAnsi="Arial"/>
          <w:sz w:val="19"/>
          <w:szCs w:val="19"/>
          <w:color w:val="auto"/>
        </w:rPr>
      </w:pPr>
      <w:r>
        <w:rPr>
          <w:rFonts w:ascii="Arial" w:cs="Arial" w:eastAsia="Arial" w:hAnsi="Arial"/>
          <w:sz w:val="16"/>
          <w:szCs w:val="16"/>
          <w:u w:val="single" w:color="auto"/>
          <w:color w:val="auto"/>
        </w:rPr>
        <w:t>Provisions of Plan and Other Agreements Control</w:t>
      </w:r>
      <w:r>
        <w:rPr>
          <w:rFonts w:ascii="Arial" w:cs="Arial" w:eastAsia="Arial" w:hAnsi="Arial"/>
          <w:sz w:val="16"/>
          <w:szCs w:val="16"/>
          <w:color w:val="auto"/>
        </w:rPr>
        <w:t>. This Agreement is subject to all the terms, conditions and provisions of the Plan, including, without limitation, the amendment provisions thereof, and to such rules, regulations and interpretations relating to the Plan as may be adopted by the Board and as may be in effect from time to time. The Plan is incorporated herein by reference. If and to the extent that this Agreement conflicts or is inconsistent with the terms, conditions and provisions of the Plan, the Plan shall control, and this Agreement shall be deemed to be modified accordingly. Notwithstanding the foregoing, in the event of any conflict between the terms of this Agreement and the terms of the Employment Agreement between the Company and the Participant dated March 26, 2018 (the “Employment Agreement”), the terms of the Employment Agreement shall prevail.</w:t>
      </w:r>
    </w:p>
    <w:p>
      <w:pPr>
        <w:spacing w:after="0" w:line="199" w:lineRule="exact"/>
        <w:rPr>
          <w:rFonts w:ascii="Arial" w:cs="Arial" w:eastAsia="Arial" w:hAnsi="Arial"/>
          <w:sz w:val="19"/>
          <w:szCs w:val="19"/>
          <w:color w:val="auto"/>
        </w:rPr>
      </w:pPr>
    </w:p>
    <w:p>
      <w:pPr>
        <w:ind w:left="-20" w:right="280" w:firstLine="757"/>
        <w:spacing w:after="0" w:line="223" w:lineRule="exact"/>
        <w:tabs>
          <w:tab w:leader="none" w:pos="1628" w:val="left"/>
        </w:tabs>
        <w:numPr>
          <w:ilvl w:val="0"/>
          <w:numId w:val="41"/>
        </w:numPr>
        <w:rPr>
          <w:rFonts w:ascii="Arial" w:cs="Arial" w:eastAsia="Arial" w:hAnsi="Arial"/>
          <w:sz w:val="22"/>
          <w:szCs w:val="22"/>
          <w:color w:val="auto"/>
        </w:rPr>
      </w:pPr>
      <w:r>
        <w:rPr>
          <w:rFonts w:ascii="Arial" w:cs="Arial" w:eastAsia="Arial" w:hAnsi="Arial"/>
          <w:sz w:val="18"/>
          <w:szCs w:val="18"/>
          <w:u w:val="single" w:color="auto"/>
          <w:color w:val="auto"/>
        </w:rPr>
        <w:t>No Third</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Party Beneficiaries</w:t>
      </w:r>
      <w:r>
        <w:rPr>
          <w:rFonts w:ascii="Arial" w:cs="Arial" w:eastAsia="Arial" w:hAnsi="Arial"/>
          <w:sz w:val="18"/>
          <w:szCs w:val="18"/>
          <w:color w:val="auto"/>
        </w:rPr>
        <w:t>. This Agreement shall not confer any rights or remedies upon any person other than the parties and their respective successors and permitted assigns.</w:t>
      </w:r>
    </w:p>
    <w:p>
      <w:pPr>
        <w:spacing w:after="0" w:line="229" w:lineRule="exact"/>
        <w:rPr>
          <w:rFonts w:ascii="Arial" w:cs="Arial" w:eastAsia="Arial" w:hAnsi="Arial"/>
          <w:sz w:val="22"/>
          <w:szCs w:val="22"/>
          <w:color w:val="auto"/>
        </w:rPr>
      </w:pPr>
    </w:p>
    <w:p>
      <w:pPr>
        <w:ind w:left="-20" w:firstLine="757"/>
        <w:spacing w:after="0" w:line="281" w:lineRule="auto"/>
        <w:tabs>
          <w:tab w:leader="none" w:pos="1616" w:val="left"/>
        </w:tabs>
        <w:numPr>
          <w:ilvl w:val="0"/>
          <w:numId w:val="41"/>
        </w:numPr>
        <w:rPr>
          <w:rFonts w:ascii="Arial" w:cs="Arial" w:eastAsia="Arial" w:hAnsi="Arial"/>
          <w:sz w:val="19"/>
          <w:szCs w:val="19"/>
          <w:color w:val="auto"/>
        </w:rPr>
      </w:pPr>
      <w:r>
        <w:rPr>
          <w:rFonts w:ascii="Arial" w:cs="Arial" w:eastAsia="Arial" w:hAnsi="Arial"/>
          <w:sz w:val="16"/>
          <w:szCs w:val="16"/>
          <w:u w:val="single" w:color="auto"/>
          <w:color w:val="auto"/>
        </w:rPr>
        <w:t>Section 409A Compliance</w:t>
      </w:r>
      <w:r>
        <w:rPr>
          <w:rFonts w:ascii="Arial" w:cs="Arial" w:eastAsia="Arial" w:hAnsi="Arial"/>
          <w:sz w:val="16"/>
          <w:szCs w:val="16"/>
          <w:color w:val="auto"/>
        </w:rPr>
        <w:t>. It is intended that all compensation payable pursuant to this Agreement are exempt from or, alternatively, comply with Section 409A of the Code (and any legally binding guidance promulgated under Section 409A of the Code, including, without limitation, the Final Treasury Regulations) ("Code Section 409A"), and this Agreement will be interpreted, administered and operated accordingly. In the event that any provision of this Agreement is inconsistent with Code Section 409A or such guidance, then the applicable provisions of Code Section 409A shall supersede such inconsistent provision. Notwithstanding the foregoing, in no event will any of Company, its parent, or their respective subsidiaries, affiliates, or officers, directors, employees, or agents have any liability for failure of the form of this Agreement to be exempt from or comply with Code Section 409A and none of the foregoing guarantees that the form of this Agreement is exempt from or complies with Code Section 409A. For all purposes under Code Section 409A, Executive’s right to receive any payments pursuant to this Agreement shall be treated as a right to receive a separate and distinct payment, and any payments to be made in installments shall be deemed to be a series of separate payments. Whenever a payment under this Agreement specifies a payment period with reference to a number of days, the actual date of payment within the specified period shall be within the sole discretion of Company. A termination of employment under this Agreement shall mean a “separation from service” under Code Section 409A. Notwithstanding any provisions of the Agreement to the contrary, to the extent the that Code Section 409A would cause an adverse tax consequence to the Participant, a Change in Control shall not be deemed to occur for purposes of this Agreement unless the Change in Control meets the definition ascribed to the phrase “Change in the Ownership or Effective Control of a Corporation or in the Ownership of a Substantial Portion of the Assets of a Corporation” under Treasury Department Regulation 1.409A-3(i)(5), as revised from time to time in either subsequent regulations or other guidance.</w:t>
      </w:r>
    </w:p>
    <w:p>
      <w:pPr>
        <w:spacing w:after="0" w:line="207" w:lineRule="exact"/>
        <w:rPr>
          <w:rFonts w:ascii="Arial" w:cs="Arial" w:eastAsia="Arial" w:hAnsi="Arial"/>
          <w:sz w:val="19"/>
          <w:szCs w:val="19"/>
          <w:color w:val="auto"/>
        </w:rPr>
      </w:pPr>
    </w:p>
    <w:p>
      <w:pPr>
        <w:ind w:left="-20" w:right="60" w:firstLine="757"/>
        <w:spacing w:after="0" w:line="283" w:lineRule="auto"/>
        <w:tabs>
          <w:tab w:leader="none" w:pos="1628" w:val="left"/>
        </w:tabs>
        <w:numPr>
          <w:ilvl w:val="0"/>
          <w:numId w:val="41"/>
        </w:numPr>
        <w:rPr>
          <w:rFonts w:ascii="Arial" w:cs="Arial" w:eastAsia="Arial" w:hAnsi="Arial"/>
          <w:sz w:val="19"/>
          <w:szCs w:val="19"/>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(including the documents and exhibits referred to herein) and the Plan constitutes the entire agreement among the parties and supersedes any prior understandings, agreements, or representations by or among the parties, written or oral, that may have related in any way to the subject matter hereof. This Agreement may not be amended, supplemented, or modified in whole or in part except by an instrument in writing signed by the party or parties against whom enforcement of any such amendment, supplement, or modification is sought.</w:t>
      </w:r>
    </w:p>
    <w:p>
      <w:pPr>
        <w:spacing w:after="0" w:line="197" w:lineRule="exact"/>
        <w:rPr>
          <w:rFonts w:ascii="Arial" w:cs="Arial" w:eastAsia="Arial" w:hAnsi="Arial"/>
          <w:sz w:val="19"/>
          <w:szCs w:val="19"/>
          <w:color w:val="auto"/>
        </w:rPr>
      </w:pPr>
    </w:p>
    <w:p>
      <w:pPr>
        <w:ind w:left="-20" w:right="300" w:firstLine="757"/>
        <w:spacing w:after="0" w:line="232" w:lineRule="auto"/>
        <w:tabs>
          <w:tab w:leader="none" w:pos="1616" w:val="left"/>
        </w:tabs>
        <w:numPr>
          <w:ilvl w:val="0"/>
          <w:numId w:val="41"/>
        </w:numPr>
        <w:rPr>
          <w:rFonts w:ascii="Arial" w:cs="Arial" w:eastAsia="Arial" w:hAnsi="Arial"/>
          <w:sz w:val="22"/>
          <w:szCs w:val="22"/>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and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345" w:right="339" w:bottom="1440" w:gutter="0" w:footer="0" w:header="0"/>
        </w:sectPr>
      </w:pPr>
    </w:p>
    <w:bookmarkStart w:id="67" w:name="page68"/>
    <w:bookmarkEnd w:id="67"/>
    <w:p>
      <w:pPr>
        <w:ind w:left="100" w:right="420" w:hanging="107"/>
        <w:spacing w:after="0" w:line="281" w:lineRule="auto"/>
        <w:rPr>
          <w:sz w:val="20"/>
          <w:szCs w:val="20"/>
          <w:color w:val="auto"/>
        </w:rPr>
      </w:pPr>
      <w:r>
        <w:rPr>
          <w:rFonts w:ascii="Arial" w:cs="Arial" w:eastAsia="Arial" w:hAnsi="Arial"/>
          <w:sz w:val="18"/>
          <w:szCs w:val="18"/>
          <w:b w:val="1"/>
          <w:bCs w:val="1"/>
          <w:color w:val="auto"/>
        </w:rPr>
        <w:t>NESS WHEREOF</w:t>
      </w:r>
      <w:r>
        <w:rPr>
          <w:rFonts w:ascii="Arial" w:cs="Arial" w:eastAsia="Arial" w:hAnsi="Arial"/>
          <w:sz w:val="18"/>
          <w:szCs w:val="18"/>
          <w:color w:val="auto"/>
        </w:rPr>
        <w:t>, the Company has caused this Agreement to be duly executed by an officer thereunto duly authorized, and the Participant has executed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as of the date first above written.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VIOLET, INC.</w:t>
      </w:r>
    </w:p>
    <w:p>
      <w:pPr>
        <w:spacing w:after="0" w:line="200" w:lineRule="exact"/>
        <w:rPr>
          <w:sz w:val="20"/>
          <w:szCs w:val="20"/>
          <w:color w:val="auto"/>
        </w:rPr>
      </w:pPr>
    </w:p>
    <w:p>
      <w:pPr>
        <w:spacing w:after="0" w:line="24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October 28, 2019</w:t>
      </w:r>
    </w:p>
    <w:p>
      <w:pPr>
        <w:spacing w:after="0" w:line="200" w:lineRule="exact"/>
        <w:rPr>
          <w:sz w:val="20"/>
          <w:szCs w:val="20"/>
          <w:color w:val="auto"/>
        </w:rPr>
      </w:pPr>
    </w:p>
    <w:p>
      <w:pPr>
        <w:spacing w:after="0" w:line="222"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320"/>
        <w:spacing w:after="0"/>
        <w:rPr>
          <w:sz w:val="20"/>
          <w:szCs w:val="20"/>
          <w:color w:val="auto"/>
        </w:rPr>
      </w:pPr>
      <w:r>
        <w:rPr>
          <w:rFonts w:ascii="Arial" w:cs="Arial" w:eastAsia="Arial" w:hAnsi="Arial"/>
          <w:sz w:val="15"/>
          <w:szCs w:val="15"/>
          <w:color w:val="auto"/>
        </w:rPr>
        <w:t>____________________________________</w:t>
      </w:r>
    </w:p>
    <w:p>
      <w:pPr>
        <w:spacing w:after="0" w:line="58"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October 28, 2019</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207645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440"/>
          </w:cols>
          <w:pgMar w:left="220" w:top="337" w:right="23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RED VIOLET, INC. 2018 STOCK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DEFERRAL ELECTION FORM</w:t>
      </w:r>
      <w:r>
        <w:rPr>
          <w:rFonts w:ascii="Arial" w:cs="Arial" w:eastAsia="Arial" w:hAnsi="Arial"/>
          <w:sz w:val="15"/>
          <w:szCs w:val="15"/>
          <w:b w:val="1"/>
          <w:bCs w:val="1"/>
          <w:color w:val="auto"/>
        </w:rPr>
        <w:t>1</w:t>
      </w:r>
    </w:p>
    <w:p>
      <w:pPr>
        <w:spacing w:after="0" w:line="211" w:lineRule="exact"/>
        <w:rPr>
          <w:sz w:val="20"/>
          <w:szCs w:val="20"/>
          <w:color w:val="auto"/>
        </w:rPr>
      </w:pPr>
    </w:p>
    <w:p>
      <w:pPr>
        <w:jc w:val="center"/>
        <w:ind w:left="360" w:right="40"/>
        <w:spacing w:after="0" w:line="263" w:lineRule="auto"/>
        <w:rPr>
          <w:sz w:val="20"/>
          <w:szCs w:val="20"/>
          <w:color w:val="auto"/>
        </w:rPr>
      </w:pPr>
      <w:r>
        <w:rPr>
          <w:rFonts w:ascii="Arial" w:cs="Arial" w:eastAsia="Arial" w:hAnsi="Arial"/>
          <w:sz w:val="18"/>
          <w:szCs w:val="18"/>
          <w:color w:val="auto"/>
        </w:rPr>
        <w:t>FOR THIS DEFERRAL ELECTION TO BE EFFECTIVE, IT MUST BE RECEIVED BY THE COMPANY ON THE EFFECTIVE DATE, OR TO THE EXTENT THAT NONE OF THE RESTRICTED STOCK UNITS VEST WITHIN 12 MONTHS OF THE EFFECTIVE DATE, NO LATER THAN 30 DAYS FOLLOWING THE EFFECTIVE DATE.</w:t>
      </w:r>
    </w:p>
    <w:p>
      <w:pPr>
        <w:spacing w:after="0" w:line="17" w:lineRule="exact"/>
        <w:rPr>
          <w:sz w:val="20"/>
          <w:szCs w:val="20"/>
          <w:color w:val="auto"/>
        </w:rPr>
      </w:pPr>
    </w:p>
    <w:p>
      <w:pPr>
        <w:ind w:left="740" w:hanging="732"/>
        <w:spacing w:after="0"/>
        <w:tabs>
          <w:tab w:leader="none" w:pos="7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INFORMATION</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5"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Address:</w:t>
      </w:r>
    </w:p>
    <w:p>
      <w:pPr>
        <w:spacing w:after="0" w:line="224" w:lineRule="exact"/>
        <w:rPr>
          <w:rFonts w:ascii="Arial" w:cs="Arial" w:eastAsia="Arial" w:hAnsi="Arial"/>
          <w:sz w:val="18"/>
          <w:szCs w:val="18"/>
          <w:b w:val="1"/>
          <w:bCs w:val="1"/>
          <w:color w:val="auto"/>
        </w:rPr>
      </w:pPr>
    </w:p>
    <w:p>
      <w:pPr>
        <w:ind w:left="740" w:hanging="732"/>
        <w:spacing w:after="0"/>
        <w:tabs>
          <w:tab w:leader="none" w:pos="7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DEFERRAL ELECTION</w:t>
      </w:r>
    </w:p>
    <w:p>
      <w:pPr>
        <w:spacing w:after="0" w:line="228" w:lineRule="exact"/>
        <w:rPr>
          <w:rFonts w:ascii="Arial" w:cs="Arial" w:eastAsia="Arial" w:hAnsi="Arial"/>
          <w:sz w:val="18"/>
          <w:szCs w:val="18"/>
          <w:b w:val="1"/>
          <w:bCs w:val="1"/>
          <w:color w:val="auto"/>
        </w:rPr>
      </w:pPr>
    </w:p>
    <w:p>
      <w:pPr>
        <w:ind w:left="7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each share of Common Stock to be issued to me pursuant to the Restricted Stock Unit Agreement effective _______________, I hereby irrevocably elect to defer the receipt of such Common Stock as set forth below.</w:t>
      </w:r>
    </w:p>
    <w:p>
      <w:pPr>
        <w:spacing w:after="0" w:line="165" w:lineRule="exact"/>
        <w:rPr>
          <w:rFonts w:ascii="Arial" w:cs="Arial" w:eastAsia="Arial" w:hAnsi="Arial"/>
          <w:sz w:val="18"/>
          <w:szCs w:val="18"/>
          <w:b w:val="1"/>
          <w:bCs w:val="1"/>
          <w:color w:val="auto"/>
        </w:rPr>
      </w:pPr>
    </w:p>
    <w:p>
      <w:pPr>
        <w:ind w:left="740" w:hanging="732"/>
        <w:spacing w:after="0"/>
        <w:tabs>
          <w:tab w:leader="none" w:pos="7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STOCK ISSUANCE DATE</w:t>
      </w:r>
    </w:p>
    <w:p>
      <w:pPr>
        <w:spacing w:after="0" w:line="228" w:lineRule="exact"/>
        <w:rPr>
          <w:rFonts w:ascii="Arial" w:cs="Arial" w:eastAsia="Arial" w:hAnsi="Arial"/>
          <w:sz w:val="18"/>
          <w:szCs w:val="18"/>
          <w:b w:val="1"/>
          <w:bCs w:val="1"/>
          <w:color w:val="auto"/>
        </w:rPr>
      </w:pPr>
    </w:p>
    <w:p>
      <w:pPr>
        <w:ind w:left="7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Restricted Stock Units vest under your Award, the Company will issue you shares of Common Stock with respect to such vested Restricted Stock Units following the satisfaction of such vesting requirements, in accordance with Section 2(e) of the Restricted Stock Unit Agreement, unless you timely elect to receive the shares at a different time. If you elect a different date, Common Stock will generally be issued to you on such date but only to the extent your Restricted Stock Units are vested and additional shares of Common Stock (if any) will be issued to you when any remaining Restricted Stock Units vest.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hereby elect to receive my shares of Common Stock on the earlier of (check all that apply):</w:t>
      </w:r>
    </w:p>
    <w:p>
      <w:pPr>
        <w:spacing w:after="0" w:line="192" w:lineRule="exact"/>
        <w:rPr>
          <w:sz w:val="20"/>
          <w:szCs w:val="20"/>
          <w:color w:val="auto"/>
        </w:rPr>
      </w:pPr>
    </w:p>
    <w:p>
      <w:pPr>
        <w:ind w:left="760"/>
        <w:spacing w:after="0" w:line="207" w:lineRule="exact"/>
        <w:tabs>
          <w:tab w:leader="none" w:pos="1780" w:val="left"/>
        </w:tabs>
        <w:rPr>
          <w:sz w:val="20"/>
          <w:szCs w:val="20"/>
          <w:color w:val="auto"/>
        </w:rPr>
      </w:pPr>
      <w:r>
        <w:rPr>
          <w:rFonts w:ascii="Arial" w:cs="Arial" w:eastAsia="Arial" w:hAnsi="Arial"/>
          <w:sz w:val="18"/>
          <w:szCs w:val="18"/>
          <w:color w:val="auto"/>
        </w:rPr>
        <w:t xml:space="preserve">1.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_________________________________ , 20____ ; (enter date)</w:t>
      </w:r>
    </w:p>
    <w:p>
      <w:pPr>
        <w:spacing w:after="0" w:line="225" w:lineRule="exact"/>
        <w:rPr>
          <w:sz w:val="20"/>
          <w:szCs w:val="20"/>
          <w:color w:val="auto"/>
        </w:rPr>
      </w:pPr>
    </w:p>
    <w:p>
      <w:pPr>
        <w:ind w:left="980" w:hanging="223"/>
        <w:spacing w:after="0" w:line="207" w:lineRule="exact"/>
        <w:tabs>
          <w:tab w:leader="none" w:pos="98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my death;</w:t>
      </w:r>
    </w:p>
    <w:p>
      <w:pPr>
        <w:spacing w:after="0" w:line="224" w:lineRule="exact"/>
        <w:rPr>
          <w:rFonts w:ascii="Arial" w:cs="Arial" w:eastAsia="Arial" w:hAnsi="Arial"/>
          <w:sz w:val="18"/>
          <w:szCs w:val="18"/>
          <w:color w:val="auto"/>
        </w:rPr>
      </w:pPr>
    </w:p>
    <w:p>
      <w:pPr>
        <w:ind w:left="980" w:hanging="223"/>
        <w:spacing w:after="0" w:line="207" w:lineRule="exact"/>
        <w:tabs>
          <w:tab w:leader="none" w:pos="98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my Disability (as defined in Code Section 409A);</w:t>
      </w:r>
    </w:p>
    <w:p>
      <w:pPr>
        <w:spacing w:after="0" w:line="224" w:lineRule="exact"/>
        <w:rPr>
          <w:rFonts w:ascii="Arial" w:cs="Arial" w:eastAsia="Arial" w:hAnsi="Arial"/>
          <w:sz w:val="18"/>
          <w:szCs w:val="18"/>
          <w:color w:val="auto"/>
        </w:rPr>
      </w:pPr>
    </w:p>
    <w:p>
      <w:pPr>
        <w:ind w:left="980" w:hanging="223"/>
        <w:spacing w:after="0" w:line="207" w:lineRule="exact"/>
        <w:tabs>
          <w:tab w:leader="none" w:pos="98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Change in Control (as defined in the Plan); and/or</w:t>
      </w:r>
    </w:p>
    <w:p>
      <w:pPr>
        <w:spacing w:after="0" w:line="224" w:lineRule="exact"/>
        <w:rPr>
          <w:rFonts w:ascii="Arial" w:cs="Arial" w:eastAsia="Arial" w:hAnsi="Arial"/>
          <w:sz w:val="18"/>
          <w:szCs w:val="18"/>
          <w:color w:val="auto"/>
        </w:rPr>
      </w:pPr>
    </w:p>
    <w:p>
      <w:pPr>
        <w:ind w:left="980" w:hanging="223"/>
        <w:spacing w:after="0" w:line="207" w:lineRule="exact"/>
        <w:tabs>
          <w:tab w:leader="none" w:pos="98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my “separation from service” (as defined in Code Section 409A) with the Company.</w:t>
      </w:r>
    </w:p>
    <w:p>
      <w:pPr>
        <w:spacing w:after="0" w:line="257"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To the extent you are a “specified employee” for purposes of Code Section 409A and to the extent Code Section 409A is applicable to deferral of receipt of Common Stock pursuant to this Deferral Election Form (the “Form”), notwithstanding any contrary provision which exists in the Plan or the Agreement, your distribution will be delayed for a period of 6 months as required by Code Section 409A</w:t>
      </w:r>
    </w:p>
    <w:p>
      <w:pPr>
        <w:spacing w:after="0" w:line="164" w:lineRule="exact"/>
        <w:rPr>
          <w:sz w:val="20"/>
          <w:szCs w:val="20"/>
          <w:color w:val="auto"/>
        </w:rPr>
      </w:pPr>
    </w:p>
    <w:p>
      <w:pPr>
        <w:ind w:left="760" w:right="340"/>
        <w:spacing w:after="0" w:line="259" w:lineRule="auto"/>
        <w:rPr>
          <w:sz w:val="20"/>
          <w:szCs w:val="20"/>
          <w:color w:val="auto"/>
        </w:rPr>
      </w:pPr>
      <w:r>
        <w:rPr>
          <w:rFonts w:ascii="Arial" w:cs="Arial" w:eastAsia="Arial" w:hAnsi="Arial"/>
          <w:sz w:val="18"/>
          <w:szCs w:val="18"/>
          <w:color w:val="auto"/>
        </w:rPr>
        <w:t>This Form is subject to all the terms, conditions and provisions of the Plan and the Agreement including, without limitation, the amendment provisions thereof. The Plan and the Agreement are incorporated herein by reference. If and to the extent that this Form conflicts or is inconsistent with the terms, conditions and provisions of the Plan or the Agreement, the Plan and the Agreement shall control, and this Form shall be deemed to be modified accordingly.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__________________________________</w:t>
      </w:r>
      <w:r>
        <w:rPr>
          <w:sz w:val="20"/>
          <w:szCs w:val="20"/>
          <w:color w:val="auto"/>
        </w:rPr>
        <w:tab/>
      </w:r>
      <w:r>
        <w:rPr>
          <w:rFonts w:ascii="Arial" w:cs="Arial" w:eastAsia="Arial" w:hAnsi="Arial"/>
          <w:sz w:val="18"/>
          <w:szCs w:val="18"/>
          <w:color w:val="auto"/>
        </w:rPr>
        <w:t>_____/_____/_____</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Date</w:t>
      </w:r>
    </w:p>
    <w:p>
      <w:pPr>
        <w:spacing w:after="0" w:line="372" w:lineRule="exact"/>
        <w:rPr>
          <w:sz w:val="20"/>
          <w:szCs w:val="20"/>
          <w:color w:val="auto"/>
        </w:rPr>
      </w:pPr>
    </w:p>
    <w:p>
      <w:pPr>
        <w:ind w:left="160" w:right="200" w:hanging="152"/>
        <w:spacing w:after="0" w:line="277" w:lineRule="auto"/>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Capitalized terms not defined herein shall have the meaning ascribed thereto in the Red Violet, Inc. 2018 Stock Incentive Plan (as amended to date,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211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14211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446405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INSTRUCTIONS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 VIOLET, INC. 2018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 FORM</w:t>
      </w:r>
    </w:p>
    <w:p>
      <w:pPr>
        <w:spacing w:after="0" w:line="2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This Form is to be used to defer receipt of shares of Common Stock that are issuable under the Plan in connection with Restricted Stock Units. The following instructions provide more information about the Form.</w:t>
      </w:r>
    </w:p>
    <w:p>
      <w:pPr>
        <w:spacing w:after="0" w:line="165" w:lineRule="exact"/>
        <w:rPr>
          <w:sz w:val="20"/>
          <w:szCs w:val="20"/>
          <w:color w:val="auto"/>
        </w:rPr>
      </w:pPr>
    </w:p>
    <w:p>
      <w:pPr>
        <w:ind w:left="820" w:hanging="812"/>
        <w:spacing w:after="0"/>
        <w:tabs>
          <w:tab w:leader="none" w:pos="8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complete all items.</w:t>
      </w:r>
    </w:p>
    <w:p>
      <w:pPr>
        <w:spacing w:after="0" w:line="221" w:lineRule="exact"/>
        <w:rPr>
          <w:sz w:val="20"/>
          <w:szCs w:val="20"/>
          <w:color w:val="auto"/>
        </w:rPr>
      </w:pPr>
    </w:p>
    <w:p>
      <w:pPr>
        <w:ind w:left="820" w:hanging="812"/>
        <w:spacing w:after="0"/>
        <w:tabs>
          <w:tab w:leader="none" w:pos="8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DEFERRAL ELECTION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identify the Restricted Stock Units subject to this Form.</w:t>
      </w:r>
    </w:p>
    <w:p>
      <w:pPr>
        <w:spacing w:after="0" w:line="221" w:lineRule="exact"/>
        <w:rPr>
          <w:sz w:val="20"/>
          <w:szCs w:val="20"/>
          <w:color w:val="auto"/>
        </w:rPr>
      </w:pPr>
    </w:p>
    <w:p>
      <w:pPr>
        <w:ind w:left="820" w:hanging="812"/>
        <w:spacing w:after="0"/>
        <w:tabs>
          <w:tab w:leader="none" w:pos="8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 ISSUANCE DATE</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You may elect the timing of the issuance of your Common Stock to be issued pursuant to the Restricted Stock Units by checking the first box and inserting a specific date in the future that you want such Common Stock issued to you. If you make such an election, you shall be issued Common Stock with respect to any Restricted Stock Units that are vested on the date you elect and shall receive any remaining shares of Common Stock with respect to any other Restricted Stock Units when they vest. Notwithstanding the date you elect to receive your shares of Common Stock, you may choose by checking the corresponding boxes to receive shares of Common Stock corresponding to any vested Restricted Stock Units earlier if and upon occurrence of any of the following events to the extent selected: (1) your death; (2) your Disability; (3) a Change in Control; or (4) a separation from service. If you make no election, the Company will issue you shares of Common Stock with respect to Restricted Stock Units following the satisfaction of such vesting requirements, in accordance with Section 2(e) of the Restricted Stock Unit Agreement.</w:t>
      </w:r>
    </w:p>
    <w:p>
      <w:pPr>
        <w:sectPr>
          <w:pgSz w:w="11900" w:h="16838" w:orient="portrait"/>
          <w:cols w:equalWidth="0" w:num="1">
            <w:col w:w="11220"/>
          </w:cols>
          <w:pgMar w:left="320" w:top="337"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800" w:type="dxa"/>
            <w:vAlign w:val="bottom"/>
            <w:gridSpan w:val="3"/>
          </w:tcPr>
          <w:p>
            <w:pPr>
              <w:ind w:left="540"/>
              <w:spacing w:after="0"/>
              <w:rPr>
                <w:sz w:val="20"/>
                <w:szCs w:val="20"/>
                <w:color w:val="auto"/>
              </w:rPr>
            </w:pPr>
            <w:r>
              <w:rPr>
                <w:rFonts w:ascii="Arial" w:cs="Arial" w:eastAsia="Arial" w:hAnsi="Arial"/>
                <w:sz w:val="18"/>
                <w:szCs w:val="18"/>
                <w:b w:val="1"/>
                <w:bCs w:val="1"/>
                <w:color w:val="auto"/>
              </w:rPr>
              <w:t>SUBSIDIARIES</w:t>
            </w:r>
          </w:p>
        </w:tc>
      </w:tr>
      <w:tr>
        <w:trPr>
          <w:trHeight w:val="377"/>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22"/>
        </w:trPr>
        <w:tc>
          <w:tcPr>
            <w:tcW w:w="20" w:type="dxa"/>
            <w:vAlign w:val="bottom"/>
          </w:tcPr>
          <w:p>
            <w:pPr>
              <w:spacing w:after="0"/>
              <w:rPr>
                <w:sz w:val="19"/>
                <w:szCs w:val="19"/>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IDI Holdings, LLC</w:t>
            </w:r>
          </w:p>
        </w:tc>
        <w:tc>
          <w:tcPr>
            <w:tcW w:w="1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20" w:type="dxa"/>
            <w:vAlign w:val="bottom"/>
          </w:tcPr>
          <w:p>
            <w:pPr>
              <w:spacing w:after="0"/>
              <w:rPr>
                <w:sz w:val="19"/>
                <w:szCs w:val="19"/>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Interactive Data,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Red Violet Technologies,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IDI Verified,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Forewarn,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Red Violet Blockchain and Analytical Solutions,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Whoodle,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HolSol, LLC</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40"/>
          </w:cols>
          <w:pgMar w:left="320" w:top="33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have issued our report dated March 12, 2020, with respect to the consolidated financial statements included in the Annual Report of Red Violet, Inc. on Form 10-K for the year ended December 31, 2019. We consent to the incorporation by reference of said report in the Registration Statements of Red Violet, Inc. on Form S-3 (File No. 333-233025) and Form S-8 (File No. 333-224147).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Red Violet, Inc.;</w:t>
      </w:r>
    </w:p>
    <w:p>
      <w:pPr>
        <w:spacing w:after="0" w:line="224"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1000" w:hanging="493"/>
        <w:spacing w:after="0" w:line="307"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1000" w:right="40" w:hanging="493"/>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520" w:right="140" w:hanging="501"/>
        <w:spacing w:after="0" w:line="286" w:lineRule="auto"/>
        <w:tabs>
          <w:tab w:leader="none" w:pos="15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7"/>
          <w:szCs w:val="17"/>
          <w:color w:val="auto"/>
        </w:rPr>
      </w:pPr>
    </w:p>
    <w:p>
      <w:pPr>
        <w:ind w:left="1520" w:right="200" w:hanging="501"/>
        <w:spacing w:after="0" w:line="263" w:lineRule="auto"/>
        <w:tabs>
          <w:tab w:leader="none" w:pos="15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520" w:hanging="501"/>
        <w:spacing w:after="0" w:line="341" w:lineRule="auto"/>
        <w:tabs>
          <w:tab w:leader="none" w:pos="15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20" w:hanging="501"/>
        <w:spacing w:after="0" w:line="263" w:lineRule="auto"/>
        <w:tabs>
          <w:tab w:leader="none" w:pos="15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1000" w:right="460" w:hanging="493"/>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8"/>
          <w:szCs w:val="18"/>
          <w:color w:val="auto"/>
        </w:rPr>
      </w:pPr>
    </w:p>
    <w:p>
      <w:pPr>
        <w:ind w:left="1520" w:right="260" w:hanging="501"/>
        <w:spacing w:after="0" w:line="341" w:lineRule="auto"/>
        <w:tabs>
          <w:tab w:leader="none" w:pos="15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20" w:right="540" w:hanging="501"/>
        <w:spacing w:after="0" w:line="277" w:lineRule="auto"/>
        <w:tabs>
          <w:tab w:leader="none" w:pos="15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12, 2020</w:t>
            </w:r>
          </w:p>
        </w:tc>
        <w:tc>
          <w:tcPr>
            <w:tcW w:w="7280" w:type="dxa"/>
            <w:vAlign w:val="bottom"/>
            <w:gridSpan w:val="2"/>
          </w:tcPr>
          <w:p>
            <w:pPr>
              <w:ind w:left="2800"/>
              <w:spacing w:after="0"/>
              <w:rPr>
                <w:sz w:val="20"/>
                <w:szCs w:val="20"/>
                <w:color w:val="auto"/>
              </w:rPr>
            </w:pPr>
            <w:r>
              <w:rPr>
                <w:rFonts w:ascii="Arial" w:cs="Arial" w:eastAsia="Arial" w:hAnsi="Arial"/>
                <w:sz w:val="18"/>
                <w:szCs w:val="18"/>
                <w:color w:val="auto"/>
              </w:rPr>
              <w:t>By:  /s/ Derek Dubner</w:t>
            </w:r>
          </w:p>
        </w:tc>
      </w:tr>
      <w:tr>
        <w:trPr>
          <w:trHeight w:val="195"/>
        </w:trPr>
        <w:tc>
          <w:tcPr>
            <w:tcW w:w="3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3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Red Violet, Inc.;</w:t>
      </w:r>
    </w:p>
    <w:p>
      <w:pPr>
        <w:spacing w:after="0" w:line="224"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1000" w:hanging="493"/>
        <w:spacing w:after="0" w:line="307"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1000" w:right="40" w:hanging="493"/>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520" w:right="140" w:hanging="501"/>
        <w:spacing w:after="0" w:line="286" w:lineRule="auto"/>
        <w:tabs>
          <w:tab w:leader="none" w:pos="15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7"/>
          <w:szCs w:val="17"/>
          <w:color w:val="auto"/>
        </w:rPr>
      </w:pPr>
    </w:p>
    <w:p>
      <w:pPr>
        <w:ind w:left="1520" w:right="200" w:hanging="501"/>
        <w:spacing w:after="0" w:line="263" w:lineRule="auto"/>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520" w:hanging="501"/>
        <w:spacing w:after="0" w:line="341" w:lineRule="auto"/>
        <w:tabs>
          <w:tab w:leader="none" w:pos="15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20" w:hanging="501"/>
        <w:spacing w:after="0" w:line="263" w:lineRule="auto"/>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1000" w:right="460" w:hanging="493"/>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8"/>
          <w:szCs w:val="18"/>
          <w:color w:val="auto"/>
        </w:rPr>
      </w:pPr>
    </w:p>
    <w:p>
      <w:pPr>
        <w:ind w:left="1520" w:right="260" w:hanging="501"/>
        <w:spacing w:after="0" w:line="341" w:lineRule="auto"/>
        <w:tabs>
          <w:tab w:leader="none" w:pos="15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20" w:right="540" w:hanging="501"/>
        <w:spacing w:after="0" w:line="277" w:lineRule="auto"/>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12, 2020</w:t>
            </w:r>
          </w:p>
        </w:tc>
        <w:tc>
          <w:tcPr>
            <w:tcW w:w="7280" w:type="dxa"/>
            <w:vAlign w:val="bottom"/>
            <w:gridSpan w:val="2"/>
          </w:tcPr>
          <w:p>
            <w:pPr>
              <w:ind w:left="2800"/>
              <w:spacing w:after="0"/>
              <w:rPr>
                <w:sz w:val="20"/>
                <w:szCs w:val="20"/>
                <w:color w:val="auto"/>
              </w:rPr>
            </w:pPr>
            <w:r>
              <w:rPr>
                <w:rFonts w:ascii="Arial" w:cs="Arial" w:eastAsia="Arial" w:hAnsi="Arial"/>
                <w:sz w:val="18"/>
                <w:szCs w:val="18"/>
                <w:color w:val="auto"/>
              </w:rPr>
              <w:t>By:  /s/ Daniel MacLachlan</w:t>
            </w:r>
          </w:p>
        </w:tc>
      </w:tr>
      <w:tr>
        <w:trPr>
          <w:trHeight w:val="195"/>
        </w:trPr>
        <w:tc>
          <w:tcPr>
            <w:tcW w:w="3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33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connection with the accompanying Annual Report on Form 10-K of Red Violet, Inc. for the fiscal year ended December 31, 2019, as filed with the U.S. Securities and Exchange Commission (the “Report”), the undersigned hereby certifies pursuant to 18 U.S.C. Section 1350, as adopted pursuant to Section 906 of the Sarbanes-Oxley Act of 2002, to my knowledge and belief, that:</w:t>
      </w:r>
    </w:p>
    <w:p>
      <w:pPr>
        <w:spacing w:after="0" w:line="183"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4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Red Violet, Inc.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12, 2020</w:t>
            </w:r>
          </w:p>
        </w:tc>
        <w:tc>
          <w:tcPr>
            <w:tcW w:w="7280" w:type="dxa"/>
            <w:vAlign w:val="bottom"/>
            <w:gridSpan w:val="2"/>
          </w:tcPr>
          <w:p>
            <w:pPr>
              <w:ind w:left="2800"/>
              <w:spacing w:after="0"/>
              <w:rPr>
                <w:sz w:val="20"/>
                <w:szCs w:val="20"/>
                <w:color w:val="auto"/>
              </w:rPr>
            </w:pPr>
            <w:r>
              <w:rPr>
                <w:rFonts w:ascii="Arial" w:cs="Arial" w:eastAsia="Arial" w:hAnsi="Arial"/>
                <w:sz w:val="18"/>
                <w:szCs w:val="18"/>
                <w:color w:val="auto"/>
              </w:rPr>
              <w:t>By:  /s/ Derek Dubner</w:t>
            </w:r>
          </w:p>
        </w:tc>
      </w:tr>
      <w:tr>
        <w:trPr>
          <w:trHeight w:val="195"/>
        </w:trPr>
        <w:tc>
          <w:tcPr>
            <w:tcW w:w="3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29"/>
        </w:trPr>
        <w:tc>
          <w:tcPr>
            <w:tcW w:w="39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6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connection with the accompanying Annual Report on Form 10-K of Red Violet, Inc. for the fiscal year ended December 31, 2019, as filed with the U.S. Securities and Exchange Commission (the “Report”), the undersigned hereby certifies pursuant to 18 U.S.C. Section 1350, as adopted pursuant to Section 906 of the Sarbanes-Oxley Act of 2002, to my knowledge and belief, that:</w:t>
      </w:r>
    </w:p>
    <w:p>
      <w:pPr>
        <w:spacing w:after="0" w:line="183" w:lineRule="exact"/>
        <w:rPr>
          <w:sz w:val="20"/>
          <w:szCs w:val="20"/>
          <w:color w:val="auto"/>
        </w:rPr>
      </w:pPr>
    </w:p>
    <w:p>
      <w:pPr>
        <w:ind w:left="1000" w:hanging="493"/>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4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Red Violet, Inc.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12, 2020</w:t>
            </w:r>
          </w:p>
        </w:tc>
        <w:tc>
          <w:tcPr>
            <w:tcW w:w="7280" w:type="dxa"/>
            <w:vAlign w:val="bottom"/>
            <w:gridSpan w:val="2"/>
          </w:tcPr>
          <w:p>
            <w:pPr>
              <w:ind w:left="2800"/>
              <w:spacing w:after="0"/>
              <w:rPr>
                <w:sz w:val="20"/>
                <w:szCs w:val="20"/>
                <w:color w:val="auto"/>
              </w:rPr>
            </w:pPr>
            <w:r>
              <w:rPr>
                <w:rFonts w:ascii="Arial" w:cs="Arial" w:eastAsia="Arial" w:hAnsi="Arial"/>
                <w:sz w:val="18"/>
                <w:szCs w:val="18"/>
                <w:color w:val="auto"/>
              </w:rPr>
              <w:t>By:  /s/ Daniel MacLachlan</w:t>
            </w:r>
          </w:p>
        </w:tc>
      </w:tr>
      <w:tr>
        <w:trPr>
          <w:trHeight w:val="195"/>
        </w:trPr>
        <w:tc>
          <w:tcPr>
            <w:tcW w:w="3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5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Letter"/>
      <w:start w:val="18"/>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lvl w:ilvl="1">
      <w:lvlJc w:val="left"/>
      <w:lvlText w:val="•"/>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decimal"/>
      <w:start w:val="2"/>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2"/>
    </w:lvl>
  </w:abstractNum>
  <w:abstractNum w:abstractNumId="36">
    <w:nsid w:val="725A06FB"/>
    <w:multiLevelType w:val="hybridMultilevel"/>
    <w:lvl w:ilvl="0">
      <w:lvlJc w:val="left"/>
      <w:lvlText w:val="(%1)"/>
      <w:numFmt w:val="lowerLetter"/>
      <w:start w:val="3"/>
    </w:lvl>
  </w:abstractNum>
  <w:abstractNum w:abstractNumId="37">
    <w:nsid w:val="2CD89A32"/>
    <w:multiLevelType w:val="hybridMultilevel"/>
    <w:lvl w:ilvl="0">
      <w:lvlJc w:val="left"/>
      <w:lvlText w:val="(%1)"/>
      <w:numFmt w:val="lowerLetter"/>
      <w:start w:val="4"/>
    </w:lvl>
  </w:abstractNum>
  <w:abstractNum w:abstractNumId="38">
    <w:nsid w:val="57E4CCAF"/>
    <w:multiLevelType w:val="hybridMultilevel"/>
    <w:lvl w:ilvl="0">
      <w:lvlJc w:val="left"/>
      <w:lvlText w:val="%1."/>
      <w:numFmt w:val="decimal"/>
      <w:start w:val="3"/>
    </w:lvl>
  </w:abstractNum>
  <w:abstractNum w:abstractNumId="39">
    <w:nsid w:val="7A6D8D3C"/>
    <w:multiLevelType w:val="hybridMultilevel"/>
    <w:lvl w:ilvl="0">
      <w:lvlJc w:val="left"/>
      <w:lvlText w:val="%1."/>
      <w:numFmt w:val="decimal"/>
      <w:start w:val="8"/>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upperLetter"/>
      <w:start w:val="1"/>
    </w:lvl>
  </w:abstractNum>
  <w:abstractNum w:abstractNumId="42">
    <w:nsid w:val="6DE91B18"/>
    <w:multiLevelType w:val="hybridMultilevel"/>
    <w:lvl w:ilvl="0">
      <w:lvlJc w:val="left"/>
      <w:lvlText w:val="%1."/>
      <w:numFmt w:val="decimal"/>
      <w:start w:val="2"/>
    </w:lvl>
  </w:abstractNum>
  <w:abstractNum w:abstractNumId="43">
    <w:nsid w:val="38437FDB"/>
    <w:multiLevelType w:val="hybridMultilevel"/>
    <w:lvl w:ilvl="0">
      <w:lvlJc w:val="left"/>
      <w:lvlText w:val="1"/>
      <w:numFmt w:val="bullet"/>
      <w:start w:val="1"/>
    </w:lvl>
  </w:abstractNum>
  <w:abstractNum w:abstractNumId="44">
    <w:nsid w:val="7644A45C"/>
    <w:multiLevelType w:val="hybridMultilevel"/>
    <w:lvl w:ilvl="0">
      <w:lvlJc w:val="left"/>
      <w:lvlText w:val="%1."/>
      <w:numFmt w:val="upperLetter"/>
      <w:start w:val="1"/>
    </w:lvl>
  </w:abstractNum>
  <w:abstractNum w:abstractNumId="45">
    <w:nsid w:val="32FFF902"/>
    <w:multiLevelType w:val="hybridMultilevel"/>
    <w:lvl w:ilvl="0">
      <w:lvlJc w:val="left"/>
      <w:lvlText w:val="%1."/>
      <w:numFmt w:val="upperLetter"/>
      <w:start w:val="2"/>
    </w:lvl>
  </w:abstractNum>
  <w:abstractNum w:abstractNumId="46">
    <w:nsid w:val="684A481A"/>
    <w:multiLevelType w:val="hybridMultilevel"/>
    <w:lvl w:ilvl="0">
      <w:lvlJc w:val="left"/>
      <w:lvlText w:val="%1."/>
      <w:numFmt w:val="upperLetter"/>
      <w:start w:val="3"/>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53" Type="http://schemas.openxmlformats.org/officeDocument/2006/relationships/hyperlink" Target="http://www.sec.gov/Archives/edgar/data/1720116/000119312518062230/d528710dex21.htm" TargetMode="External"/><Relationship Id="rId54" Type="http://schemas.openxmlformats.org/officeDocument/2006/relationships/hyperlink" Target="http://www.sec.gov/Archives/edgar/data/1720116/000119312518097860/d559011dex31.htm" TargetMode="External"/><Relationship Id="rId55" Type="http://schemas.openxmlformats.org/officeDocument/2006/relationships/hyperlink" Target="http://www.sec.gov/Archives/edgar/data/1720116/000119312518097860/d559011dex32.htm" TargetMode="External"/><Relationship Id="rId56" Type="http://schemas.openxmlformats.org/officeDocument/2006/relationships/hyperlink" Target="http://www.sec.gov/Archives/edgar/data/1720116/000119312518062230/d528710dex102.htm" TargetMode="External"/><Relationship Id="rId57" Type="http://schemas.openxmlformats.org/officeDocument/2006/relationships/hyperlink" Target="http://www.sec.gov/Archives/edgar/data/1720116/000119312518062230/d528710dex103.htm" TargetMode="External"/><Relationship Id="rId58" Type="http://schemas.openxmlformats.org/officeDocument/2006/relationships/hyperlink" Target="http://www.sec.gov/Archives/edgar/data/1720116/000119312518062230/d528710dex104.htm" TargetMode="External"/><Relationship Id="rId59" Type="http://schemas.openxmlformats.org/officeDocument/2006/relationships/hyperlink" Target="http://www.sec.gov/Archives/edgar/data/1720116/000119312518097860/d559011dex102.htm" TargetMode="External"/><Relationship Id="rId60" Type="http://schemas.openxmlformats.org/officeDocument/2006/relationships/hyperlink" Target="http://www.sec.gov/Archives/edgar/data/1720116/000119312518097860/d559011dex103.htm" TargetMode="External"/><Relationship Id="rId61" Type="http://schemas.openxmlformats.org/officeDocument/2006/relationships/hyperlink" Target="http://www.sec.gov/Archives/edgar/data/1720116/000119312518097860/d559011dex104.htm" TargetMode="External"/><Relationship Id="rId62" Type="http://schemas.openxmlformats.org/officeDocument/2006/relationships/hyperlink" Target="http://www.sec.gov/Archives/edgar/data/1720116/000119312518097860/d559011dex105.htm" TargetMode="External"/><Relationship Id="rId63" Type="http://schemas.openxmlformats.org/officeDocument/2006/relationships/hyperlink" Target="http://www.sec.gov/Archives/edgar/data/1720116/000119312518097860/d559011dex106.htm" TargetMode="External"/><Relationship Id="rId64" Type="http://schemas.openxmlformats.org/officeDocument/2006/relationships/hyperlink" Target="http://www.sec.gov/Archives/edgar/data/1720116/000156459018020212/rdvt-ex101_136.htm" TargetMode="External"/><Relationship Id="rId65" Type="http://schemas.openxmlformats.org/officeDocument/2006/relationships/hyperlink" Target="http://www.sec.gov/Archives/edgar/data/1720116/000156459018028035/rdvt-ex102_85.htm" TargetMode="External"/><Relationship Id="rId66" Type="http://schemas.openxmlformats.org/officeDocument/2006/relationships/hyperlink" Target="http://www.sec.gov/Archives/edgar/data/1720116/000156459019028779/rdvt-ex101_12.htm" TargetMode="External"/><Relationship Id="rId67" Type="http://schemas.openxmlformats.org/officeDocument/2006/relationships/hyperlink" Target="http://www.sec.gov/Archives/edgar/data/1720116/000156459019033243/rdvt-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2020-03-12T15:53:56Z</dcterms:created>
  <dcterms:modified xsi:type="dcterms:W3CDTF">2020-03-12T15:53:56Z</dcterms:modified>
</cp:coreProperties>
</file>