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499110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514350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 w:lineRule="exact"/>
        <w:rPr>
          <w:sz w:val="24"/>
          <w:szCs w:val="24"/>
          <w:color w:val="auto"/>
        </w:rPr>
      </w:pPr>
    </w:p>
    <w:p>
      <w:pPr>
        <w:ind w:left="220" w:hanging="214"/>
        <w:spacing w:after="0"/>
        <w:tabs>
          <w:tab w:leader="none" w:pos="220" w:val="left"/>
        </w:tabs>
        <w:numPr>
          <w:ilvl w:val="0"/>
          <w:numId w:val="1"/>
        </w:numPr>
        <w:rPr>
          <w:rFonts w:ascii="MS PGothic" w:cs="MS PGothic" w:eastAsia="MS PGothic" w:hAnsi="MS PGothic"/>
          <w:sz w:val="18"/>
          <w:szCs w:val="18"/>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2023</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5" w:lineRule="exact"/>
        <w:rPr>
          <w:sz w:val="24"/>
          <w:szCs w:val="24"/>
          <w:color w:val="auto"/>
        </w:rPr>
      </w:pPr>
    </w:p>
    <w:p>
      <w:pPr>
        <w:ind w:left="220" w:hanging="214"/>
        <w:spacing w:after="0"/>
        <w:tabs>
          <w:tab w:leader="none" w:pos="220" w:val="left"/>
        </w:tabs>
        <w:numPr>
          <w:ilvl w:val="0"/>
          <w:numId w:val="2"/>
        </w:numPr>
        <w:rPr>
          <w:rFonts w:ascii="MS PGothic" w:cs="MS PGothic" w:eastAsia="MS PGothic" w:hAnsi="MS PGothic"/>
          <w:sz w:val="19"/>
          <w:szCs w:val="19"/>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8"/>
              </w:rPr>
              <w:t>For the transition period from</w:t>
            </w:r>
          </w:p>
        </w:tc>
        <w:tc>
          <w:tcPr>
            <w:tcW w:w="740" w:type="dxa"/>
            <w:vAlign w:val="bottom"/>
            <w:tcBorders>
              <w:bottom w:val="single" w:sz="8" w:color="auto"/>
            </w:tcBorders>
          </w:tcPr>
          <w:p>
            <w:pPr>
              <w:spacing w:after="0"/>
              <w:rPr>
                <w:sz w:val="16"/>
                <w:szCs w:val="16"/>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90"/>
        </w:trPr>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w w:val="96"/>
              </w:rPr>
              <w:t>Commission file number 001-38407</w:t>
            </w:r>
          </w:p>
        </w:tc>
      </w:tr>
    </w:tbl>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RED VIOLET,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ectPr>
          <w:pgSz w:w="11900" w:h="16840" w:orient="portrait"/>
          <w:cols w:equalWidth="0" w:num="1">
            <w:col w:w="10560"/>
          </w:cols>
          <w:pgMar w:left="660" w:top="852" w:right="680" w:bottom="1440" w:gutter="0" w:footer="0" w:header="0"/>
        </w:sectPr>
      </w:pPr>
    </w:p>
    <w:p>
      <w:pPr>
        <w:spacing w:after="0" w:line="144"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82-2408531</w:t>
      </w:r>
    </w:p>
    <w:p>
      <w:pPr>
        <w:spacing w:after="0" w:line="68" w:lineRule="exact"/>
        <w:rPr>
          <w:sz w:val="24"/>
          <w:szCs w:val="24"/>
          <w:color w:val="auto"/>
        </w:rPr>
      </w:pPr>
    </w:p>
    <w:p>
      <w:pPr>
        <w:sectPr>
          <w:pgSz w:w="11900" w:h="16840" w:orient="portrait"/>
          <w:cols w:equalWidth="0" w:num="2">
            <w:col w:w="6880" w:space="720"/>
            <w:col w:w="2960"/>
          </w:cols>
          <w:pgMar w:left="660" w:top="852" w:right="68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89" w:lineRule="exact"/>
        <w:rPr>
          <w:sz w:val="24"/>
          <w:szCs w:val="24"/>
          <w:color w:val="auto"/>
        </w:rPr>
      </w:pPr>
    </w:p>
    <w:p>
      <w:pPr>
        <w:sectPr>
          <w:pgSz w:w="11900" w:h="16840" w:orient="portrait"/>
          <w:cols w:equalWidth="0" w:num="2">
            <w:col w:w="6260" w:space="720"/>
            <w:col w:w="3580"/>
          </w:cols>
          <w:pgMar w:left="660" w:top="852" w:right="68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2650 North Military Trail, Suite 300, Boca Raton, Florida 33431</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(Zip Code)</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(561) 757-4000</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40" w:orient="portrait"/>
          <w:cols w:equalWidth="0" w:num="1">
            <w:col w:w="10560"/>
          </w:cols>
          <w:pgMar w:left="660" w:top="852" w:right="680" w:bottom="1440" w:gutter="0" w:footer="0" w:header="0"/>
          <w:type w:val="continuous"/>
        </w:sectPr>
      </w:pPr>
    </w:p>
    <w:p>
      <w:pPr>
        <w:spacing w:after="0" w:line="177"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Trading Symbol (s)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Name of each exchange on which registered</w:t>
      </w:r>
    </w:p>
    <w:p>
      <w:pPr>
        <w:spacing w:after="0" w:line="29" w:lineRule="exact"/>
        <w:rPr>
          <w:sz w:val="24"/>
          <w:szCs w:val="24"/>
          <w:color w:val="auto"/>
        </w:rPr>
      </w:pPr>
    </w:p>
    <w:p>
      <w:pPr>
        <w:sectPr>
          <w:pgSz w:w="11900" w:h="16840" w:orient="portrait"/>
          <w:cols w:equalWidth="0" w:num="3">
            <w:col w:w="4160" w:space="720"/>
            <w:col w:w="2260" w:space="720"/>
            <w:col w:w="2700"/>
          </w:cols>
          <w:pgMar w:left="660" w:top="852" w:right="680"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RDVT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78" w:lineRule="exact"/>
        <w:rPr>
          <w:sz w:val="24"/>
          <w:szCs w:val="24"/>
          <w:color w:val="auto"/>
        </w:rPr>
      </w:pPr>
    </w:p>
    <w:p>
      <w:pPr>
        <w:sectPr>
          <w:pgSz w:w="11900" w:h="16840" w:orient="portrait"/>
          <w:cols w:equalWidth="0" w:num="3">
            <w:col w:w="4380" w:space="720"/>
            <w:col w:w="2000" w:space="720"/>
            <w:col w:w="2740"/>
          </w:cols>
          <w:pgMar w:left="660" w:top="852" w:right="680" w:bottom="1440" w:gutter="0" w:footer="0" w:header="0"/>
          <w:type w:val="continuous"/>
        </w:sectPr>
      </w:pPr>
    </w:p>
    <w:p>
      <w:pPr>
        <w:ind w:right="100"/>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 w:lineRule="exact"/>
        <w:rPr>
          <w:sz w:val="24"/>
          <w:szCs w:val="24"/>
          <w:color w:val="auto"/>
        </w:rPr>
      </w:pPr>
    </w:p>
    <w:p>
      <w:pPr>
        <w:ind w:right="140"/>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8"/>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0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5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280"/>
        <w:spacing w:after="0" w:line="19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18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3, 2023, the registrant had 13,913,491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575945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52" w:right="68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RED VIOLET,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 FOR FORM 10-Q</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0" w:type="dxa"/>
            <w:vAlign w:val="bottom"/>
            <w:gridSpan w:val="9"/>
            <w:vMerge w:val="restart"/>
          </w:tcPr>
          <w:p>
            <w:pPr>
              <w:spacing w:after="0"/>
              <w:rPr>
                <w:rFonts w:ascii="Times New Roman" w:cs="Times New Roman" w:eastAsia="Times New Roman" w:hAnsi="Times New Roman"/>
                <w:sz w:val="16"/>
                <w:szCs w:val="16"/>
                <w:color w:val="0000FF"/>
                <w:w w:val="97"/>
              </w:rPr>
            </w:pPr>
            <w:hyperlink w:anchor="page3">
              <w:r>
                <w:rPr>
                  <w:rFonts w:ascii="Times New Roman" w:cs="Times New Roman" w:eastAsia="Times New Roman" w:hAnsi="Times New Roman"/>
                  <w:sz w:val="16"/>
                  <w:szCs w:val="16"/>
                  <w:color w:val="0000FF"/>
                  <w:w w:val="97"/>
                </w:rPr>
                <w:t>PART I - FINANCIAL INFORMATION</w:t>
              </w:r>
            </w:hyperlink>
          </w:p>
        </w:tc>
        <w:tc>
          <w:tcPr>
            <w:tcW w:w="7080" w:type="dxa"/>
            <w:vAlign w:val="bottom"/>
            <w:gridSpan w:val="11"/>
            <w:vMerge w:val="restart"/>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tcBorders>
              <w:bottom w:val="single" w:sz="8" w:color="0000FF"/>
            </w:tcBorders>
            <w:gridSpan w:val="9"/>
            <w:vMerge w:val="continue"/>
          </w:tcPr>
          <w:p>
            <w:pPr>
              <w:spacing w:after="0"/>
              <w:rPr>
                <w:sz w:val="14"/>
                <w:szCs w:val="14"/>
                <w:color w:val="auto"/>
              </w:rPr>
            </w:pPr>
          </w:p>
        </w:tc>
        <w:tc>
          <w:tcPr>
            <w:tcW w:w="7080" w:type="dxa"/>
            <w:vAlign w:val="bottom"/>
            <w:gridSpan w:val="1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206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w w:val="96"/>
              </w:rPr>
            </w:pPr>
            <w:hyperlink w:anchor="page3">
              <w:r>
                <w:rPr>
                  <w:rFonts w:ascii="Times New Roman" w:cs="Times New Roman" w:eastAsia="Times New Roman" w:hAnsi="Times New Roman"/>
                  <w:sz w:val="16"/>
                  <w:szCs w:val="16"/>
                  <w:color w:val="0000FF"/>
                  <w:w w:val="96"/>
                </w:rPr>
                <w:t>Financial Statements (unaudited)</w:t>
              </w:r>
            </w:hyperlink>
          </w:p>
        </w:tc>
        <w:tc>
          <w:tcPr>
            <w:tcW w:w="662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80" w:type="dxa"/>
            <w:vAlign w:val="bottom"/>
            <w:gridSpan w:val="18"/>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Condensed consolidated balance sheets as of June 30, 2023 and December 31, 2022</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w w:val="97"/>
              </w:rPr>
            </w:pPr>
            <w:hyperlink w:anchor="page4">
              <w:r>
                <w:rPr>
                  <w:rFonts w:ascii="Times New Roman" w:cs="Times New Roman" w:eastAsia="Times New Roman" w:hAnsi="Times New Roman"/>
                  <w:sz w:val="16"/>
                  <w:szCs w:val="16"/>
                  <w:color w:val="0000FF"/>
                  <w:w w:val="97"/>
                </w:rPr>
                <w:t>Condensed consolidated statements of operations for the three and six months ended June 30, 2023 and 2022</w:t>
              </w:r>
            </w:hyperlink>
          </w:p>
        </w:tc>
        <w:tc>
          <w:tcPr>
            <w:tcW w:w="1880" w:type="dxa"/>
            <w:vAlign w:val="bottom"/>
            <w:gridSpan w:val="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80" w:type="dxa"/>
            <w:vAlign w:val="bottom"/>
            <w:gridSpan w:val="18"/>
          </w:tcPr>
          <w:p>
            <w:pPr>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Condensed consolidated statements of changes in shareholders' equity for the three and six months ended June 30, 2023 and 2022</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80" w:type="dxa"/>
            <w:vAlign w:val="bottom"/>
            <w:tcBorders>
              <w:top w:val="single" w:sz="8" w:color="0000FF"/>
            </w:tcBorders>
            <w:gridSpan w:val="17"/>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Condensed consolidated statements of cash flows for the six months ended June 30, 2023 and 2022</w:t>
              </w:r>
            </w:hyperlink>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tcBorders>
              <w:top w:val="single" w:sz="8" w:color="0000FF"/>
            </w:tcBorders>
            <w:gridSpan w:val="15"/>
          </w:tcPr>
          <w:p>
            <w:pPr>
              <w:spacing w:after="0"/>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Notes to condensed consolidated financial statements</w:t>
              </w:r>
            </w:hyperlink>
          </w:p>
        </w:tc>
        <w:tc>
          <w:tcPr>
            <w:tcW w:w="2500" w:type="dxa"/>
            <w:vAlign w:val="bottom"/>
            <w:gridSpan w:val="3"/>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558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w w:val="97"/>
              </w:rPr>
            </w:pPr>
            <w:hyperlink w:anchor="page13">
              <w:r>
                <w:rPr>
                  <w:rFonts w:ascii="Times New Roman" w:cs="Times New Roman" w:eastAsia="Times New Roman" w:hAnsi="Times New Roman"/>
                  <w:sz w:val="16"/>
                  <w:szCs w:val="16"/>
                  <w:color w:val="0000FF"/>
                  <w:w w:val="97"/>
                </w:rPr>
                <w:t>Management's Discussion and Analysis of Financial Condition and Results of Operations</w:t>
              </w:r>
            </w:hyperlink>
          </w:p>
        </w:tc>
        <w:tc>
          <w:tcPr>
            <w:tcW w:w="3100" w:type="dxa"/>
            <w:vAlign w:val="bottom"/>
            <w:gridSpan w:val="4"/>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7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w w:val="97"/>
              </w:rPr>
            </w:pPr>
            <w:hyperlink w:anchor="page19">
              <w:r>
                <w:rPr>
                  <w:rFonts w:ascii="Times New Roman" w:cs="Times New Roman" w:eastAsia="Times New Roman" w:hAnsi="Times New Roman"/>
                  <w:sz w:val="16"/>
                  <w:szCs w:val="16"/>
                  <w:color w:val="0000FF"/>
                  <w:w w:val="97"/>
                </w:rPr>
                <w:t>Quantitative and Qualitative Disclosures About Market Risk</w:t>
              </w:r>
            </w:hyperlink>
          </w:p>
        </w:tc>
        <w:tc>
          <w:tcPr>
            <w:tcW w:w="4900" w:type="dxa"/>
            <w:vAlign w:val="bottom"/>
            <w:gridSpan w:val="6"/>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6"/>
              </w:rPr>
            </w:pPr>
            <w:hyperlink w:anchor="page19">
              <w:r>
                <w:rPr>
                  <w:rFonts w:ascii="Times New Roman" w:cs="Times New Roman" w:eastAsia="Times New Roman" w:hAnsi="Times New Roman"/>
                  <w:sz w:val="16"/>
                  <w:szCs w:val="16"/>
                  <w:color w:val="0000FF"/>
                  <w:w w:val="96"/>
                </w:rPr>
                <w:t>Controls and Procedures</w:t>
              </w:r>
            </w:hyperlink>
          </w:p>
        </w:tc>
        <w:tc>
          <w:tcPr>
            <w:tcW w:w="714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6"/>
              </w:rPr>
            </w:pPr>
            <w:hyperlink w:anchor="page21">
              <w:r>
                <w:rPr>
                  <w:rFonts w:ascii="Times New Roman" w:cs="Times New Roman" w:eastAsia="Times New Roman" w:hAnsi="Times New Roman"/>
                  <w:sz w:val="16"/>
                  <w:szCs w:val="16"/>
                  <w:color w:val="0000FF"/>
                  <w:w w:val="96"/>
                </w:rPr>
                <w:t>PART II - OTHER INFORMATION</w:t>
              </w:r>
            </w:hyperlink>
          </w:p>
        </w:tc>
        <w:tc>
          <w:tcPr>
            <w:tcW w:w="7360" w:type="dxa"/>
            <w:vAlign w:val="bottom"/>
            <w:gridSpan w:val="13"/>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6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w w:val="96"/>
              </w:rPr>
            </w:pPr>
            <w:hyperlink w:anchor="page21">
              <w:r>
                <w:rPr>
                  <w:rFonts w:ascii="Times New Roman" w:cs="Times New Roman" w:eastAsia="Times New Roman" w:hAnsi="Times New Roman"/>
                  <w:sz w:val="16"/>
                  <w:szCs w:val="16"/>
                  <w:color w:val="0000FF"/>
                  <w:w w:val="96"/>
                </w:rPr>
                <w:t>Legal Proceedings</w:t>
              </w:r>
            </w:hyperlink>
          </w:p>
        </w:tc>
        <w:tc>
          <w:tcPr>
            <w:tcW w:w="752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780" w:type="dxa"/>
            <w:vAlign w:val="bottom"/>
            <w:tcBorders>
              <w:bottom w:val="single" w:sz="8" w:color="0000FF"/>
            </w:tcBorders>
            <w:gridSpan w:val="2"/>
          </w:tcPr>
          <w:p>
            <w:pPr>
              <w:spacing w:after="0"/>
              <w:rPr>
                <w:rFonts w:ascii="Times New Roman" w:cs="Times New Roman" w:eastAsia="Times New Roman" w:hAnsi="Times New Roman"/>
                <w:sz w:val="16"/>
                <w:szCs w:val="16"/>
                <w:color w:val="0000FF"/>
                <w:w w:val="94"/>
              </w:rPr>
            </w:pPr>
            <w:hyperlink w:anchor="page21">
              <w:r>
                <w:rPr>
                  <w:rFonts w:ascii="Times New Roman" w:cs="Times New Roman" w:eastAsia="Times New Roman" w:hAnsi="Times New Roman"/>
                  <w:sz w:val="16"/>
                  <w:szCs w:val="16"/>
                  <w:color w:val="0000FF"/>
                  <w:w w:val="94"/>
                </w:rPr>
                <w:t>Risk Factors</w:t>
              </w:r>
            </w:hyperlink>
          </w:p>
        </w:tc>
        <w:tc>
          <w:tcPr>
            <w:tcW w:w="7900" w:type="dxa"/>
            <w:vAlign w:val="bottom"/>
            <w:gridSpan w:val="16"/>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8680" w:type="dxa"/>
            <w:vAlign w:val="bottom"/>
            <w:gridSpan w:val="18"/>
          </w:tcPr>
          <w:p>
            <w:pPr>
              <w:spacing w:after="0"/>
              <w:rPr>
                <w:rFonts w:ascii="Times New Roman" w:cs="Times New Roman" w:eastAsia="Times New Roman" w:hAnsi="Times New Roman"/>
                <w:sz w:val="16"/>
                <w:szCs w:val="16"/>
                <w:color w:val="0000FF"/>
              </w:rPr>
            </w:pPr>
            <w:hyperlink w:anchor="page21">
              <w:r>
                <w:rPr>
                  <w:rFonts w:ascii="Times New Roman" w:cs="Times New Roman" w:eastAsia="Times New Roman" w:hAnsi="Times New Roman"/>
                  <w:sz w:val="16"/>
                  <w:szCs w:val="16"/>
                  <w:color w:val="0000FF"/>
                </w:rPr>
                <w:t>Unregistered Sales of Equity Securities and Use of Proceeds</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202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6"/>
                <w:szCs w:val="16"/>
                <w:color w:val="0000FF"/>
                <w:w w:val="96"/>
              </w:rPr>
            </w:pPr>
            <w:hyperlink w:anchor="page21">
              <w:r>
                <w:rPr>
                  <w:rFonts w:ascii="Times New Roman" w:cs="Times New Roman" w:eastAsia="Times New Roman" w:hAnsi="Times New Roman"/>
                  <w:sz w:val="16"/>
                  <w:szCs w:val="16"/>
                  <w:color w:val="0000FF"/>
                  <w:w w:val="96"/>
                </w:rPr>
                <w:t>Defaults Upon Senior Securities</w:t>
              </w:r>
            </w:hyperlink>
          </w:p>
        </w:tc>
        <w:tc>
          <w:tcPr>
            <w:tcW w:w="1740" w:type="dxa"/>
            <w:vAlign w:val="bottom"/>
            <w:tcBorders>
              <w:top w:val="single" w:sz="8" w:color="0000FF"/>
            </w:tcBorders>
            <w:gridSpan w:val="3"/>
          </w:tcPr>
          <w:p>
            <w:pPr>
              <w:spacing w:after="0"/>
              <w:rPr>
                <w:sz w:val="18"/>
                <w:szCs w:val="18"/>
                <w:color w:val="auto"/>
              </w:rPr>
            </w:pPr>
          </w:p>
        </w:tc>
        <w:tc>
          <w:tcPr>
            <w:tcW w:w="4920" w:type="dxa"/>
            <w:vAlign w:val="bottom"/>
            <w:gridSpan w:val="7"/>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54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6"/>
              </w:rPr>
            </w:pPr>
            <w:hyperlink w:anchor="page21">
              <w:r>
                <w:rPr>
                  <w:rFonts w:ascii="Times New Roman" w:cs="Times New Roman" w:eastAsia="Times New Roman" w:hAnsi="Times New Roman"/>
                  <w:sz w:val="16"/>
                  <w:szCs w:val="16"/>
                  <w:color w:val="0000FF"/>
                  <w:w w:val="96"/>
                </w:rPr>
                <w:t>Mine Safety Disclosures</w:t>
              </w:r>
            </w:hyperlink>
          </w:p>
        </w:tc>
        <w:tc>
          <w:tcPr>
            <w:tcW w:w="7140" w:type="dxa"/>
            <w:vAlign w:val="bottom"/>
            <w:gridSpan w:val="12"/>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40" w:type="dxa"/>
            <w:vAlign w:val="bottom"/>
            <w:tcBorders>
              <w:bottom w:val="single" w:sz="8" w:color="0000FF"/>
            </w:tcBorders>
            <w:gridSpan w:val="3"/>
          </w:tcPr>
          <w:p>
            <w:pPr>
              <w:spacing w:after="0"/>
              <w:rPr>
                <w:rFonts w:ascii="Times New Roman" w:cs="Times New Roman" w:eastAsia="Times New Roman" w:hAnsi="Times New Roman"/>
                <w:sz w:val="16"/>
                <w:szCs w:val="16"/>
                <w:color w:val="0000FF"/>
                <w:w w:val="95"/>
              </w:rPr>
            </w:pPr>
            <w:hyperlink w:anchor="page22">
              <w:r>
                <w:rPr>
                  <w:rFonts w:ascii="Times New Roman" w:cs="Times New Roman" w:eastAsia="Times New Roman" w:hAnsi="Times New Roman"/>
                  <w:sz w:val="16"/>
                  <w:szCs w:val="16"/>
                  <w:color w:val="0000FF"/>
                  <w:w w:val="95"/>
                </w:rPr>
                <w:t>Other Information</w:t>
              </w:r>
            </w:hyperlink>
          </w:p>
        </w:tc>
        <w:tc>
          <w:tcPr>
            <w:tcW w:w="7540" w:type="dxa"/>
            <w:vAlign w:val="bottom"/>
            <w:gridSpan w:val="1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8680" w:type="dxa"/>
            <w:vAlign w:val="bottom"/>
            <w:gridSpan w:val="18"/>
          </w:tcPr>
          <w:p>
            <w:pPr>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Exhibits</w:t>
              </w:r>
            </w:hyperlink>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00" w:type="dxa"/>
            <w:vAlign w:val="bottom"/>
            <w:gridSpan w:val="2"/>
          </w:tcPr>
          <w:p>
            <w:pPr>
              <w:spacing w:after="0"/>
              <w:rPr>
                <w:rFonts w:ascii="Times New Roman" w:cs="Times New Roman" w:eastAsia="Times New Roman" w:hAnsi="Times New Roman"/>
                <w:sz w:val="16"/>
                <w:szCs w:val="16"/>
                <w:color w:val="0000FF"/>
                <w:w w:val="98"/>
              </w:rPr>
            </w:pPr>
            <w:hyperlink w:anchor="page23">
              <w:r>
                <w:rPr>
                  <w:rFonts w:ascii="Times New Roman" w:cs="Times New Roman" w:eastAsia="Times New Roman" w:hAnsi="Times New Roman"/>
                  <w:sz w:val="16"/>
                  <w:szCs w:val="16"/>
                  <w:color w:val="0000FF"/>
                  <w:w w:val="98"/>
                </w:rPr>
                <w:t>SIGNATURES</w:t>
              </w:r>
            </w:hyperlink>
          </w:p>
        </w:tc>
        <w:tc>
          <w:tcPr>
            <w:tcW w:w="5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036"/>
        </w:trPr>
        <w:tc>
          <w:tcPr>
            <w:tcW w:w="20" w:type="dxa"/>
            <w:vAlign w:val="bottom"/>
            <w:tcBorders>
              <w:bottom w:val="single" w:sz="8" w:color="EEEEEE"/>
            </w:tcBorders>
          </w:tcPr>
          <w:p>
            <w:pPr>
              <w:spacing w:after="0"/>
              <w:rPr>
                <w:sz w:val="24"/>
                <w:szCs w:val="24"/>
                <w:color w:val="auto"/>
              </w:rPr>
            </w:pPr>
          </w:p>
        </w:tc>
        <w:tc>
          <w:tcPr>
            <w:tcW w:w="980" w:type="dxa"/>
            <w:vAlign w:val="bottom"/>
            <w:tcBorders>
              <w:top w:val="single" w:sz="8" w:color="0000FF"/>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-3223260</wp:posOffset>
            </wp:positionV>
            <wp:extent cx="22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-3078480</wp:posOffset>
            </wp:positionV>
            <wp:extent cx="22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-2788920</wp:posOffset>
            </wp:positionV>
            <wp:extent cx="22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735" w:right="68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PART I - FINANCIAL INFORMATION</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Unless otherwise indicated or required by the context, all references in this Quarterly Report on Form 10-Q to “we,” “us,” “our,” “red violet,” or the “Company,” refer to Red Violet, Inc. and its consolidated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RED VIOLET,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6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72"/>
        </w:trPr>
        <w:tc>
          <w:tcPr>
            <w:tcW w:w="7300" w:type="dxa"/>
            <w:vAlign w:val="bottom"/>
            <w:tcBorders>
              <w:left w:val="single" w:sz="8" w:color="CFF0FC"/>
            </w:tcBorders>
            <w:gridSpan w:val="3"/>
            <w:shd w:val="clear" w:color="auto" w:fill="CFF0FC"/>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60" w:type="dxa"/>
            <w:vAlign w:val="bottom"/>
            <w:tcBorders>
              <w:left w:val="single" w:sz="8" w:color="CFF0FC"/>
            </w:tcBorders>
            <w:shd w:val="clear" w:color="auto" w:fill="000000"/>
          </w:tcPr>
          <w:p>
            <w:pPr>
              <w:spacing w:after="0"/>
              <w:rPr>
                <w:sz w:val="3"/>
                <w:szCs w:val="3"/>
                <w:color w:val="auto"/>
              </w:rPr>
            </w:pPr>
          </w:p>
        </w:tc>
        <w:tc>
          <w:tcPr>
            <w:tcW w:w="2780" w:type="dxa"/>
            <w:vAlign w:val="bottom"/>
            <w:shd w:val="clear" w:color="auto" w:fill="CFF0FC"/>
          </w:tcPr>
          <w:p>
            <w:pPr>
              <w:spacing w:after="0"/>
              <w:rPr>
                <w:sz w:val="3"/>
                <w:szCs w:val="3"/>
                <w:color w:val="auto"/>
              </w:rPr>
            </w:pPr>
          </w:p>
        </w:tc>
        <w:tc>
          <w:tcPr>
            <w:tcW w:w="3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31,368</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3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6"/>
                <w:szCs w:val="16"/>
                <w:color w:val="auto"/>
              </w:rPr>
              <w:t>Accounts receivable, net of allowance for doubtful accounts of $86 and $60 as of</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June 30, 2023 and December 31, 2022, respectively</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33,175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6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79,877</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tcBorders>
              <w:left w:val="single" w:sz="8" w:color="CFF0FC"/>
            </w:tcBorders>
            <w:gridSpan w:val="3"/>
            <w:shd w:val="clear" w:color="auto" w:fill="CFF0FC"/>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60" w:type="dxa"/>
            <w:vAlign w:val="bottom"/>
            <w:tcBorders>
              <w:left w:val="single" w:sz="8" w:color="CFF0FC"/>
            </w:tcBorders>
            <w:shd w:val="clear" w:color="auto" w:fill="000000"/>
          </w:tcPr>
          <w:p>
            <w:pPr>
              <w:spacing w:after="0"/>
              <w:rPr>
                <w:sz w:val="3"/>
                <w:szCs w:val="3"/>
                <w:color w:val="auto"/>
              </w:rPr>
            </w:pPr>
          </w:p>
        </w:tc>
        <w:tc>
          <w:tcPr>
            <w:tcW w:w="2780" w:type="dxa"/>
            <w:vAlign w:val="bottom"/>
            <w:shd w:val="clear" w:color="auto" w:fill="000000"/>
          </w:tcPr>
          <w:p>
            <w:pPr>
              <w:spacing w:after="0"/>
              <w:rPr>
                <w:sz w:val="3"/>
                <w:szCs w:val="3"/>
                <w:color w:val="auto"/>
              </w:rPr>
            </w:pPr>
          </w:p>
        </w:tc>
        <w:tc>
          <w:tcPr>
            <w:tcW w:w="386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14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8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3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6"/>
                <w:szCs w:val="16"/>
                <w:color w:val="auto"/>
              </w:rPr>
              <w:t>Preferred stock—$0.001 par value, 10,000,000 shares authorized, and 0 shares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issued and outstanding, as of June 30, 2023 and December 31, 2022</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300" w:type="dxa"/>
            <w:vAlign w:val="bottom"/>
            <w:tcBorders>
              <w:left w:val="single" w:sz="8" w:color="CFF0FC"/>
            </w:tcBorders>
            <w:gridSpan w:val="3"/>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Common stock—$0.001 par value, 200,000,000 shares authorized, 13,911,691 and</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tcBorders>
              <w:left w:val="single" w:sz="8" w:color="CFF0FC"/>
            </w:tcBorders>
            <w:gridSpan w:val="3"/>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13,956,404 shares issued, and 13,908,953 and 13,956,404 shares outstanding, as of</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June 30, 2023 and December 31, 2022</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300" w:type="dxa"/>
            <w:vAlign w:val="bottom"/>
            <w:gridSpan w:val="3"/>
          </w:tcPr>
          <w:p>
            <w:pPr>
              <w:ind w:left="20"/>
              <w:spacing w:after="0" w:line="179" w:lineRule="exact"/>
              <w:rPr>
                <w:sz w:val="20"/>
                <w:szCs w:val="20"/>
                <w:color w:val="auto"/>
              </w:rPr>
            </w:pPr>
            <w:r>
              <w:rPr>
                <w:rFonts w:ascii="Times New Roman" w:cs="Times New Roman" w:eastAsia="Times New Roman" w:hAnsi="Times New Roman"/>
                <w:sz w:val="16"/>
                <w:szCs w:val="16"/>
                <w:color w:val="auto"/>
              </w:rPr>
              <w:t>Treasury stock, at cost, 2,738 and 0 shares as of June 30, 2023 and December 31,</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2022</w:t>
            </w:r>
          </w:p>
        </w:tc>
        <w:tc>
          <w:tcPr>
            <w:tcW w:w="27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95,104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(19,298 )</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(21,402 )</w:t>
            </w:r>
          </w:p>
        </w:tc>
        <w:tc>
          <w:tcPr>
            <w:tcW w:w="0" w:type="dxa"/>
            <w:vAlign w:val="bottom"/>
          </w:tcPr>
          <w:p>
            <w:pPr>
              <w:spacing w:after="0"/>
              <w:rPr>
                <w:sz w:val="1"/>
                <w:szCs w:val="1"/>
                <w:color w:val="auto"/>
              </w:rPr>
            </w:pPr>
          </w:p>
        </w:tc>
      </w:tr>
      <w:tr>
        <w:trPr>
          <w:trHeight w:val="205"/>
        </w:trPr>
        <w:tc>
          <w:tcPr>
            <w:tcW w:w="730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71,093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79,877</w:t>
            </w:r>
          </w:p>
        </w:tc>
        <w:tc>
          <w:tcPr>
            <w:tcW w:w="10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10560"/>
          </w:cols>
          <w:pgMar w:left="660" w:top="735" w:right="68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RED VIOLET,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208"/>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14,680</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12,494</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25,223</w:t>
            </w:r>
          </w:p>
        </w:tc>
        <w:tc>
          <w:tcPr>
            <w:tcW w:w="80" w:type="dxa"/>
            <w:vAlign w:val="bottom"/>
            <w:shd w:val="clear" w:color="auto" w:fill="CFF0FC"/>
          </w:tcPr>
          <w:p>
            <w:pPr>
              <w:spacing w:after="0"/>
              <w:rPr>
                <w:sz w:val="18"/>
                <w:szCs w:val="18"/>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shd w:val="clear" w:color="auto" w:fill="CFF0FC"/>
          </w:tcPr>
          <w:p>
            <w:pPr>
              <w:spacing w:after="0"/>
              <w:rPr>
                <w:sz w:val="17"/>
                <w:szCs w:val="17"/>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80" w:type="dxa"/>
            <w:vAlign w:val="bottom"/>
          </w:tcPr>
          <w:p>
            <w:pPr>
              <w:spacing w:after="0"/>
              <w:rPr>
                <w:sz w:val="17"/>
                <w:szCs w:val="17"/>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10,316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10,653</w:t>
            </w:r>
          </w:p>
        </w:tc>
        <w:tc>
          <w:tcPr>
            <w:tcW w:w="80" w:type="dxa"/>
            <w:vAlign w:val="bottom"/>
            <w:shd w:val="clear" w:color="auto" w:fill="CFF0FC"/>
          </w:tcPr>
          <w:p>
            <w:pPr>
              <w:spacing w:after="0"/>
              <w:rPr>
                <w:sz w:val="17"/>
                <w:szCs w:val="17"/>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80" w:type="dxa"/>
            <w:vAlign w:val="bottom"/>
          </w:tcPr>
          <w:p>
            <w:pPr>
              <w:spacing w:after="0"/>
              <w:rPr>
                <w:sz w:val="17"/>
                <w:szCs w:val="17"/>
                <w:color w:val="auto"/>
              </w:rPr>
            </w:pPr>
          </w:p>
        </w:tc>
      </w:tr>
      <w:tr>
        <w:trPr>
          <w:trHeight w:val="205"/>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12,655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25,103</w:t>
            </w:r>
          </w:p>
        </w:tc>
        <w:tc>
          <w:tcPr>
            <w:tcW w:w="80" w:type="dxa"/>
            <w:vAlign w:val="bottom"/>
            <w:shd w:val="clear" w:color="auto" w:fill="CFF0FC"/>
          </w:tcPr>
          <w:p>
            <w:pPr>
              <w:spacing w:after="0"/>
              <w:rPr>
                <w:sz w:val="17"/>
                <w:szCs w:val="17"/>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7"/>
                <w:szCs w:val="17"/>
                <w:color w:val="auto"/>
              </w:rPr>
            </w:pPr>
          </w:p>
        </w:tc>
      </w:tr>
      <w:tr>
        <w:trPr>
          <w:trHeight w:val="204"/>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(161 )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7"/>
                <w:szCs w:val="17"/>
                <w:color w:val="auto"/>
              </w:rPr>
            </w:pPr>
          </w:p>
        </w:tc>
      </w:tr>
      <w:tr>
        <w:trPr>
          <w:trHeight w:val="204"/>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FF0FC"/>
          </w:tcPr>
          <w:p>
            <w:pPr>
              <w:spacing w:after="0"/>
              <w:rPr>
                <w:sz w:val="17"/>
                <w:szCs w:val="17"/>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53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2"/>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r>
      <w:tr>
        <w:trPr>
          <w:trHeight w:val="181"/>
        </w:trPr>
        <w:tc>
          <w:tcPr>
            <w:tcW w:w="5300" w:type="dxa"/>
            <w:vAlign w:val="bottom"/>
            <w:tcBorders>
              <w:top w:val="single" w:sz="8" w:color="CFF0FC"/>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44"/>
        </w:trPr>
        <w:tc>
          <w:tcPr>
            <w:tcW w:w="5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13,961,862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13,776,479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13,979,411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13,660,686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0"/>
        </w:trPr>
        <w:tc>
          <w:tcPr>
            <w:tcW w:w="530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14,172,024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13,776,479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14,180,614</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13,660,686</w:t>
            </w:r>
          </w:p>
        </w:tc>
        <w:tc>
          <w:tcPr>
            <w:tcW w:w="80" w:type="dxa"/>
            <w:vAlign w:val="bottom"/>
          </w:tcPr>
          <w:p>
            <w:pPr>
              <w:spacing w:after="0"/>
              <w:rPr>
                <w:sz w:val="15"/>
                <w:szCs w:val="15"/>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10560"/>
          </w:cols>
          <w:pgMar w:left="660" w:top="735" w:right="68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RED VIOLET,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SHAREHOLDERS’ EQUITY</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2160" w:type="dxa"/>
            <w:vAlign w:val="bottom"/>
            <w:gridSpan w:val="6"/>
          </w:tcPr>
          <w:p>
            <w:pPr>
              <w:ind w:lef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20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13,523,067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93,115</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(21,911 )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treasury stock resulting</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from shares withheld to cover</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statutory taxes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(106,031 )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(2,765 )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(2,765 )</w:t>
            </w:r>
          </w:p>
        </w:tc>
        <w:tc>
          <w:tcPr>
            <w:tcW w:w="0" w:type="dxa"/>
            <w:vAlign w:val="bottom"/>
          </w:tcPr>
          <w:p>
            <w:pPr>
              <w:spacing w:after="0"/>
              <w:rPr>
                <w:sz w:val="1"/>
                <w:szCs w:val="1"/>
                <w:color w:val="auto"/>
              </w:rPr>
            </w:pPr>
          </w:p>
        </w:tc>
      </w:tr>
      <w:tr>
        <w:trPr>
          <w:trHeight w:val="312"/>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100" w:type="dxa"/>
            <w:vAlign w:val="bottom"/>
            <w:gridSpan w:val="3"/>
          </w:tcPr>
          <w:p>
            <w:pPr>
              <w:jc w:val="right"/>
              <w:ind w:right="40"/>
              <w:spacing w:after="0" w:line="312" w:lineRule="exact"/>
              <w:rPr>
                <w:sz w:val="20"/>
                <w:szCs w:val="20"/>
                <w:color w:val="auto"/>
              </w:rPr>
            </w:pPr>
            <w:r>
              <w:rPr>
                <w:rFonts w:ascii="Times New Roman" w:cs="Times New Roman" w:eastAsia="Times New Roman" w:hAnsi="Times New Roman"/>
                <w:sz w:val="16"/>
                <w:szCs w:val="16"/>
                <w:color w:val="auto"/>
              </w:rPr>
              <w:t xml:space="preserve">(7,031 </w:t>
            </w:r>
            <w:r>
              <w:rPr>
                <w:rFonts w:ascii="Times New Roman" w:cs="Times New Roman" w:eastAsia="Times New Roman" w:hAnsi="Times New Roman"/>
                <w:sz w:val="31"/>
                <w:szCs w:val="31"/>
                <w:color w:val="auto"/>
                <w:vertAlign w:val="superscript"/>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line="312" w:lineRule="exact"/>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31"/>
                <w:szCs w:val="31"/>
                <w:color w:val="auto"/>
                <w:vertAlign w:val="superscript"/>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line="312" w:lineRule="exact"/>
              <w:rPr>
                <w:sz w:val="20"/>
                <w:szCs w:val="20"/>
                <w:color w:val="auto"/>
              </w:rPr>
            </w:pPr>
            <w:r>
              <w:rPr>
                <w:rFonts w:ascii="Times New Roman" w:cs="Times New Roman" w:eastAsia="Times New Roman" w:hAnsi="Times New Roman"/>
                <w:sz w:val="16"/>
                <w:szCs w:val="16"/>
                <w:color w:val="auto"/>
              </w:rPr>
              <w:t xml:space="preserve">(134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04"/>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(106,031 )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106,031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(2,765 )</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(205 )</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(205 )</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13,702,796</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(7,031 )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92,178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(22,116 )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800" w:type="dxa"/>
            <w:vAlign w:val="bottom"/>
            <w:gridSpan w:val="2"/>
            <w:shd w:val="clear" w:color="auto" w:fill="CFF0FC"/>
          </w:tcPr>
          <w:p>
            <w:pPr>
              <w:spacing w:after="0"/>
              <w:rPr>
                <w:sz w:val="15"/>
                <w:szCs w:val="15"/>
                <w:color w:val="auto"/>
              </w:rPr>
            </w:pPr>
          </w:p>
        </w:tc>
        <w:tc>
          <w:tcPr>
            <w:tcW w:w="200" w:type="dxa"/>
            <w:vAlign w:val="bottom"/>
            <w:gridSpan w:val="2"/>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spacing w:after="0"/>
              <w:rPr>
                <w:sz w:val="15"/>
                <w:szCs w:val="15"/>
                <w:color w:val="auto"/>
              </w:rPr>
            </w:pPr>
          </w:p>
        </w:tc>
        <w:tc>
          <w:tcPr>
            <w:tcW w:w="940" w:type="dxa"/>
            <w:vAlign w:val="bottom"/>
            <w:gridSpan w:val="2"/>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13,961,643</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(10,937 )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94,293</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(20,686 )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Increase in treasury stock resulting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from shares withheld to cover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statutory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(1,072 )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(44,081 )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(739 )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(739 )</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(53,352 )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53,352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(907 )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13,911,691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(2,738 )</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(52 )</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95,104</w:t>
            </w:r>
          </w:p>
        </w:tc>
        <w:tc>
          <w:tcPr>
            <w:tcW w:w="12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(19,298 )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10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2160" w:type="dxa"/>
            <w:vAlign w:val="bottom"/>
            <w:gridSpan w:val="6"/>
          </w:tcPr>
          <w:p>
            <w:pPr>
              <w:ind w:left="6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2040" w:type="dxa"/>
            <w:vAlign w:val="bottom"/>
            <w:gridSpan w:val="6"/>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8"/>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13,488,540</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91,434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(22,018 )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320,510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Increase in treasury stock resulting</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from shares withheld to cover</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statutory taxes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(106,254 )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(2,771 )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(2,771 )</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(7,031 )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(106,254 )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106,254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(2,771 )</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13,702,796</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(7,031 )</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(134 )</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92,178</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(22,116 )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spacing w:after="0"/>
              <w:rPr>
                <w:sz w:val="15"/>
                <w:szCs w:val="15"/>
                <w:color w:val="auto"/>
              </w:rPr>
            </w:pPr>
          </w:p>
        </w:tc>
        <w:tc>
          <w:tcPr>
            <w:tcW w:w="940" w:type="dxa"/>
            <w:vAlign w:val="bottom"/>
            <w:gridSpan w:val="2"/>
            <w:shd w:val="clear" w:color="auto" w:fill="CFF0FC"/>
          </w:tcPr>
          <w:p>
            <w:pPr>
              <w:spacing w:after="0"/>
              <w:rPr>
                <w:sz w:val="15"/>
                <w:szCs w:val="15"/>
                <w:color w:val="auto"/>
              </w:rPr>
            </w:pPr>
          </w:p>
        </w:tc>
        <w:tc>
          <w:tcPr>
            <w:tcW w:w="260" w:type="dxa"/>
            <w:vAlign w:val="bottom"/>
            <w:gridSpan w:val="2"/>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13,956,404</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92,481</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(21,402 )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10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Increase in treasury stock resulting</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0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from shares withheld to cover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statutory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(2,633 )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(55,018 )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(940 )</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(940 )</w:t>
            </w: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(54,913 )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(938 )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13,911,691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(2,738 )</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(52 )</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95,104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(19,298 )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10560"/>
          </w:cols>
          <w:pgMar w:left="660" w:top="735" w:right="68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RED VIOLET,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300" w:type="dxa"/>
            <w:vAlign w:val="bottom"/>
          </w:tcPr>
          <w:p>
            <w:pPr>
              <w:spacing w:after="0"/>
              <w:rPr>
                <w:sz w:val="15"/>
                <w:szCs w:val="15"/>
                <w:color w:val="auto"/>
              </w:rPr>
            </w:pPr>
          </w:p>
        </w:tc>
        <w:tc>
          <w:tcPr>
            <w:tcW w:w="266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7300" w:type="dxa"/>
            <w:vAlign w:val="bottom"/>
          </w:tcPr>
          <w:p>
            <w:pPr>
              <w:spacing w:after="0"/>
              <w:rPr>
                <w:sz w:val="16"/>
                <w:szCs w:val="16"/>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00" w:type="dxa"/>
            <w:vAlign w:val="bottom"/>
          </w:tcPr>
          <w:p>
            <w:pPr>
              <w:spacing w:after="0"/>
              <w:rPr>
                <w:sz w:val="17"/>
                <w:szCs w:val="17"/>
                <w:color w:val="auto"/>
              </w:rPr>
            </w:pP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80" w:type="dxa"/>
            <w:vAlign w:val="bottom"/>
          </w:tcPr>
          <w:p>
            <w:pPr>
              <w:spacing w:after="0"/>
              <w:rPr>
                <w:sz w:val="17"/>
                <w:szCs w:val="17"/>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 of long-lived assets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bad debts</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lease expenses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7"/>
                <w:szCs w:val="17"/>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shd w:val="clear" w:color="auto" w:fill="CFF0FC"/>
          </w:tcPr>
          <w:p>
            <w:pPr>
              <w:spacing w:after="0"/>
              <w:rPr>
                <w:sz w:val="23"/>
                <w:szCs w:val="23"/>
                <w:color w:val="auto"/>
              </w:rPr>
            </w:pPr>
          </w:p>
        </w:tc>
        <w:tc>
          <w:tcPr>
            <w:tcW w:w="620" w:type="dxa"/>
            <w:vAlign w:val="bottom"/>
            <w:gridSpan w:val="2"/>
            <w:shd w:val="clear" w:color="auto" w:fill="CFF0FC"/>
          </w:tcPr>
          <w:p>
            <w:pPr>
              <w:jc w:val="right"/>
              <w:ind w:right="40"/>
              <w:spacing w:after="0" w:line="265" w:lineRule="exact"/>
              <w:rPr>
                <w:sz w:val="20"/>
                <w:szCs w:val="20"/>
                <w:color w:val="auto"/>
              </w:rPr>
            </w:pPr>
            <w:r>
              <w:rPr>
                <w:rFonts w:ascii="Times New Roman" w:cs="Times New Roman" w:eastAsia="Times New Roman" w:hAnsi="Times New Roman"/>
                <w:sz w:val="15"/>
                <w:szCs w:val="15"/>
                <w:color w:val="auto"/>
              </w:rPr>
              <w:t xml:space="preserve">(1,810 </w:t>
            </w:r>
            <w:r>
              <w:rPr>
                <w:rFonts w:ascii="Times New Roman" w:cs="Times New Roman" w:eastAsia="Times New Roman" w:hAnsi="Times New Roman"/>
                <w:sz w:val="30"/>
                <w:szCs w:val="30"/>
                <w:color w:val="auto"/>
                <w:vertAlign w:val="superscript"/>
              </w:rPr>
              <w:t>)</w:t>
            </w:r>
          </w:p>
        </w:tc>
        <w:tc>
          <w:tcPr>
            <w:tcW w:w="18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600" w:type="dxa"/>
            <w:vAlign w:val="bottom"/>
            <w:gridSpan w:val="2"/>
            <w:shd w:val="clear" w:color="auto" w:fill="CFF0FC"/>
          </w:tcPr>
          <w:p>
            <w:pPr>
              <w:jc w:val="right"/>
              <w:ind w:right="20"/>
              <w:spacing w:after="0" w:line="265" w:lineRule="exact"/>
              <w:rPr>
                <w:sz w:val="20"/>
                <w:szCs w:val="20"/>
                <w:color w:val="auto"/>
              </w:rPr>
            </w:pPr>
            <w:r>
              <w:rPr>
                <w:rFonts w:ascii="Times New Roman" w:cs="Times New Roman" w:eastAsia="Times New Roman" w:hAnsi="Times New Roman"/>
                <w:sz w:val="15"/>
                <w:szCs w:val="15"/>
                <w:color w:val="auto"/>
              </w:rPr>
              <w:t xml:space="preserve">(482 </w:t>
            </w:r>
            <w:r>
              <w:rPr>
                <w:rFonts w:ascii="Times New Roman" w:cs="Times New Roman" w:eastAsia="Times New Roman" w:hAnsi="Times New Roman"/>
                <w:sz w:val="30"/>
                <w:szCs w:val="30"/>
                <w:color w:val="auto"/>
                <w:vertAlign w:val="superscript"/>
              </w:rPr>
              <w:t>)</w:t>
            </w: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(554 )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(354 )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(164 )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(535 )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(1,451 )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(337 )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(300 )</w:t>
            </w: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80" w:type="dxa"/>
            <w:vAlign w:val="bottom"/>
          </w:tcPr>
          <w:p>
            <w:pPr>
              <w:spacing w:after="0"/>
              <w:rPr>
                <w:sz w:val="17"/>
                <w:szCs w:val="17"/>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Capitalized costs included in intangible assets</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(4,509 )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(3,893 )</w:t>
            </w: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(4,560 )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(4,114 )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vesting of restricted stock units</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(2,771 )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(910 )</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(960 )</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(2,771 )</w:t>
            </w: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940" w:type="dxa"/>
            <w:vAlign w:val="bottom"/>
            <w:shd w:val="clear" w:color="auto" w:fill="CFF0FC"/>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(442 )</w:t>
            </w:r>
          </w:p>
        </w:tc>
        <w:tc>
          <w:tcPr>
            <w:tcW w:w="11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(1,930 )</w:t>
            </w: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34,258</w:t>
            </w:r>
          </w:p>
        </w:tc>
        <w:tc>
          <w:tcPr>
            <w:tcW w:w="80" w:type="dxa"/>
            <w:vAlign w:val="bottom"/>
          </w:tcPr>
          <w:p>
            <w:pPr>
              <w:spacing w:after="0"/>
              <w:rPr>
                <w:sz w:val="17"/>
                <w:szCs w:val="17"/>
                <w:color w:val="auto"/>
              </w:rPr>
            </w:pPr>
          </w:p>
        </w:tc>
      </w:tr>
      <w:tr>
        <w:trPr>
          <w:trHeight w:val="24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940" w:type="dxa"/>
            <w:vAlign w:val="bottom"/>
            <w:shd w:val="clear" w:color="auto" w:fill="CFF0FC"/>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31,368</w:t>
            </w:r>
          </w:p>
        </w:tc>
        <w:tc>
          <w:tcPr>
            <w:tcW w:w="1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32,328</w:t>
            </w:r>
          </w:p>
        </w:tc>
        <w:tc>
          <w:tcPr>
            <w:tcW w:w="80" w:type="dxa"/>
            <w:vAlign w:val="bottom"/>
            <w:shd w:val="clear" w:color="auto" w:fill="CFF0FC"/>
          </w:tcPr>
          <w:p>
            <w:pPr>
              <w:spacing w:after="0"/>
              <w:rPr>
                <w:sz w:val="21"/>
                <w:szCs w:val="21"/>
                <w:color w:val="auto"/>
              </w:rPr>
            </w:pPr>
          </w:p>
        </w:tc>
      </w:tr>
      <w:tr>
        <w:trPr>
          <w:trHeight w:val="180"/>
        </w:trPr>
        <w:tc>
          <w:tcPr>
            <w:tcW w:w="7300" w:type="dxa"/>
            <w:vAlign w:val="bottom"/>
            <w:tcBorders>
              <w:top w:val="single" w:sz="8" w:color="CFF0FC"/>
            </w:tcBorders>
          </w:tcPr>
          <w:p>
            <w:pPr>
              <w:ind w:left="20"/>
              <w:spacing w:after="0" w:line="180" w:lineRule="exact"/>
              <w:rPr>
                <w:sz w:val="20"/>
                <w:szCs w:val="20"/>
                <w:color w:val="auto"/>
              </w:rPr>
            </w:pPr>
            <w:r>
              <w:rPr>
                <w:rFonts w:ascii="Times New Roman" w:cs="Times New Roman" w:eastAsia="Times New Roman" w:hAnsi="Times New Roman"/>
                <w:sz w:val="16"/>
                <w:szCs w:val="16"/>
                <w:color w:val="auto"/>
              </w:rPr>
              <w:t>SUPPLEMENTAL DISCLOSURE INFORMATION</w:t>
            </w: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940" w:type="dxa"/>
            <w:vAlign w:val="bottom"/>
            <w:shd w:val="clear" w:color="auto" w:fill="CFF0FC"/>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0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capitalized in intangible assets</w:t>
            </w:r>
          </w:p>
        </w:tc>
        <w:tc>
          <w:tcPr>
            <w:tcW w:w="940" w:type="dxa"/>
            <w:vAlign w:val="bottom"/>
            <w:shd w:val="clear" w:color="auto" w:fill="CFF0FC"/>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shd w:val="clear" w:color="auto" w:fill="CFF0FC"/>
          </w:tcPr>
          <w:p>
            <w:pPr>
              <w:spacing w:after="0"/>
              <w:rPr>
                <w:sz w:val="17"/>
                <w:szCs w:val="17"/>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94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Pr>
          <w:p>
            <w:pPr>
              <w:spacing w:after="0"/>
              <w:rPr>
                <w:sz w:val="17"/>
                <w:szCs w:val="17"/>
                <w:color w:val="auto"/>
              </w:rPr>
            </w:pPr>
          </w:p>
        </w:tc>
        <w:tc>
          <w:tcPr>
            <w:tcW w:w="11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80" w:type="dxa"/>
            <w:vAlign w:val="bottom"/>
          </w:tcPr>
          <w:p>
            <w:pPr>
              <w:spacing w:after="0"/>
              <w:rPr>
                <w:sz w:val="17"/>
                <w:szCs w:val="17"/>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10560"/>
          </w:cols>
          <w:pgMar w:left="660" w:top="735" w:right="68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RED VIOLET,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Summary of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Basis of preparation</w:t>
      </w:r>
    </w:p>
    <w:p>
      <w:pPr>
        <w:spacing w:after="0" w:line="15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0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2023.</w:t>
      </w:r>
    </w:p>
    <w:p>
      <w:pPr>
        <w:spacing w:after="0" w:line="12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The information included in this quarterly report on Form 10 -Q should be read in conjunction with the consolidated financial statements and accompanying notes included in the Company’s Annual Report on Form 10-K for the year ended December 31, 2022 (“Form 10-K”).</w:t>
      </w:r>
    </w:p>
    <w:p>
      <w:pPr>
        <w:spacing w:after="0" w:line="1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condensed consolidated balance sheet as of December 31, 2022 included herein was derived from the audited financial statements as of that date included in the Form 10-K, but does not include all disclosures required by US GAAP.</w:t>
      </w:r>
    </w:p>
    <w:p>
      <w:pPr>
        <w:spacing w:after="0" w:line="117" w:lineRule="exact"/>
        <w:rPr>
          <w:sz w:val="20"/>
          <w:szCs w:val="20"/>
          <w:color w:val="auto"/>
        </w:rPr>
      </w:pPr>
    </w:p>
    <w:p>
      <w:pPr>
        <w:ind w:right="2200"/>
        <w:spacing w:after="0" w:line="439" w:lineRule="auto"/>
        <w:rPr>
          <w:sz w:val="20"/>
          <w:szCs w:val="20"/>
          <w:color w:val="auto"/>
        </w:rPr>
      </w:pPr>
      <w:r>
        <w:rPr>
          <w:rFonts w:ascii="Times New Roman" w:cs="Times New Roman" w:eastAsia="Times New Roman" w:hAnsi="Times New Roman"/>
          <w:sz w:val="16"/>
          <w:szCs w:val="16"/>
          <w:color w:val="auto"/>
        </w:rPr>
        <w:t>The Company has only one operating segment, as defined by Accounting Standards Codification (“ASC”) 280,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Principles of consolidation</w:t>
      </w:r>
    </w:p>
    <w:p>
      <w:pPr>
        <w:spacing w:after="0" w:line="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Recently issued accounting standards</w:t>
      </w:r>
    </w:p>
    <w:p>
      <w:pPr>
        <w:spacing w:after="0" w:line="156"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6"/>
          <w:szCs w:val="16"/>
          <w:color w:val="231F20"/>
        </w:rPr>
        <w:t>As an emerging growth company, the Company has left open the opportunity to take advantage of the extended transition period provided to emerging growth companies in Section 13(a) of the Securities Exchange Act of 1934, as amended (the “Exchange Act”), however, it is the Company’s present intention to adopt any applicable new accounting standards timely.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Earnings (loss) per share</w:t>
      </w:r>
    </w:p>
    <w:p>
      <w:pPr>
        <w:spacing w:after="0" w:line="11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Basic earnings (loss) per share is computed by dividing net income (loss) by the weighted average number of shares of common stock outstanding during the periods. Diluted earnings (loss)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6"/>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220"/>
        </w:trPr>
        <w:tc>
          <w:tcPr>
            <w:tcW w:w="3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9"/>
                <w:szCs w:val="19"/>
                <w:color w:val="auto"/>
              </w:rPr>
            </w:pPr>
          </w:p>
        </w:tc>
      </w:tr>
      <w:tr>
        <w:trPr>
          <w:trHeight w:val="208"/>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4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50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r>
      <w:tr>
        <w:trPr>
          <w:trHeight w:val="20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13,961,862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13,776,479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13,979,411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13,660,686</w:t>
            </w:r>
          </w:p>
        </w:tc>
        <w:tc>
          <w:tcPr>
            <w:tcW w:w="80" w:type="dxa"/>
            <w:vAlign w:val="bottom"/>
            <w:shd w:val="clear" w:color="auto" w:fill="CFF0FC"/>
          </w:tcPr>
          <w:p>
            <w:pPr>
              <w:spacing w:after="0"/>
              <w:rPr>
                <w:sz w:val="17"/>
                <w:szCs w:val="17"/>
                <w:color w:val="auto"/>
              </w:rPr>
            </w:pPr>
          </w:p>
        </w:tc>
      </w:tr>
      <w:tr>
        <w:trPr>
          <w:trHeight w:val="204"/>
        </w:trPr>
        <w:tc>
          <w:tcPr>
            <w:tcW w:w="390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21"/>
                <w:szCs w:val="21"/>
                <w:color w:val="auto"/>
                <w:vertAlign w:val="superscript"/>
              </w:rPr>
              <w:t>(1)</w:t>
            </w: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13,776,479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14,180,614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13,660,686</w:t>
            </w:r>
          </w:p>
        </w:tc>
        <w:tc>
          <w:tcPr>
            <w:tcW w:w="80" w:type="dxa"/>
            <w:vAlign w:val="bottom"/>
          </w:tcPr>
          <w:p>
            <w:pPr>
              <w:spacing w:after="0"/>
              <w:rPr>
                <w:sz w:val="17"/>
                <w:szCs w:val="17"/>
                <w:color w:val="auto"/>
              </w:rPr>
            </w:pPr>
          </w:p>
        </w:tc>
      </w:tr>
      <w:tr>
        <w:trPr>
          <w:trHeight w:val="204"/>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40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(0.01 )</w:t>
            </w:r>
          </w:p>
        </w:tc>
      </w:tr>
      <w:tr>
        <w:trPr>
          <w:trHeight w:val="20"/>
        </w:trPr>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0"/>
        </w:trPr>
        <w:tc>
          <w:tcPr>
            <w:tcW w:w="390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(0.01 )</w:t>
            </w:r>
          </w:p>
        </w:tc>
        <w:tc>
          <w:tcPr>
            <w:tcW w:w="3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0.15</w:t>
            </w:r>
          </w:p>
        </w:tc>
        <w:tc>
          <w:tcPr>
            <w:tcW w:w="46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(0.01 )</w:t>
            </w: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539"/>
        </w:trPr>
        <w:tc>
          <w:tcPr>
            <w:tcW w:w="3900" w:type="dxa"/>
            <w:vAlign w:val="bottom"/>
          </w:tcPr>
          <w:p>
            <w:pPr>
              <w:spacing w:after="0"/>
              <w:rPr>
                <w:sz w:val="24"/>
                <w:szCs w:val="24"/>
                <w:color w:val="auto"/>
              </w:rPr>
            </w:pPr>
          </w:p>
        </w:tc>
        <w:tc>
          <w:tcPr>
            <w:tcW w:w="16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4"/>
        </w:trPr>
        <w:tc>
          <w:tcPr>
            <w:tcW w:w="3900" w:type="dxa"/>
            <w:vAlign w:val="bottom"/>
            <w:tcBorders>
              <w:bottom w:val="single" w:sz="8" w:color="EEEEEE"/>
            </w:tcBorders>
          </w:tcPr>
          <w:p>
            <w:pPr>
              <w:spacing w:after="0"/>
              <w:rPr>
                <w:sz w:val="6"/>
                <w:szCs w:val="6"/>
                <w:color w:val="auto"/>
              </w:rPr>
            </w:pPr>
          </w:p>
        </w:tc>
        <w:tc>
          <w:tcPr>
            <w:tcW w:w="140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880" w:type="dxa"/>
            <w:vAlign w:val="bottom"/>
            <w:tcBorders>
              <w:bottom w:val="single" w:sz="8" w:color="EEEEEE"/>
            </w:tcBorders>
          </w:tcPr>
          <w:p>
            <w:pPr>
              <w:spacing w:after="0"/>
              <w:rPr>
                <w:sz w:val="6"/>
                <w:szCs w:val="6"/>
                <w:color w:val="auto"/>
              </w:rPr>
            </w:pPr>
          </w:p>
        </w:tc>
        <w:tc>
          <w:tcPr>
            <w:tcW w:w="12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88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860" w:type="dxa"/>
            <w:vAlign w:val="bottom"/>
            <w:tcBorders>
              <w:bottom w:val="single" w:sz="8" w:color="EEEEEE"/>
            </w:tcBorders>
          </w:tcPr>
          <w:p>
            <w:pPr>
              <w:spacing w:after="0"/>
              <w:rPr>
                <w:sz w:val="6"/>
                <w:szCs w:val="6"/>
                <w:color w:val="auto"/>
              </w:rPr>
            </w:pPr>
          </w:p>
        </w:tc>
        <w:tc>
          <w:tcPr>
            <w:tcW w:w="220" w:type="dxa"/>
            <w:vAlign w:val="bottom"/>
            <w:tcBorders>
              <w:bottom w:val="single" w:sz="8" w:color="EEEEEE"/>
            </w:tcBorders>
          </w:tcPr>
          <w:p>
            <w:pPr>
              <w:spacing w:after="0"/>
              <w:rPr>
                <w:sz w:val="6"/>
                <w:szCs w:val="6"/>
                <w:color w:val="auto"/>
              </w:rPr>
            </w:pPr>
          </w:p>
        </w:tc>
        <w:tc>
          <w:tcPr>
            <w:tcW w:w="240" w:type="dxa"/>
            <w:vAlign w:val="bottom"/>
            <w:tcBorders>
              <w:bottom w:val="single" w:sz="8" w:color="EEEEEE"/>
            </w:tcBorders>
          </w:tcPr>
          <w:p>
            <w:pPr>
              <w:spacing w:after="0"/>
              <w:rPr>
                <w:sz w:val="6"/>
                <w:szCs w:val="6"/>
                <w:color w:val="auto"/>
              </w:rPr>
            </w:pPr>
          </w:p>
        </w:tc>
        <w:tc>
          <w:tcPr>
            <w:tcW w:w="88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60"/>
          </w:cols>
          <w:pgMar w:left="660" w:top="735" w:right="680" w:bottom="1440" w:gutter="0" w:footer="0" w:header="0"/>
        </w:sectPr>
      </w:pPr>
    </w:p>
    <w:bookmarkStart w:id="7" w:name="page8"/>
    <w:bookmarkEnd w:id="7"/>
    <w:p>
      <w:pPr>
        <w:ind w:right="240"/>
        <w:spacing w:after="0" w:line="188" w:lineRule="exact"/>
        <w:rPr>
          <w:sz w:val="20"/>
          <w:szCs w:val="20"/>
          <w:color w:val="auto"/>
        </w:rPr>
      </w:pPr>
      <w:r>
        <w:rPr>
          <w:rFonts w:ascii="Arial Unicode MS" w:cs="Arial Unicode MS" w:eastAsia="Arial Unicode MS" w:hAnsi="Arial Unicode MS"/>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(1)For the three and six months ended June 30, 2023, diluted weighted average shares outstanding are calculated by the inclusion of unvested restricted stock units ("RSUs"). For the three and six months ended June 30, 2022, a total of 1,070,368 unvested RSUs have been excluded from the diluted loss per share, as the impact is anti-dilutive.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Intangible assets, net</w:t>
      </w:r>
    </w:p>
    <w:p>
      <w:pPr>
        <w:spacing w:after="0" w:line="143" w:lineRule="exact"/>
        <w:rPr>
          <w:sz w:val="20"/>
          <w:szCs w:val="20"/>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Intangible assets other than goodwill consist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9"/>
        </w:trPr>
        <w:tc>
          <w:tcPr>
            <w:tcW w:w="2840" w:type="dxa"/>
            <w:vAlign w:val="bottom"/>
          </w:tcPr>
          <w:p>
            <w:pPr>
              <w:spacing w:after="0"/>
              <w:rPr>
                <w:sz w:val="12"/>
                <w:szCs w:val="12"/>
                <w:color w:val="auto"/>
              </w:rPr>
            </w:pPr>
          </w:p>
        </w:tc>
        <w:tc>
          <w:tcPr>
            <w:tcW w:w="1620" w:type="dxa"/>
            <w:vAlign w:val="bottom"/>
          </w:tcPr>
          <w:p>
            <w:pPr>
              <w:jc w:val="center"/>
              <w:ind w:left="194"/>
              <w:spacing w:after="0"/>
              <w:rPr>
                <w:sz w:val="20"/>
                <w:szCs w:val="20"/>
                <w:color w:val="auto"/>
              </w:rPr>
            </w:pPr>
            <w:r>
              <w:rPr>
                <w:rFonts w:ascii="Times New Roman" w:cs="Times New Roman" w:eastAsia="Times New Roman" w:hAnsi="Times New Roman"/>
                <w:sz w:val="12"/>
                <w:szCs w:val="12"/>
                <w:b w:val="1"/>
                <w:bCs w:val="1"/>
                <w:color w:val="auto"/>
                <w:w w:val="98"/>
              </w:rPr>
              <w:t>Amortization</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4"/>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5"/>
        </w:trPr>
        <w:tc>
          <w:tcPr>
            <w:tcW w:w="28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620" w:type="dxa"/>
            <w:vAlign w:val="bottom"/>
          </w:tcPr>
          <w:p>
            <w:pPr>
              <w:jc w:val="center"/>
              <w:ind w:left="174"/>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Gross 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amortization</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Net</w:t>
            </w: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Gross 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Net</w:t>
            </w:r>
          </w:p>
        </w:tc>
      </w:tr>
      <w:tr>
        <w:trPr>
          <w:trHeight w:val="230"/>
        </w:trPr>
        <w:tc>
          <w:tcPr>
            <w:tcW w:w="2840" w:type="dxa"/>
            <w:vAlign w:val="bottom"/>
            <w:shd w:val="clear" w:color="auto" w:fill="CFF0FC"/>
          </w:tcPr>
          <w:p>
            <w:pPr>
              <w:ind w:left="20"/>
              <w:spacing w:after="0" w:line="210" w:lineRule="exact"/>
              <w:rPr>
                <w:sz w:val="20"/>
                <w:szCs w:val="20"/>
                <w:color w:val="auto"/>
              </w:rPr>
            </w:pPr>
            <w:r>
              <w:rPr>
                <w:rFonts w:ascii="Arial Unicode MS" w:cs="Arial Unicode MS" w:eastAsia="Arial Unicode MS" w:hAnsi="Arial Unicode MS"/>
                <w:sz w:val="16"/>
                <w:szCs w:val="16"/>
                <w:color w:val="auto"/>
              </w:rPr>
              <w:t>Software developed for internal use</w:t>
            </w:r>
          </w:p>
        </w:tc>
        <w:tc>
          <w:tcPr>
            <w:tcW w:w="1620" w:type="dxa"/>
            <w:vAlign w:val="bottom"/>
            <w:shd w:val="clear" w:color="auto" w:fill="CFF0FC"/>
          </w:tcPr>
          <w:p>
            <w:pPr>
              <w:jc w:val="center"/>
              <w:ind w:left="174"/>
              <w:spacing w:after="0" w:line="210" w:lineRule="exact"/>
              <w:rPr>
                <w:sz w:val="20"/>
                <w:szCs w:val="20"/>
                <w:color w:val="auto"/>
              </w:rPr>
            </w:pPr>
            <w:r>
              <w:rPr>
                <w:rFonts w:ascii="Arial Unicode MS" w:cs="Arial Unicode MS" w:eastAsia="Arial Unicode MS" w:hAnsi="Arial Unicode MS"/>
                <w:sz w:val="16"/>
                <w:szCs w:val="16"/>
                <w:color w:val="auto"/>
                <w:w w:val="87"/>
              </w:rPr>
              <w:t>5-10 years</w:t>
            </w:r>
          </w:p>
        </w:tc>
        <w:tc>
          <w:tcPr>
            <w:tcW w:w="240" w:type="dxa"/>
            <w:vAlign w:val="bottom"/>
            <w:shd w:val="clear" w:color="auto" w:fill="CFF0FC"/>
          </w:tcPr>
          <w:p>
            <w:pPr>
              <w:jc w:val="right"/>
              <w:ind w:right="94"/>
              <w:spacing w:after="0" w:line="188" w:lineRule="exact"/>
              <w:rPr>
                <w:sz w:val="20"/>
                <w:szCs w:val="20"/>
                <w:color w:val="auto"/>
              </w:rPr>
            </w:pPr>
            <w:r>
              <w:rPr>
                <w:rFonts w:ascii="Arial Unicode MS" w:cs="Arial Unicode MS" w:eastAsia="Arial Unicode MS" w:hAnsi="Arial Unicode MS"/>
                <w:sz w:val="14"/>
                <w:szCs w:val="14"/>
                <w:color w:val="auto"/>
                <w:w w:val="76"/>
              </w:rPr>
              <w:t>$</w:t>
            </w:r>
          </w:p>
        </w:tc>
        <w:tc>
          <w:tcPr>
            <w:tcW w:w="580" w:type="dxa"/>
            <w:vAlign w:val="bottom"/>
            <w:shd w:val="clear" w:color="auto" w:fill="CFF0FC"/>
          </w:tcPr>
          <w:p>
            <w:pPr>
              <w:jc w:val="right"/>
              <w:spacing w:after="0" w:line="210" w:lineRule="exact"/>
              <w:rPr>
                <w:sz w:val="20"/>
                <w:szCs w:val="20"/>
                <w:color w:val="auto"/>
              </w:rPr>
            </w:pPr>
            <w:r>
              <w:rPr>
                <w:rFonts w:ascii="Arial Unicode MS" w:cs="Arial Unicode MS" w:eastAsia="Arial Unicode MS" w:hAnsi="Arial Unicode MS"/>
                <w:sz w:val="16"/>
                <w:szCs w:val="16"/>
                <w:color w:val="auto"/>
              </w:rPr>
              <w:t>58,059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line="188" w:lineRule="exact"/>
              <w:rPr>
                <w:sz w:val="20"/>
                <w:szCs w:val="20"/>
                <w:color w:val="auto"/>
              </w:rPr>
            </w:pPr>
            <w:r>
              <w:rPr>
                <w:rFonts w:ascii="Arial Unicode MS" w:cs="Arial Unicode MS" w:eastAsia="Arial Unicode MS" w:hAnsi="Arial Unicode MS"/>
                <w:sz w:val="14"/>
                <w:szCs w:val="14"/>
                <w:color w:val="auto"/>
                <w:w w:val="76"/>
              </w:rPr>
              <w:t>$</w:t>
            </w:r>
          </w:p>
        </w:tc>
        <w:tc>
          <w:tcPr>
            <w:tcW w:w="900" w:type="dxa"/>
            <w:vAlign w:val="bottom"/>
            <w:gridSpan w:val="2"/>
            <w:shd w:val="clear" w:color="auto" w:fill="CFF0FC"/>
          </w:tcPr>
          <w:p>
            <w:pPr>
              <w:jc w:val="right"/>
              <w:ind w:right="40"/>
              <w:spacing w:after="0" w:line="210" w:lineRule="exact"/>
              <w:rPr>
                <w:sz w:val="20"/>
                <w:szCs w:val="20"/>
                <w:color w:val="auto"/>
              </w:rPr>
            </w:pPr>
            <w:r>
              <w:rPr>
                <w:rFonts w:ascii="Arial Unicode MS" w:cs="Arial Unicode MS" w:eastAsia="Arial Unicode MS" w:hAnsi="Arial Unicode MS"/>
                <w:sz w:val="16"/>
                <w:szCs w:val="16"/>
                <w:color w:val="auto"/>
              </w:rPr>
              <w:t>(24,884 )</w:t>
            </w:r>
          </w:p>
        </w:tc>
        <w:tc>
          <w:tcPr>
            <w:tcW w:w="320" w:type="dxa"/>
            <w:vAlign w:val="bottom"/>
            <w:gridSpan w:val="2"/>
            <w:shd w:val="clear" w:color="auto" w:fill="CFF0FC"/>
          </w:tcPr>
          <w:p>
            <w:pPr>
              <w:jc w:val="right"/>
              <w:ind w:right="120"/>
              <w:spacing w:after="0" w:line="210" w:lineRule="exact"/>
              <w:rPr>
                <w:sz w:val="20"/>
                <w:szCs w:val="20"/>
                <w:color w:val="auto"/>
              </w:rPr>
            </w:pPr>
            <w:r>
              <w:rPr>
                <w:rFonts w:ascii="Arial Unicode MS" w:cs="Arial Unicode MS" w:eastAsia="Arial Unicode MS" w:hAnsi="Arial Unicode MS"/>
                <w:sz w:val="16"/>
                <w:szCs w:val="16"/>
                <w:color w:val="auto"/>
              </w:rPr>
              <w:t>$</w:t>
            </w:r>
          </w:p>
        </w:tc>
        <w:tc>
          <w:tcPr>
            <w:tcW w:w="620" w:type="dxa"/>
            <w:vAlign w:val="bottom"/>
            <w:shd w:val="clear" w:color="auto" w:fill="CFF0FC"/>
          </w:tcPr>
          <w:p>
            <w:pPr>
              <w:jc w:val="right"/>
              <w:spacing w:after="0" w:line="210" w:lineRule="exact"/>
              <w:rPr>
                <w:sz w:val="20"/>
                <w:szCs w:val="20"/>
                <w:color w:val="auto"/>
              </w:rPr>
            </w:pPr>
            <w:r>
              <w:rPr>
                <w:rFonts w:ascii="Arial Unicode MS" w:cs="Arial Unicode MS" w:eastAsia="Arial Unicode MS" w:hAnsi="Arial Unicode MS"/>
                <w:sz w:val="16"/>
                <w:szCs w:val="16"/>
                <w:color w:val="auto"/>
              </w:rPr>
              <w:t>33,175</w:t>
            </w:r>
          </w:p>
        </w:tc>
        <w:tc>
          <w:tcPr>
            <w:tcW w:w="1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80"/>
              <w:spacing w:after="0" w:line="210" w:lineRule="exact"/>
              <w:rPr>
                <w:sz w:val="20"/>
                <w:szCs w:val="20"/>
                <w:color w:val="auto"/>
              </w:rPr>
            </w:pPr>
            <w:r>
              <w:rPr>
                <w:rFonts w:ascii="Arial Unicode MS" w:cs="Arial Unicode MS" w:eastAsia="Arial Unicode MS" w:hAnsi="Arial Unicode MS"/>
                <w:sz w:val="16"/>
                <w:szCs w:val="16"/>
                <w:color w:val="auto"/>
              </w:rPr>
              <w:t>$</w:t>
            </w:r>
          </w:p>
        </w:tc>
        <w:tc>
          <w:tcPr>
            <w:tcW w:w="580" w:type="dxa"/>
            <w:vAlign w:val="bottom"/>
            <w:shd w:val="clear" w:color="auto" w:fill="CFF0FC"/>
          </w:tcPr>
          <w:p>
            <w:pPr>
              <w:jc w:val="right"/>
              <w:spacing w:after="0" w:line="210" w:lineRule="exact"/>
              <w:rPr>
                <w:sz w:val="20"/>
                <w:szCs w:val="20"/>
                <w:color w:val="auto"/>
              </w:rPr>
            </w:pPr>
            <w:r>
              <w:rPr>
                <w:rFonts w:ascii="Arial Unicode MS" w:cs="Arial Unicode MS" w:eastAsia="Arial Unicode MS" w:hAnsi="Arial Unicode MS"/>
                <w:sz w:val="16"/>
                <w:szCs w:val="16"/>
                <w:color w:val="auto"/>
              </w:rPr>
              <w:t>52,678</w:t>
            </w:r>
          </w:p>
        </w:tc>
        <w:tc>
          <w:tcPr>
            <w:tcW w:w="280" w:type="dxa"/>
            <w:vAlign w:val="bottom"/>
            <w:gridSpan w:val="2"/>
            <w:shd w:val="clear" w:color="auto" w:fill="CFF0FC"/>
          </w:tcPr>
          <w:p>
            <w:pPr>
              <w:jc w:val="right"/>
              <w:spacing w:after="0" w:line="210" w:lineRule="exact"/>
              <w:rPr>
                <w:sz w:val="20"/>
                <w:szCs w:val="20"/>
                <w:color w:val="auto"/>
              </w:rPr>
            </w:pPr>
            <w:r>
              <w:rPr>
                <w:rFonts w:ascii="Arial Unicode MS" w:cs="Arial Unicode MS" w:eastAsia="Arial Unicode MS" w:hAnsi="Arial Unicode MS"/>
                <w:sz w:val="16"/>
                <w:szCs w:val="16"/>
                <w:color w:val="auto"/>
              </w:rPr>
              <w:t>$</w:t>
            </w:r>
          </w:p>
        </w:tc>
        <w:tc>
          <w:tcPr>
            <w:tcW w:w="880" w:type="dxa"/>
            <w:vAlign w:val="bottom"/>
            <w:gridSpan w:val="2"/>
            <w:shd w:val="clear" w:color="auto" w:fill="CFF0FC"/>
          </w:tcPr>
          <w:p>
            <w:pPr>
              <w:jc w:val="right"/>
              <w:ind w:right="40"/>
              <w:spacing w:after="0" w:line="210" w:lineRule="exact"/>
              <w:rPr>
                <w:sz w:val="20"/>
                <w:szCs w:val="20"/>
                <w:color w:val="auto"/>
              </w:rPr>
            </w:pPr>
            <w:r>
              <w:rPr>
                <w:rFonts w:ascii="Arial Unicode MS" w:cs="Arial Unicode MS" w:eastAsia="Arial Unicode MS" w:hAnsi="Arial Unicode MS"/>
                <w:sz w:val="16"/>
                <w:szCs w:val="16"/>
                <w:color w:val="auto"/>
              </w:rPr>
              <w:t>(21,031 )</w:t>
            </w:r>
          </w:p>
        </w:tc>
        <w:tc>
          <w:tcPr>
            <w:tcW w:w="280" w:type="dxa"/>
            <w:vAlign w:val="bottom"/>
            <w:gridSpan w:val="2"/>
            <w:shd w:val="clear" w:color="auto" w:fill="CFF0FC"/>
          </w:tcPr>
          <w:p>
            <w:pPr>
              <w:jc w:val="right"/>
              <w:ind w:right="100"/>
              <w:spacing w:after="0" w:line="210" w:lineRule="exact"/>
              <w:rPr>
                <w:sz w:val="20"/>
                <w:szCs w:val="20"/>
                <w:color w:val="auto"/>
              </w:rPr>
            </w:pPr>
            <w:r>
              <w:rPr>
                <w:rFonts w:ascii="Arial Unicode MS" w:cs="Arial Unicode MS" w:eastAsia="Arial Unicode MS" w:hAnsi="Arial Unicode MS"/>
                <w:sz w:val="16"/>
                <w:szCs w:val="16"/>
                <w:color w:val="auto"/>
              </w:rPr>
              <w:t>$</w:t>
            </w:r>
          </w:p>
        </w:tc>
        <w:tc>
          <w:tcPr>
            <w:tcW w:w="600" w:type="dxa"/>
            <w:vAlign w:val="bottom"/>
            <w:shd w:val="clear" w:color="auto" w:fill="CFF0FC"/>
          </w:tcPr>
          <w:p>
            <w:pPr>
              <w:jc w:val="right"/>
              <w:spacing w:after="0" w:line="210" w:lineRule="exact"/>
              <w:rPr>
                <w:sz w:val="20"/>
                <w:szCs w:val="20"/>
                <w:color w:val="auto"/>
              </w:rPr>
            </w:pPr>
            <w:r>
              <w:rPr>
                <w:rFonts w:ascii="Arial Unicode MS" w:cs="Arial Unicode MS" w:eastAsia="Arial Unicode MS" w:hAnsi="Arial Unicode MS"/>
                <w:sz w:val="16"/>
                <w:szCs w:val="16"/>
                <w:color w:val="auto"/>
              </w:rPr>
              <w:t>31,647</w:t>
            </w:r>
          </w:p>
        </w:tc>
        <w:tc>
          <w:tcPr>
            <w:tcW w:w="80" w:type="dxa"/>
            <w:vAlign w:val="bottom"/>
            <w:shd w:val="clear" w:color="auto" w:fill="CFF0FC"/>
          </w:tcPr>
          <w:p>
            <w:pPr>
              <w:spacing w:after="0"/>
              <w:rPr>
                <w:sz w:val="20"/>
                <w:szCs w:val="20"/>
                <w:color w:val="auto"/>
              </w:rPr>
            </w:pP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43" w:lineRule="exact"/>
        <w:rPr>
          <w:sz w:val="20"/>
          <w:szCs w:val="20"/>
          <w:color w:val="auto"/>
        </w:rPr>
      </w:pPr>
    </w:p>
    <w:p>
      <w:pPr>
        <w:ind w:right="140"/>
        <w:spacing w:after="0" w:line="192" w:lineRule="exact"/>
        <w:rPr>
          <w:sz w:val="20"/>
          <w:szCs w:val="20"/>
          <w:color w:val="auto"/>
        </w:rPr>
      </w:pPr>
      <w:r>
        <w:rPr>
          <w:rFonts w:ascii="Arial Unicode MS" w:cs="Arial Unicode MS" w:eastAsia="Arial Unicode MS" w:hAnsi="Arial Unicode MS"/>
          <w:sz w:val="16"/>
          <w:szCs w:val="16"/>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134" w:lineRule="exact"/>
        <w:rPr>
          <w:sz w:val="20"/>
          <w:szCs w:val="20"/>
          <w:color w:val="auto"/>
        </w:rPr>
      </w:pPr>
    </w:p>
    <w:p>
      <w:pPr>
        <w:jc w:val="both"/>
        <w:ind w:right="40"/>
        <w:spacing w:after="0" w:line="188" w:lineRule="exact"/>
        <w:rPr>
          <w:sz w:val="20"/>
          <w:szCs w:val="20"/>
          <w:color w:val="auto"/>
        </w:rPr>
      </w:pPr>
      <w:r>
        <w:rPr>
          <w:rFonts w:ascii="Arial Unicode MS" w:cs="Arial Unicode MS" w:eastAsia="Arial Unicode MS" w:hAnsi="Arial Unicode MS"/>
          <w:sz w:val="14"/>
          <w:szCs w:val="14"/>
          <w:color w:val="auto"/>
        </w:rPr>
        <w:t>Amortization expenses of $1,995 and $1,551 for the three months ended June 30, 2023 and 2022, respectively, and $3,853 and $3,023 for the six months ended June 30, 2023 and 2022, respectively, were included in depreciation and amortization expense. As of June 30, 2023, intangible assets of $4,956, included in the gross amounts of software developed for internal use, have not started amortization, as they are not ready for their intended use.</w:t>
      </w:r>
    </w:p>
    <w:p>
      <w:pPr>
        <w:spacing w:after="0" w:line="133" w:lineRule="exact"/>
        <w:rPr>
          <w:sz w:val="20"/>
          <w:szCs w:val="20"/>
          <w:color w:val="auto"/>
        </w:rPr>
      </w:pPr>
    </w:p>
    <w:p>
      <w:pPr>
        <w:ind w:right="240"/>
        <w:spacing w:after="0" w:line="192" w:lineRule="exact"/>
        <w:rPr>
          <w:sz w:val="20"/>
          <w:szCs w:val="20"/>
          <w:color w:val="auto"/>
        </w:rPr>
      </w:pPr>
      <w:r>
        <w:rPr>
          <w:rFonts w:ascii="Arial Unicode MS" w:cs="Arial Unicode MS" w:eastAsia="Arial Unicode MS" w:hAnsi="Arial Unicode MS"/>
          <w:sz w:val="16"/>
          <w:szCs w:val="16"/>
          <w:color w:val="auto"/>
        </w:rPr>
        <w:t>The Company capitalized costs of software developed for internal use of $2,649 and $2,521 during the three months ended June 30, 2023 and 2022, respectively, and $5,381 and $4,616 during the six months ended June 30, 2023 and 2022, respectively.</w:t>
      </w:r>
    </w:p>
    <w:p>
      <w:pPr>
        <w:spacing w:after="0" w:line="134" w:lineRule="exact"/>
        <w:rPr>
          <w:sz w:val="20"/>
          <w:szCs w:val="20"/>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As of June 30, 2023, estimated amortization expense related to the Company’s intangible assets for the remainder of 2023 through 2028 and thereafter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8"/>
        </w:trPr>
        <w:tc>
          <w:tcPr>
            <w:tcW w:w="8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8800" w:type="dxa"/>
            <w:vAlign w:val="bottom"/>
            <w:shd w:val="clear" w:color="auto" w:fill="CFF0FC"/>
          </w:tcPr>
          <w:p>
            <w:pPr>
              <w:ind w:left="20"/>
              <w:spacing w:after="0" w:line="207" w:lineRule="exact"/>
              <w:rPr>
                <w:sz w:val="20"/>
                <w:szCs w:val="20"/>
                <w:color w:val="auto"/>
              </w:rPr>
            </w:pPr>
            <w:r>
              <w:rPr>
                <w:rFonts w:ascii="Arial Unicode MS" w:cs="Arial Unicode MS" w:eastAsia="Arial Unicode MS" w:hAnsi="Arial Unicode MS"/>
                <w:sz w:val="16"/>
                <w:szCs w:val="16"/>
                <w:color w:val="auto"/>
              </w:rPr>
              <w:t>Remainder of 2023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07" w:lineRule="exact"/>
              <w:rPr>
                <w:sz w:val="20"/>
                <w:szCs w:val="20"/>
                <w:color w:val="auto"/>
              </w:rPr>
            </w:pPr>
            <w:r>
              <w:rPr>
                <w:rFonts w:ascii="Arial Unicode MS" w:cs="Arial Unicode MS" w:eastAsia="Arial Unicode MS" w:hAnsi="Arial Unicode MS"/>
                <w:sz w:val="16"/>
                <w:szCs w:val="16"/>
                <w:color w:val="auto"/>
              </w:rPr>
              <w:t>4,107</w:t>
            </w:r>
          </w:p>
        </w:tc>
        <w:tc>
          <w:tcPr>
            <w:tcW w:w="80" w:type="dxa"/>
            <w:vAlign w:val="bottom"/>
            <w:shd w:val="clear" w:color="auto" w:fill="CFF0FC"/>
          </w:tcPr>
          <w:p>
            <w:pPr>
              <w:spacing w:after="0"/>
              <w:rPr>
                <w:sz w:val="18"/>
                <w:szCs w:val="18"/>
                <w:color w:val="auto"/>
              </w:rPr>
            </w:pPr>
          </w:p>
        </w:tc>
      </w:tr>
      <w:tr>
        <w:trPr>
          <w:trHeight w:val="204"/>
        </w:trPr>
        <w:tc>
          <w:tcPr>
            <w:tcW w:w="8800" w:type="dxa"/>
            <w:vAlign w:val="bottom"/>
          </w:tcPr>
          <w:p>
            <w:pPr>
              <w:ind w:left="20"/>
              <w:spacing w:after="0" w:line="203" w:lineRule="exact"/>
              <w:rPr>
                <w:sz w:val="20"/>
                <w:szCs w:val="20"/>
                <w:color w:val="auto"/>
              </w:rPr>
            </w:pPr>
            <w:r>
              <w:rPr>
                <w:rFonts w:ascii="Arial Unicode MS" w:cs="Arial Unicode MS" w:eastAsia="Arial Unicode MS" w:hAnsi="Arial Unicode MS"/>
                <w:sz w:val="16"/>
                <w:szCs w:val="16"/>
                <w:color w:val="auto"/>
              </w:rPr>
              <w:t>2024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8,462</w:t>
            </w:r>
          </w:p>
        </w:tc>
        <w:tc>
          <w:tcPr>
            <w:tcW w:w="80" w:type="dxa"/>
            <w:vAlign w:val="bottom"/>
          </w:tcPr>
          <w:p>
            <w:pPr>
              <w:spacing w:after="0"/>
              <w:rPr>
                <w:sz w:val="17"/>
                <w:szCs w:val="17"/>
                <w:color w:val="auto"/>
              </w:rPr>
            </w:pPr>
          </w:p>
        </w:tc>
      </w:tr>
      <w:tr>
        <w:trPr>
          <w:trHeight w:val="205"/>
        </w:trPr>
        <w:tc>
          <w:tcPr>
            <w:tcW w:w="8800" w:type="dxa"/>
            <w:vAlign w:val="bottom"/>
            <w:shd w:val="clear" w:color="auto" w:fill="CFF0FC"/>
          </w:tcPr>
          <w:p>
            <w:pPr>
              <w:ind w:left="20"/>
              <w:spacing w:after="0" w:line="203" w:lineRule="exact"/>
              <w:rPr>
                <w:sz w:val="20"/>
                <w:szCs w:val="20"/>
                <w:color w:val="auto"/>
              </w:rPr>
            </w:pPr>
            <w:r>
              <w:rPr>
                <w:rFonts w:ascii="Arial Unicode MS" w:cs="Arial Unicode MS" w:eastAsia="Arial Unicode MS" w:hAnsi="Arial Unicode MS"/>
                <w:sz w:val="16"/>
                <w:szCs w:val="16"/>
                <w:color w:val="auto"/>
              </w:rPr>
              <w:t>2025</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7,296</w:t>
            </w:r>
          </w:p>
        </w:tc>
        <w:tc>
          <w:tcPr>
            <w:tcW w:w="80" w:type="dxa"/>
            <w:vAlign w:val="bottom"/>
            <w:shd w:val="clear" w:color="auto" w:fill="CFF0FC"/>
          </w:tcPr>
          <w:p>
            <w:pPr>
              <w:spacing w:after="0"/>
              <w:rPr>
                <w:sz w:val="17"/>
                <w:szCs w:val="17"/>
                <w:color w:val="auto"/>
              </w:rPr>
            </w:pPr>
          </w:p>
        </w:tc>
      </w:tr>
      <w:tr>
        <w:trPr>
          <w:trHeight w:val="204"/>
        </w:trPr>
        <w:tc>
          <w:tcPr>
            <w:tcW w:w="8800" w:type="dxa"/>
            <w:vAlign w:val="bottom"/>
          </w:tcPr>
          <w:p>
            <w:pPr>
              <w:ind w:left="20"/>
              <w:spacing w:after="0" w:line="203" w:lineRule="exact"/>
              <w:rPr>
                <w:sz w:val="20"/>
                <w:szCs w:val="20"/>
                <w:color w:val="auto"/>
              </w:rPr>
            </w:pPr>
            <w:r>
              <w:rPr>
                <w:rFonts w:ascii="Arial Unicode MS" w:cs="Arial Unicode MS" w:eastAsia="Arial Unicode MS" w:hAnsi="Arial Unicode MS"/>
                <w:sz w:val="16"/>
                <w:szCs w:val="16"/>
                <w:color w:val="auto"/>
              </w:rPr>
              <w:t>2026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5,843</w:t>
            </w:r>
          </w:p>
        </w:tc>
        <w:tc>
          <w:tcPr>
            <w:tcW w:w="80" w:type="dxa"/>
            <w:vAlign w:val="bottom"/>
          </w:tcPr>
          <w:p>
            <w:pPr>
              <w:spacing w:after="0"/>
              <w:rPr>
                <w:sz w:val="17"/>
                <w:szCs w:val="17"/>
                <w:color w:val="auto"/>
              </w:rPr>
            </w:pPr>
          </w:p>
        </w:tc>
      </w:tr>
      <w:tr>
        <w:trPr>
          <w:trHeight w:val="205"/>
        </w:trPr>
        <w:tc>
          <w:tcPr>
            <w:tcW w:w="8800" w:type="dxa"/>
            <w:vAlign w:val="bottom"/>
            <w:shd w:val="clear" w:color="auto" w:fill="CFF0FC"/>
          </w:tcPr>
          <w:p>
            <w:pPr>
              <w:ind w:left="20"/>
              <w:spacing w:after="0" w:line="203" w:lineRule="exact"/>
              <w:rPr>
                <w:sz w:val="20"/>
                <w:szCs w:val="20"/>
                <w:color w:val="auto"/>
              </w:rPr>
            </w:pPr>
            <w:r>
              <w:rPr>
                <w:rFonts w:ascii="Arial Unicode MS" w:cs="Arial Unicode MS" w:eastAsia="Arial Unicode MS" w:hAnsi="Arial Unicode MS"/>
                <w:sz w:val="16"/>
                <w:szCs w:val="16"/>
                <w:color w:val="auto"/>
              </w:rPr>
              <w:t>2027</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4,228</w:t>
            </w:r>
          </w:p>
        </w:tc>
        <w:tc>
          <w:tcPr>
            <w:tcW w:w="80" w:type="dxa"/>
            <w:vAlign w:val="bottom"/>
            <w:shd w:val="clear" w:color="auto" w:fill="CFF0FC"/>
          </w:tcPr>
          <w:p>
            <w:pPr>
              <w:spacing w:after="0"/>
              <w:rPr>
                <w:sz w:val="17"/>
                <w:szCs w:val="17"/>
                <w:color w:val="auto"/>
              </w:rPr>
            </w:pPr>
          </w:p>
        </w:tc>
      </w:tr>
      <w:tr>
        <w:trPr>
          <w:trHeight w:val="204"/>
        </w:trPr>
        <w:tc>
          <w:tcPr>
            <w:tcW w:w="8800" w:type="dxa"/>
            <w:vAlign w:val="bottom"/>
          </w:tcPr>
          <w:p>
            <w:pPr>
              <w:ind w:left="20"/>
              <w:spacing w:after="0" w:line="203" w:lineRule="exact"/>
              <w:rPr>
                <w:sz w:val="20"/>
                <w:szCs w:val="20"/>
                <w:color w:val="auto"/>
              </w:rPr>
            </w:pPr>
            <w:r>
              <w:rPr>
                <w:rFonts w:ascii="Arial Unicode MS" w:cs="Arial Unicode MS" w:eastAsia="Arial Unicode MS" w:hAnsi="Arial Unicode MS"/>
                <w:sz w:val="16"/>
                <w:szCs w:val="16"/>
                <w:color w:val="auto"/>
              </w:rPr>
              <w:t>2028 and thereafter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3,239</w:t>
            </w:r>
          </w:p>
        </w:tc>
        <w:tc>
          <w:tcPr>
            <w:tcW w:w="80" w:type="dxa"/>
            <w:vAlign w:val="bottom"/>
          </w:tcPr>
          <w:p>
            <w:pPr>
              <w:spacing w:after="0"/>
              <w:rPr>
                <w:sz w:val="17"/>
                <w:szCs w:val="17"/>
                <w:color w:val="auto"/>
              </w:rPr>
            </w:pPr>
          </w:p>
        </w:tc>
      </w:tr>
      <w:tr>
        <w:trPr>
          <w:trHeight w:val="244"/>
        </w:trPr>
        <w:tc>
          <w:tcPr>
            <w:tcW w:w="8800" w:type="dxa"/>
            <w:vAlign w:val="bottom"/>
            <w:tcBorders>
              <w:bottom w:val="single" w:sz="8" w:color="CFF0FC"/>
            </w:tcBorders>
            <w:shd w:val="clear" w:color="auto" w:fill="CFF0FC"/>
          </w:tcPr>
          <w:p>
            <w:pPr>
              <w:ind w:left="20"/>
              <w:spacing w:after="0" w:line="203" w:lineRule="exact"/>
              <w:rPr>
                <w:sz w:val="20"/>
                <w:szCs w:val="20"/>
                <w:color w:val="auto"/>
              </w:rPr>
            </w:pPr>
            <w:r>
              <w:rPr>
                <w:rFonts w:ascii="Arial Unicode MS" w:cs="Arial Unicode MS" w:eastAsia="Arial Unicode MS" w:hAnsi="Arial Unicode MS"/>
                <w:sz w:val="16"/>
                <w:szCs w:val="16"/>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2"/>
              <w:spacing w:after="0" w:line="203" w:lineRule="exact"/>
              <w:rPr>
                <w:sz w:val="20"/>
                <w:szCs w:val="20"/>
                <w:color w:val="auto"/>
              </w:rPr>
            </w:pPr>
            <w:r>
              <w:rPr>
                <w:rFonts w:ascii="Arial Unicode MS" w:cs="Arial Unicode MS" w:eastAsia="Arial Unicode MS" w:hAnsi="Arial Unicode MS"/>
                <w:sz w:val="16"/>
                <w:szCs w:val="16"/>
                <w:color w:val="auto"/>
                <w:w w:val="89"/>
              </w:rPr>
              <w:t>$</w:t>
            </w:r>
          </w:p>
        </w:tc>
        <w:tc>
          <w:tcPr>
            <w:tcW w:w="1280" w:type="dxa"/>
            <w:vAlign w:val="bottom"/>
            <w:tcBorders>
              <w:bottom w:val="single" w:sz="8" w:color="auto"/>
            </w:tcBorders>
            <w:shd w:val="clear" w:color="auto" w:fill="CFF0FC"/>
          </w:tcPr>
          <w:p>
            <w:pPr>
              <w:jc w:val="right"/>
              <w:spacing w:after="0" w:line="203" w:lineRule="exact"/>
              <w:rPr>
                <w:sz w:val="20"/>
                <w:szCs w:val="20"/>
                <w:color w:val="auto"/>
              </w:rPr>
            </w:pPr>
            <w:r>
              <w:rPr>
                <w:rFonts w:ascii="Arial Unicode MS" w:cs="Arial Unicode MS" w:eastAsia="Arial Unicode MS" w:hAnsi="Arial Unicode MS"/>
                <w:sz w:val="16"/>
                <w:szCs w:val="16"/>
                <w:color w:val="auto"/>
              </w:rPr>
              <w:t>33,175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Goodwill</w:t>
      </w:r>
    </w:p>
    <w:p>
      <w:pPr>
        <w:spacing w:after="0" w:line="154" w:lineRule="exact"/>
        <w:rPr>
          <w:sz w:val="20"/>
          <w:szCs w:val="20"/>
          <w:color w:val="auto"/>
        </w:rPr>
      </w:pPr>
    </w:p>
    <w:p>
      <w:pPr>
        <w:ind w:right="60"/>
        <w:spacing w:after="0" w:line="192" w:lineRule="exact"/>
        <w:rPr>
          <w:sz w:val="20"/>
          <w:szCs w:val="20"/>
          <w:color w:val="auto"/>
        </w:rPr>
      </w:pPr>
      <w:r>
        <w:rPr>
          <w:rFonts w:ascii="Arial Unicode MS" w:cs="Arial Unicode MS" w:eastAsia="Arial Unicode MS" w:hAnsi="Arial Unicode MS"/>
          <w:sz w:val="14"/>
          <w:szCs w:val="14"/>
          <w:color w:val="auto"/>
        </w:rPr>
        <w:t>Goodwill represents the cost in excess of the fair value of the net assets acquired in a business combination. As of June 30, 2023 and December 31, 2022, the balance of goodwill of $5,227 was as a result of the acquisition of Interactive Data, LLC, a wholly-owned subsidiary of red violet, effective on October 2, 2014.</w:t>
      </w:r>
    </w:p>
    <w:p>
      <w:pPr>
        <w:spacing w:after="0" w:line="131" w:lineRule="exact"/>
        <w:rPr>
          <w:sz w:val="20"/>
          <w:szCs w:val="20"/>
          <w:color w:val="auto"/>
        </w:rPr>
      </w:pPr>
    </w:p>
    <w:p>
      <w:pPr>
        <w:ind w:right="120"/>
        <w:spacing w:after="0" w:line="189" w:lineRule="exact"/>
        <w:rPr>
          <w:sz w:val="20"/>
          <w:szCs w:val="20"/>
          <w:color w:val="auto"/>
        </w:rPr>
      </w:pPr>
      <w:r>
        <w:rPr>
          <w:rFonts w:ascii="Arial Unicode MS" w:cs="Arial Unicode MS" w:eastAsia="Arial Unicode MS" w:hAnsi="Arial Unicode MS"/>
          <w:sz w:val="14"/>
          <w:szCs w:val="14"/>
          <w:color w:val="auto"/>
        </w:rPr>
        <w:t>In accordance with ASC 350,</w:t>
      </w:r>
      <w:r>
        <w:rPr>
          <w:rFonts w:ascii="Times New Roman" w:cs="Times New Roman" w:eastAsia="Times New Roman" w:hAnsi="Times New Roman"/>
          <w:sz w:val="14"/>
          <w:szCs w:val="14"/>
          <w:i w:val="1"/>
          <w:iCs w:val="1"/>
          <w:color w:val="auto"/>
        </w:rPr>
        <w:t xml:space="preserve"> “Intangibles - Goodwill and Other,” </w:t>
      </w:r>
      <w:r>
        <w:rPr>
          <w:rFonts w:ascii="Arial Unicode MS" w:cs="Arial Unicode MS" w:eastAsia="Arial Unicode MS" w:hAnsi="Arial Unicode MS"/>
          <w:sz w:val="14"/>
          <w:szCs w:val="14"/>
          <w:color w:val="auto"/>
        </w:rPr>
        <w:t>goodwill is tested at least annually for impairment, or when events or changes in circumstances</w:t>
      </w:r>
      <w:r>
        <w:rPr>
          <w:rFonts w:ascii="Times New Roman" w:cs="Times New Roman" w:eastAsia="Times New Roman" w:hAnsi="Times New Roman"/>
          <w:sz w:val="14"/>
          <w:szCs w:val="14"/>
          <w:i w:val="1"/>
          <w:iCs w:val="1"/>
          <w:color w:val="auto"/>
        </w:rPr>
        <w:t xml:space="preserve"> </w:t>
      </w:r>
      <w:r>
        <w:rPr>
          <w:rFonts w:ascii="Arial Unicode MS" w:cs="Arial Unicode MS" w:eastAsia="Arial Unicode MS" w:hAnsi="Arial Unicode MS"/>
          <w:sz w:val="14"/>
          <w:szCs w:val="14"/>
          <w:color w:val="auto"/>
        </w:rPr>
        <w:t>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33" w:lineRule="exact"/>
        <w:rPr>
          <w:sz w:val="20"/>
          <w:szCs w:val="20"/>
          <w:color w:val="auto"/>
        </w:rPr>
      </w:pPr>
    </w:p>
    <w:p>
      <w:pPr>
        <w:ind w:right="660"/>
        <w:spacing w:after="0" w:line="192" w:lineRule="exact"/>
        <w:rPr>
          <w:sz w:val="20"/>
          <w:szCs w:val="20"/>
          <w:color w:val="auto"/>
        </w:rPr>
      </w:pPr>
      <w:r>
        <w:rPr>
          <w:rFonts w:ascii="Arial Unicode MS" w:cs="Arial Unicode MS" w:eastAsia="Arial Unicode MS" w:hAnsi="Arial Unicode MS"/>
          <w:sz w:val="16"/>
          <w:szCs w:val="16"/>
          <w:color w:val="auto"/>
        </w:rPr>
        <w:t>The Company did not record a goodwill impairment loss during the three and six months ended June 30, 2023 and 2022, and as of June 30, 2023, there was no accumulated goodwill impairment loss.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Revenue recognition</w:t>
      </w:r>
    </w:p>
    <w:p>
      <w:pPr>
        <w:spacing w:after="0" w:line="152" w:lineRule="exact"/>
        <w:rPr>
          <w:sz w:val="20"/>
          <w:szCs w:val="20"/>
          <w:color w:val="auto"/>
        </w:rPr>
      </w:pPr>
    </w:p>
    <w:p>
      <w:pPr>
        <w:spacing w:after="0" w:line="185" w:lineRule="exact"/>
        <w:rPr>
          <w:sz w:val="20"/>
          <w:szCs w:val="20"/>
          <w:color w:val="auto"/>
        </w:rPr>
      </w:pPr>
      <w:r>
        <w:rPr>
          <w:rFonts w:ascii="Arial Unicode MS" w:cs="Arial Unicode MS" w:eastAsia="Arial Unicode MS" w:hAnsi="Arial Unicode MS"/>
          <w:sz w:val="16"/>
          <w:szCs w:val="16"/>
          <w:color w:val="auto"/>
        </w:rPr>
        <w:t>The Company recognized revenue in accordance with ASC 606,</w:t>
      </w:r>
      <w:r>
        <w:rPr>
          <w:rFonts w:ascii="Times New Roman" w:cs="Times New Roman" w:eastAsia="Times New Roman" w:hAnsi="Times New Roman"/>
          <w:sz w:val="16"/>
          <w:szCs w:val="16"/>
          <w:i w:val="1"/>
          <w:iCs w:val="1"/>
          <w:color w:val="auto"/>
        </w:rPr>
        <w:t xml:space="preserve"> “Revenue from Contracts with Customers” </w:t>
      </w:r>
      <w:r>
        <w:rPr>
          <w:rFonts w:ascii="Arial Unicode MS" w:cs="Arial Unicode MS" w:eastAsia="Arial Unicode MS" w:hAnsi="Arial Unicode MS"/>
          <w:sz w:val="16"/>
          <w:szCs w:val="16"/>
          <w:color w:val="auto"/>
        </w:rPr>
        <w:t>(“Topic 606”). Under this standard, revenue is recognized</w:t>
      </w:r>
      <w:r>
        <w:rPr>
          <w:rFonts w:ascii="Times New Roman" w:cs="Times New Roman" w:eastAsia="Times New Roman" w:hAnsi="Times New Roman"/>
          <w:sz w:val="16"/>
          <w:szCs w:val="16"/>
          <w:i w:val="1"/>
          <w:iCs w:val="1"/>
          <w:color w:val="auto"/>
        </w:rPr>
        <w:t xml:space="preserve"> </w:t>
      </w:r>
      <w:r>
        <w:rPr>
          <w:rFonts w:ascii="Arial Unicode MS" w:cs="Arial Unicode MS" w:eastAsia="Arial Unicode MS" w:hAnsi="Arial Unicode MS"/>
          <w:sz w:val="16"/>
          <w:szCs w:val="16"/>
          <w:color w:val="auto"/>
        </w:rPr>
        <w:t>when control of goods or services is transferred to the Company’s customers, in an amount that reects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58" w:lineRule="exact"/>
        <w:rPr>
          <w:sz w:val="20"/>
          <w:szCs w:val="20"/>
          <w:color w:val="auto"/>
        </w:rPr>
      </w:pPr>
    </w:p>
    <w:p>
      <w:pPr>
        <w:jc w:val="center"/>
        <w:spacing w:after="0" w:line="215" w:lineRule="exact"/>
        <w:rPr>
          <w:sz w:val="20"/>
          <w:szCs w:val="20"/>
          <w:color w:val="auto"/>
        </w:rPr>
      </w:pPr>
      <w:r>
        <w:rPr>
          <w:rFonts w:ascii="Arial Unicode MS" w:cs="Arial Unicode MS" w:eastAsia="Arial Unicode MS" w:hAnsi="Arial Unicode MS"/>
          <w:sz w:val="16"/>
          <w:szCs w:val="16"/>
          <w:color w:val="auto"/>
        </w:rPr>
        <w:t>6</w:t>
      </w:r>
    </w:p>
    <w:p>
      <w:pPr>
        <w:sectPr>
          <w:pgSz w:w="11900" w:h="16840" w:orient="portrait"/>
          <w:cols w:equalWidth="0" w:num="1">
            <w:col w:w="10560"/>
          </w:cols>
          <w:pgMar w:left="660" w:top="737" w:right="680" w:bottom="1440" w:gutter="0" w:footer="0" w:header="0"/>
        </w:sectPr>
      </w:pPr>
    </w:p>
    <w:bookmarkStart w:id="8" w:name="page9"/>
    <w:bookmarkEnd w:id="8"/>
    <w:p>
      <w:pPr>
        <w:jc w:val="both"/>
        <w:spacing w:after="0" w:line="188" w:lineRule="exact"/>
        <w:rPr>
          <w:sz w:val="20"/>
          <w:szCs w:val="20"/>
          <w:color w:val="auto"/>
        </w:rPr>
      </w:pPr>
      <w:r>
        <w:rPr>
          <w:rFonts w:ascii="Arial Unicode MS" w:cs="Arial Unicode MS" w:eastAsia="Arial Unicode MS" w:hAnsi="Arial Unicode MS"/>
          <w:sz w:val="14"/>
          <w:szCs w:val="14"/>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33" w:lineRule="exact"/>
        <w:rPr>
          <w:sz w:val="20"/>
          <w:szCs w:val="20"/>
          <w:color w:val="auto"/>
        </w:rPr>
      </w:pPr>
    </w:p>
    <w:p>
      <w:pPr>
        <w:ind w:right="20"/>
        <w:spacing w:after="0" w:line="183" w:lineRule="exact"/>
        <w:rPr>
          <w:sz w:val="20"/>
          <w:szCs w:val="20"/>
          <w:color w:val="auto"/>
        </w:rPr>
      </w:pPr>
      <w:r>
        <w:rPr>
          <w:rFonts w:ascii="Arial Unicode MS" w:cs="Arial Unicode MS" w:eastAsia="Arial Unicode MS" w:hAnsi="Arial Unicode MS"/>
          <w:sz w:val="14"/>
          <w:szCs w:val="14"/>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 -to-date. In some arrangements, a right to consideration for the Company's performance under the customer contract may occur before invoicing to the customer, resulting in an unbilled accounts receivable. As of June 30, 2023, the current and noncurrent portion unbilled accounts receivable of $746 and $ 628, respectively, were included within accounts receivable and other noncurrent assets, respectively, on the condensed consolidated balance sheets. As of December 31, 2022, the current and noncurrent portion unbilled accounts receivable of $923 and $464, respectively, were included within accounts receivable and other noncurrent assets, respectively, on the condensed consolidated balance sheet. The Company's revenue arrangements do not contain significant financing components.</w:t>
      </w:r>
    </w:p>
    <w:p>
      <w:pPr>
        <w:spacing w:after="0" w:line="133" w:lineRule="exact"/>
        <w:rPr>
          <w:sz w:val="20"/>
          <w:szCs w:val="20"/>
          <w:color w:val="auto"/>
        </w:rPr>
      </w:pPr>
    </w:p>
    <w:p>
      <w:pPr>
        <w:ind w:right="20"/>
        <w:spacing w:after="0" w:line="186" w:lineRule="exact"/>
        <w:rPr>
          <w:sz w:val="20"/>
          <w:szCs w:val="20"/>
          <w:color w:val="auto"/>
        </w:rPr>
      </w:pPr>
      <w:r>
        <w:rPr>
          <w:rFonts w:ascii="Arial Unicode MS" w:cs="Arial Unicode MS" w:eastAsia="Arial Unicode MS" w:hAnsi="Arial Unicode MS"/>
          <w:sz w:val="16"/>
          <w:szCs w:val="16"/>
          <w:color w:val="auto"/>
        </w:rPr>
        <w:t>For the three months ended June 30, 2023 and 2022, 79% and 80% of total revenue was attributable to customers with pricing contracts, respectively, versus 21% and 20% attributable to transactional customers, respectively. For the six months ended June 30, 2023 and 2022, 77% and 78% of total revenue was attributable to customers with pricing contracts, respectively, versus 23% and 22% attributable to transactional customers, respectively. Pricing contracts are generally annual contracts or longer, with auto renewal.</w:t>
      </w:r>
    </w:p>
    <w:p>
      <w:pPr>
        <w:spacing w:after="0" w:line="133" w:lineRule="exact"/>
        <w:rPr>
          <w:sz w:val="20"/>
          <w:szCs w:val="20"/>
          <w:color w:val="auto"/>
        </w:rPr>
      </w:pPr>
    </w:p>
    <w:p>
      <w:pPr>
        <w:ind w:right="260"/>
        <w:spacing w:after="0" w:line="188" w:lineRule="exact"/>
        <w:rPr>
          <w:sz w:val="20"/>
          <w:szCs w:val="20"/>
          <w:color w:val="auto"/>
        </w:rPr>
      </w:pPr>
      <w:r>
        <w:rPr>
          <w:rFonts w:ascii="Arial Unicode MS" w:cs="Arial Unicode MS" w:eastAsia="Arial Unicode MS" w:hAnsi="Arial Unicode MS"/>
          <w:sz w:val="14"/>
          <w:szCs w:val="14"/>
          <w:color w:val="auto"/>
        </w:rPr>
        <w:t>If a customer pays consideration before the Company transfers services to the customer, those amounts are classied as deferred revenue. As of June 30, 2023 and December 31, 2022, the balance of deferred revenue was $627 and $670, respectively, all of which is expected to be realized in the next 12 months. In relation to the deferred revenue balance as of December 31, 2022, $117 and $400 was recognized into revenue during the three and six months ended June 30, 2023, respectively.</w:t>
      </w:r>
    </w:p>
    <w:p>
      <w:pPr>
        <w:spacing w:after="0" w:line="133" w:lineRule="exact"/>
        <w:rPr>
          <w:sz w:val="20"/>
          <w:szCs w:val="20"/>
          <w:color w:val="auto"/>
        </w:rPr>
      </w:pPr>
    </w:p>
    <w:p>
      <w:pPr>
        <w:ind w:right="80"/>
        <w:spacing w:after="0" w:line="185" w:lineRule="exact"/>
        <w:rPr>
          <w:sz w:val="20"/>
          <w:szCs w:val="20"/>
          <w:color w:val="auto"/>
        </w:rPr>
      </w:pPr>
      <w:r>
        <w:rPr>
          <w:rFonts w:ascii="Arial Unicode MS" w:cs="Arial Unicode MS" w:eastAsia="Arial Unicode MS" w:hAnsi="Arial Unicode MS"/>
          <w:sz w:val="16"/>
          <w:szCs w:val="16"/>
          <w:color w:val="auto"/>
        </w:rPr>
        <w:t>As of June 30, 2023, $10,126 of revenue is expected to be recognized in the future for performance obligations that are unsatisfied or partially unsatisfied, related to pricing contracts that have a term of more than 12 months, of which, $4,217 of revenue will be recognized in the remainder of 2023, $4,487 in 2024, $1,096 in 2025, $276 in 2026, and $50 in 2027.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36" w:lineRule="exact"/>
        <w:rPr>
          <w:sz w:val="20"/>
          <w:szCs w:val="20"/>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Sales commissions are incurred and recorded on an ongoing basis over the term of the customer relationship. These costs are recorded in sales and marketing expenses.</w:t>
      </w:r>
    </w:p>
    <w:p>
      <w:pPr>
        <w:spacing w:after="0" w:line="149" w:lineRule="exact"/>
        <w:rPr>
          <w:sz w:val="20"/>
          <w:szCs w:val="20"/>
          <w:color w:val="auto"/>
        </w:rPr>
      </w:pPr>
    </w:p>
    <w:p>
      <w:pPr>
        <w:ind w:right="20"/>
        <w:spacing w:after="0" w:line="192" w:lineRule="exact"/>
        <w:rPr>
          <w:sz w:val="20"/>
          <w:szCs w:val="20"/>
          <w:color w:val="auto"/>
        </w:rPr>
      </w:pPr>
      <w:r>
        <w:rPr>
          <w:rFonts w:ascii="Arial Unicode MS" w:cs="Arial Unicode MS" w:eastAsia="Arial Unicode MS" w:hAnsi="Arial Unicode MS"/>
          <w:sz w:val="14"/>
          <w:szCs w:val="14"/>
          <w:color w:val="auto"/>
        </w:rPr>
        <w:t>In addition, the Company elected the practical expedient to not disclose the value of unsatised performance obligations for (i) contracts with an original expected length of one year or less and (ii) contracts for which the Company recognizes revenue at the amount to which it has the right to invoice for services performed.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Income taxes</w:t>
      </w:r>
    </w:p>
    <w:p>
      <w:pPr>
        <w:spacing w:after="0" w:line="154" w:lineRule="exact"/>
        <w:rPr>
          <w:sz w:val="20"/>
          <w:szCs w:val="20"/>
          <w:color w:val="auto"/>
        </w:rPr>
      </w:pPr>
    </w:p>
    <w:p>
      <w:pPr>
        <w:ind w:right="60"/>
        <w:spacing w:after="0" w:line="184" w:lineRule="exact"/>
        <w:rPr>
          <w:sz w:val="20"/>
          <w:szCs w:val="20"/>
          <w:color w:val="auto"/>
        </w:rPr>
      </w:pPr>
      <w:r>
        <w:rPr>
          <w:rFonts w:ascii="Arial Unicode MS" w:cs="Arial Unicode MS" w:eastAsia="Arial Unicode MS" w:hAnsi="Arial Unicode MS"/>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For the three months ended June 30, 2023 and 2022, the Company concluded that, due to a recent history of operating losses, a valuation allowance should be applied to reduce its deferred tax assets to the amount that is more likely than not to be realized.</w:t>
      </w:r>
    </w:p>
    <w:p>
      <w:pPr>
        <w:spacing w:after="0" w:line="138" w:lineRule="exact"/>
        <w:rPr>
          <w:sz w:val="20"/>
          <w:szCs w:val="20"/>
          <w:color w:val="auto"/>
        </w:rPr>
      </w:pPr>
    </w:p>
    <w:p>
      <w:pPr>
        <w:ind w:right="220"/>
        <w:spacing w:after="0" w:line="188" w:lineRule="exact"/>
        <w:rPr>
          <w:sz w:val="20"/>
          <w:szCs w:val="20"/>
          <w:color w:val="auto"/>
        </w:rPr>
      </w:pPr>
      <w:r>
        <w:rPr>
          <w:rFonts w:ascii="Arial Unicode MS" w:cs="Arial Unicode MS" w:eastAsia="Arial Unicode MS" w:hAnsi="Arial Unicode MS"/>
          <w:sz w:val="14"/>
          <w:szCs w:val="14"/>
          <w:color w:val="auto"/>
        </w:rPr>
        <w:t>The Company’s effective income tax rate was 10% and (27%) for the three months ended June 30, 2023 and 2022, respectively, and 6% and 181% for the six months ended June 30, 2023 and 2022, respectively, differing from the U.S. corporate statutory federal income tax rate of 21%. The difference is primarily the result of the valuation allowance applied to reduce the Company’s deferred tax assets to the amount that is more likely than not to be realized.</w:t>
      </w:r>
    </w:p>
    <w:p>
      <w:pPr>
        <w:spacing w:after="0" w:line="158" w:lineRule="exact"/>
        <w:rPr>
          <w:sz w:val="20"/>
          <w:szCs w:val="20"/>
          <w:color w:val="auto"/>
        </w:rPr>
      </w:pPr>
    </w:p>
    <w:p>
      <w:pPr>
        <w:jc w:val="center"/>
        <w:ind w:right="20"/>
        <w:spacing w:after="0" w:line="215" w:lineRule="exact"/>
        <w:rPr>
          <w:sz w:val="20"/>
          <w:szCs w:val="20"/>
          <w:color w:val="auto"/>
        </w:rPr>
      </w:pPr>
      <w:r>
        <w:rPr>
          <w:rFonts w:ascii="Arial Unicode MS" w:cs="Arial Unicode MS" w:eastAsia="Arial Unicode MS" w:hAnsi="Arial Unicode MS"/>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26670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9" w:name="page10"/>
    <w:bookmarkEnd w:id="9"/>
    <w:p>
      <w:pPr>
        <w:ind w:right="20"/>
        <w:spacing w:after="0" w:line="24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3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The Company continually evaluates expiring statutes of limitations, audits, proposed settlements, changes in tax law and new authoritative rulings. Due to the existence of net operating loss carryforwards since inception, all of the Company’s income tax filings remain open for tax examinations.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does not have any material unrecognized tax benefits as of June 30, 2023 and December 31,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Common stock and treasury stock</w:t>
      </w:r>
    </w:p>
    <w:p>
      <w:pPr>
        <w:spacing w:after="0" w:line="154" w:lineRule="exact"/>
        <w:rPr>
          <w:sz w:val="20"/>
          <w:szCs w:val="20"/>
          <w:color w:val="auto"/>
        </w:rPr>
      </w:pPr>
    </w:p>
    <w:p>
      <w:pPr>
        <w:ind w:right="360"/>
        <w:spacing w:after="0" w:line="331" w:lineRule="auto"/>
        <w:rPr>
          <w:sz w:val="20"/>
          <w:szCs w:val="20"/>
          <w:color w:val="auto"/>
        </w:rPr>
      </w:pPr>
      <w:r>
        <w:rPr>
          <w:rFonts w:ascii="Times New Roman" w:cs="Times New Roman" w:eastAsia="Times New Roman" w:hAnsi="Times New Roman"/>
          <w:sz w:val="14"/>
          <w:szCs w:val="14"/>
          <w:color w:val="auto"/>
        </w:rPr>
        <w:t>As of June 30, 2023 and December 31, 2022, the number of issued shares of common stock was 13,911,691 and 13,956,404, respectively, which included shares of treasury stock of 2,738 and 0, respectively. The changes in the number of issued shares of common stock and treasury stock were due to the following factors:</w:t>
      </w:r>
    </w:p>
    <w:p>
      <w:pPr>
        <w:spacing w:after="0" w:line="7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•An aggregate of 10,200 shares of common stock were issued as a result of the vesting of RSUs, of which, 2,633 shares of common stock were withheld to pay withholding taxes upon such vesting, which were reflected in treasury stock, with a cost of $50. Related treasury stock of 2,633 shares was then retired during the six months ended June 30, 2023.</w:t>
      </w:r>
    </w:p>
    <w:p>
      <w:pPr>
        <w:spacing w:after="0" w:line="12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•On May 2, 2022, the board of directors of the Company authorized the repurchase of up to $5.0 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six months ended June 30, 2023, the Company repurchased 55,018 shares of common stock under the Stock Repurchase Program, which was reflected in treasury stock, with a cost of $940. Related treasury stock of 52,280 shares was retired during the six months ended June 30,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Share-based compensation</w:t>
      </w:r>
    </w:p>
    <w:p>
      <w:pPr>
        <w:spacing w:after="0" w:line="15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On March 22, 2018, the board of directors of the Company and Cogint, Inc. (“cogint”) (now known as Fluent, Inc.), in its capacity as sole stockholder of the Company prior to the Company’s spin-off from cogint on March 26, 2018 (the “Spin-off”),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37"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The primary purpose of the 2018 Plan, as amended,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2023, there were 2,340,668 shares of common stock available for future issuance under the 2018 Plan, as amended.</w:t>
      </w:r>
    </w:p>
    <w:p>
      <w:pPr>
        <w:spacing w:after="0" w:line="15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 -based condition for these awards is generally satisfied over three or four years with annual vesting. Details of unvested RSU activity during the three months ended June 30, 2023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Number of units</w:t>
            </w:r>
          </w:p>
        </w:tc>
        <w:tc>
          <w:tcPr>
            <w:tcW w:w="320" w:type="dxa"/>
            <w:vAlign w:val="bottom"/>
          </w:tcPr>
          <w:p>
            <w:pPr>
              <w:spacing w:after="0"/>
              <w:rPr>
                <w:sz w:val="15"/>
                <w:szCs w:val="15"/>
                <w:color w:val="auto"/>
              </w:rPr>
            </w:pPr>
          </w:p>
        </w:tc>
        <w:tc>
          <w:tcPr>
            <w:tcW w:w="154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grant-date fair value</w:t>
            </w:r>
          </w:p>
        </w:tc>
        <w:tc>
          <w:tcPr>
            <w:tcW w:w="0" w:type="dxa"/>
            <w:vAlign w:val="bottom"/>
          </w:tcPr>
          <w:p>
            <w:pPr>
              <w:spacing w:after="0"/>
              <w:rPr>
                <w:sz w:val="1"/>
                <w:szCs w:val="1"/>
                <w:color w:val="auto"/>
              </w:rPr>
            </w:pPr>
          </w:p>
        </w:tc>
      </w:tr>
      <w:tr>
        <w:trPr>
          <w:trHeight w:val="208"/>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Unvested as of December 31, 2022</w:t>
            </w:r>
          </w:p>
        </w:tc>
        <w:tc>
          <w:tcPr>
            <w:tcW w:w="4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1,044,132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Granted</w:t>
            </w:r>
            <w:r>
              <w:rPr>
                <w:rFonts w:ascii="Times New Roman" w:cs="Times New Roman" w:eastAsia="Times New Roman" w:hAnsi="Times New Roman"/>
                <w:sz w:val="21"/>
                <w:szCs w:val="21"/>
                <w:color w:val="auto"/>
                <w:vertAlign w:val="superscript"/>
              </w:rPr>
              <w:t>(1)</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18.50</w:t>
            </w:r>
          </w:p>
        </w:tc>
        <w:tc>
          <w:tcPr>
            <w:tcW w:w="0" w:type="dxa"/>
            <w:vAlign w:val="bottom"/>
          </w:tcPr>
          <w:p>
            <w:pPr>
              <w:spacing w:after="0"/>
              <w:rPr>
                <w:sz w:val="1"/>
                <w:szCs w:val="1"/>
                <w:color w:val="auto"/>
              </w:rPr>
            </w:pPr>
          </w:p>
        </w:tc>
      </w:tr>
      <w:tr>
        <w:trPr>
          <w:trHeight w:val="204"/>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 and delivered</w:t>
            </w:r>
          </w:p>
        </w:tc>
        <w:tc>
          <w:tcPr>
            <w:tcW w:w="4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(7,567 )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25.39</w:t>
            </w: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Withheld as treasury stock</w:t>
            </w:r>
            <w:r>
              <w:rPr>
                <w:rFonts w:ascii="Times New Roman" w:cs="Times New Roman" w:eastAsia="Times New Roman" w:hAnsi="Times New Roman"/>
                <w:sz w:val="21"/>
                <w:szCs w:val="21"/>
                <w:color w:val="auto"/>
                <w:vertAlign w:val="superscript"/>
              </w:rPr>
              <w:t>(2)</w:t>
            </w:r>
          </w:p>
        </w:tc>
        <w:tc>
          <w:tcPr>
            <w:tcW w:w="49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(2,633 )</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204"/>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4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(73,811 )</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r>
        <w:trPr>
          <w:trHeight w:val="20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as of June 30, 2023</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982,621</w:t>
            </w:r>
          </w:p>
        </w:tc>
        <w:tc>
          <w:tcPr>
            <w:tcW w:w="1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0" w:type="dxa"/>
            <w:vAlign w:val="bottom"/>
            <w:vMerge w:val="restart"/>
          </w:tcPr>
          <w:p>
            <w:pPr>
              <w:jc w:val="right"/>
              <w:ind w:right="1522"/>
              <w:spacing w:after="0"/>
              <w:rPr>
                <w:sz w:val="20"/>
                <w:szCs w:val="20"/>
                <w:color w:val="auto"/>
              </w:rPr>
            </w:pPr>
            <w:r>
              <w:rPr>
                <w:rFonts w:ascii="Times New Roman" w:cs="Times New Roman" w:eastAsia="Times New Roman" w:hAnsi="Times New Roman"/>
                <w:sz w:val="16"/>
                <w:szCs w:val="16"/>
                <w:color w:val="auto"/>
              </w:rPr>
              <w:t>8</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7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3720" w:type="dxa"/>
            <w:vAlign w:val="bottom"/>
            <w:tcBorders>
              <w:bottom w:val="single" w:sz="8" w:color="EEEEEE"/>
            </w:tcBorders>
          </w:tcPr>
          <w:p>
            <w:pPr>
              <w:spacing w:after="0"/>
              <w:rPr>
                <w:sz w:val="6"/>
                <w:szCs w:val="6"/>
                <w:color w:val="auto"/>
              </w:rPr>
            </w:pPr>
          </w:p>
        </w:tc>
        <w:tc>
          <w:tcPr>
            <w:tcW w:w="3200" w:type="dxa"/>
            <w:vAlign w:val="bottom"/>
            <w:tcBorders>
              <w:bottom w:val="single" w:sz="8" w:color="EEEEEE"/>
            </w:tcBorders>
          </w:tcPr>
          <w:p>
            <w:pPr>
              <w:spacing w:after="0"/>
              <w:rPr>
                <w:sz w:val="6"/>
                <w:szCs w:val="6"/>
                <w:color w:val="auto"/>
              </w:rPr>
            </w:pPr>
          </w:p>
        </w:tc>
        <w:tc>
          <w:tcPr>
            <w:tcW w:w="1660" w:type="dxa"/>
            <w:vAlign w:val="bottom"/>
            <w:tcBorders>
              <w:bottom w:val="single" w:sz="8" w:color="EEEEEE"/>
            </w:tcBorders>
          </w:tcPr>
          <w:p>
            <w:pPr>
              <w:spacing w:after="0"/>
              <w:rPr>
                <w:sz w:val="6"/>
                <w:szCs w:val="6"/>
                <w:color w:val="auto"/>
              </w:rPr>
            </w:pPr>
          </w:p>
        </w:tc>
        <w:tc>
          <w:tcPr>
            <w:tcW w:w="120" w:type="dxa"/>
            <w:vAlign w:val="bottom"/>
            <w:tcBorders>
              <w:bottom w:val="single" w:sz="8" w:color="EEEEEE"/>
            </w:tcBorders>
          </w:tcPr>
          <w:p>
            <w:pPr>
              <w:spacing w:after="0"/>
              <w:rPr>
                <w:sz w:val="6"/>
                <w:szCs w:val="6"/>
                <w:color w:val="auto"/>
              </w:rPr>
            </w:pPr>
          </w:p>
        </w:tc>
        <w:tc>
          <w:tcPr>
            <w:tcW w:w="320" w:type="dxa"/>
            <w:vAlign w:val="bottom"/>
            <w:tcBorders>
              <w:bottom w:val="single" w:sz="8" w:color="EEEEEE"/>
            </w:tcBorders>
          </w:tcPr>
          <w:p>
            <w:pPr>
              <w:spacing w:after="0"/>
              <w:rPr>
                <w:sz w:val="6"/>
                <w:szCs w:val="6"/>
                <w:color w:val="auto"/>
              </w:rPr>
            </w:pPr>
          </w:p>
        </w:tc>
        <w:tc>
          <w:tcPr>
            <w:tcW w:w="1540" w:type="dxa"/>
            <w:vAlign w:val="bottom"/>
            <w:tcBorders>
              <w:bottom w:val="single" w:sz="8" w:color="EEEEEE"/>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40" w:orient="portrait"/>
          <w:cols w:equalWidth="0" w:num="1">
            <w:col w:w="10580"/>
          </w:cols>
          <w:pgMar w:left="660" w:top="893" w:right="660" w:bottom="1440" w:gutter="0" w:footer="0" w:header="0"/>
        </w:sectPr>
      </w:pPr>
    </w:p>
    <w:bookmarkStart w:id="10" w:name="page11"/>
    <w:bookmarkEnd w:id="10"/>
    <w:p>
      <w:pPr>
        <w:ind w:right="40"/>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(1)During the six months ended June 30, 2023, the Company granted an aggregate of 22,500 RSUs to certain employees at grant date fair values ranging from $16.17 to $19.59 per share, with a vesting period ranging from three to four years.</w:t>
      </w:r>
    </w:p>
    <w:p>
      <w:pPr>
        <w:spacing w:after="0" w:line="119"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(2)Withheld as treasury stock represents shares withheld to pay statutory taxes upon the vesting of RSUs. Refer to Note 7, "Common stock and treasury stock," for details.</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 of June 30, 2023, unrecognized share-based compensation expense associated with the granted RSUs amounted to $13,112, which is expected to be recognized over a remaining weighted average period of 2.2 years.</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Share-based compensation was allocated to the following accounts in the condensed consolidated financial statements for the three and six months ended June 30, 2023 and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76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20" w:type="dxa"/>
            <w:vAlign w:val="bottom"/>
            <w:gridSpan w:val="2"/>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960" w:type="dxa"/>
            <w:vAlign w:val="bottom"/>
            <w:gridSpan w:val="2"/>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FF0FC"/>
          </w:tcPr>
          <w:p>
            <w:pPr>
              <w:spacing w:after="0"/>
              <w:rPr>
                <w:sz w:val="18"/>
                <w:szCs w:val="18"/>
                <w:color w:val="auto"/>
              </w:rPr>
            </w:pP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1,298</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2,457</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2,638</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1,406</w:t>
            </w: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2,689</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2,793</w:t>
            </w:r>
          </w:p>
        </w:tc>
        <w:tc>
          <w:tcPr>
            <w:tcW w:w="80" w:type="dxa"/>
            <w:vAlign w:val="bottom"/>
            <w:shd w:val="clear" w:color="auto" w:fill="CFF0FC"/>
          </w:tcPr>
          <w:p>
            <w:pPr>
              <w:spacing w:after="0"/>
              <w:rPr>
                <w:sz w:val="17"/>
                <w:szCs w:val="17"/>
                <w:color w:val="auto"/>
              </w:rPr>
            </w:pPr>
          </w:p>
        </w:tc>
      </w:tr>
      <w:tr>
        <w:trPr>
          <w:trHeight w:val="204"/>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 intangible assets</w:t>
            </w: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7"/>
                <w:szCs w:val="17"/>
                <w:color w:val="auto"/>
              </w:rPr>
            </w:pPr>
          </w:p>
        </w:tc>
      </w:tr>
      <w:tr>
        <w:trPr>
          <w:trHeight w:val="245"/>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FF0FC"/>
          </w:tcPr>
          <w:p>
            <w:pPr>
              <w:jc w:val="right"/>
              <w:ind w:right="588"/>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1,828</w:t>
            </w:r>
          </w:p>
        </w:tc>
        <w:tc>
          <w:tcPr>
            <w:tcW w:w="24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3,561</w:t>
            </w:r>
          </w:p>
        </w:tc>
        <w:tc>
          <w:tcPr>
            <w:tcW w:w="2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3,516</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Leases</w:t>
      </w:r>
    </w:p>
    <w:p>
      <w:pPr>
        <w:spacing w:after="0" w:line="1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three and six months ended June 30, 2023 and 2022, a summary of the Company’s lease information is shown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3"/>
          </w:tcPr>
          <w:p>
            <w:pPr>
              <w:jc w:val="right"/>
              <w:ind w:right="40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80" w:type="dxa"/>
            <w:vAlign w:val="bottom"/>
          </w:tcPr>
          <w:p>
            <w:pPr>
              <w:spacing w:after="0"/>
              <w:rPr>
                <w:sz w:val="15"/>
                <w:szCs w:val="15"/>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5"/>
                <w:szCs w:val="15"/>
                <w:color w:val="auto"/>
              </w:rPr>
            </w:pPr>
          </w:p>
        </w:tc>
        <w:tc>
          <w:tcPr>
            <w:tcW w:w="960" w:type="dxa"/>
            <w:vAlign w:val="bottom"/>
          </w:tcPr>
          <w:p>
            <w:pPr>
              <w:jc w:val="right"/>
              <w:ind w:right="468"/>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5"/>
                <w:szCs w:val="15"/>
                <w:color w:val="auto"/>
              </w:rPr>
            </w:pPr>
          </w:p>
        </w:tc>
        <w:tc>
          <w:tcPr>
            <w:tcW w:w="82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38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168</w:t>
            </w:r>
          </w:p>
        </w:tc>
        <w:tc>
          <w:tcPr>
            <w:tcW w:w="5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168</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336</w:t>
            </w:r>
          </w:p>
        </w:tc>
        <w:tc>
          <w:tcPr>
            <w:tcW w:w="860" w:type="dxa"/>
            <w:vAlign w:val="bottom"/>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7"/>
                <w:szCs w:val="17"/>
                <w:color w:val="auto"/>
              </w:rPr>
            </w:pPr>
          </w:p>
        </w:tc>
      </w:tr>
      <w:tr>
        <w:trPr>
          <w:trHeight w:val="20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6"/>
                <w:szCs w:val="16"/>
                <w:color w:val="auto"/>
              </w:rPr>
              <w:t>191</w:t>
            </w:r>
          </w:p>
        </w:tc>
        <w:tc>
          <w:tcPr>
            <w:tcW w:w="5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185</w:t>
            </w:r>
          </w:p>
        </w:tc>
        <w:tc>
          <w:tcPr>
            <w:tcW w:w="3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381</w:t>
            </w:r>
          </w:p>
        </w:tc>
        <w:tc>
          <w:tcPr>
            <w:tcW w:w="860" w:type="dxa"/>
            <w:vAlign w:val="bottom"/>
          </w:tcPr>
          <w:p>
            <w:pPr>
              <w:jc w:val="right"/>
              <w:ind w:right="54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7"/>
                <w:szCs w:val="17"/>
                <w:color w:val="auto"/>
              </w:rPr>
            </w:pPr>
          </w:p>
        </w:tc>
      </w:tr>
      <w:tr>
        <w:trPr>
          <w:trHeight w:val="370"/>
        </w:trPr>
        <w:tc>
          <w:tcPr>
            <w:tcW w:w="56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As of June 30, 2023, the weighted average remaining operating lease term was 1.4 years.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6"/>
        </w:trPr>
        <w:tc>
          <w:tcPr>
            <w:tcW w:w="714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As of June 30, 2023, scheduled future maturities and present value of the operating lease liabilities are as follows:</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5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8"/>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2023</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FF0FC"/>
          </w:tcPr>
          <w:p>
            <w:pPr>
              <w:spacing w:after="0"/>
              <w:rPr>
                <w:sz w:val="18"/>
                <w:szCs w:val="18"/>
                <w:color w:val="auto"/>
              </w:rPr>
            </w:pPr>
          </w:p>
        </w:tc>
      </w:tr>
      <w:tr>
        <w:trPr>
          <w:trHeight w:val="20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tcPr>
          <w:p>
            <w:pPr>
              <w:spacing w:after="0"/>
              <w:rPr>
                <w:sz w:val="17"/>
                <w:szCs w:val="17"/>
                <w:color w:val="auto"/>
              </w:rPr>
            </w:pPr>
          </w:p>
        </w:tc>
      </w:tr>
      <w:tr>
        <w:trPr>
          <w:trHeight w:val="20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FF0FC"/>
          </w:tcPr>
          <w:p>
            <w:pPr>
              <w:spacing w:after="0"/>
              <w:rPr>
                <w:sz w:val="17"/>
                <w:szCs w:val="17"/>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maturities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1,003</w:t>
            </w:r>
          </w:p>
        </w:tc>
        <w:tc>
          <w:tcPr>
            <w:tcW w:w="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1"/>
        </w:trPr>
        <w:tc>
          <w:tcPr>
            <w:tcW w:w="536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color w:val="auto"/>
              </w:rPr>
              <w:t>Present value included in condensed consolidated balance sheet:</w:t>
            </w:r>
          </w:p>
        </w:tc>
        <w:tc>
          <w:tcPr>
            <w:tcW w:w="3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17"/>
                <w:szCs w:val="17"/>
                <w:color w:val="auto"/>
              </w:rPr>
            </w:pPr>
          </w:p>
        </w:tc>
      </w:tr>
      <w:tr>
        <w:trPr>
          <w:trHeight w:val="205"/>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FF0FC"/>
          </w:tcPr>
          <w:p>
            <w:pPr>
              <w:spacing w:after="0"/>
              <w:rPr>
                <w:sz w:val="17"/>
                <w:szCs w:val="17"/>
                <w:color w:val="auto"/>
              </w:rPr>
            </w:pPr>
          </w:p>
        </w:tc>
      </w:tr>
      <w:tr>
        <w:trPr>
          <w:trHeight w:val="204"/>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0"/>
        </w:trPr>
        <w:tc>
          <w:tcPr>
            <w:tcW w:w="536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w w:val="98"/>
              </w:rPr>
              <w:t>Difference between the maturities and the present value of operating lease liabilities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FF0FC"/>
          </w:tcPr>
          <w:p>
            <w:pPr>
              <w:spacing w:after="0"/>
              <w:rPr>
                <w:sz w:val="19"/>
                <w:szCs w:val="19"/>
                <w:color w:val="auto"/>
              </w:rPr>
            </w:pPr>
          </w:p>
        </w:tc>
      </w:tr>
      <w:tr>
        <w:trPr>
          <w:trHeight w:val="539"/>
        </w:trPr>
        <w:tc>
          <w:tcPr>
            <w:tcW w:w="5360" w:type="dxa"/>
            <w:vAlign w:val="bottom"/>
            <w:tcBorders>
              <w:top w:val="single" w:sz="8" w:color="CFF0FC"/>
            </w:tcBorders>
          </w:tcPr>
          <w:p>
            <w:pPr>
              <w:ind w:left="5240"/>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4"/>
        </w:trPr>
        <w:tc>
          <w:tcPr>
            <w:tcW w:w="536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960" w:type="dxa"/>
            <w:vAlign w:val="bottom"/>
            <w:tcBorders>
              <w:bottom w:val="single" w:sz="8" w:color="EEEEEE"/>
            </w:tcBorders>
          </w:tcPr>
          <w:p>
            <w:pPr>
              <w:spacing w:after="0"/>
              <w:rPr>
                <w:sz w:val="6"/>
                <w:szCs w:val="6"/>
                <w:color w:val="auto"/>
              </w:rPr>
            </w:pPr>
          </w:p>
        </w:tc>
        <w:tc>
          <w:tcPr>
            <w:tcW w:w="520" w:type="dxa"/>
            <w:vAlign w:val="bottom"/>
            <w:tcBorders>
              <w:bottom w:val="single" w:sz="8" w:color="EEEEEE"/>
            </w:tcBorders>
          </w:tcPr>
          <w:p>
            <w:pPr>
              <w:spacing w:after="0"/>
              <w:rPr>
                <w:sz w:val="6"/>
                <w:szCs w:val="6"/>
                <w:color w:val="auto"/>
              </w:rPr>
            </w:pPr>
          </w:p>
        </w:tc>
        <w:tc>
          <w:tcPr>
            <w:tcW w:w="820" w:type="dxa"/>
            <w:vAlign w:val="bottom"/>
            <w:tcBorders>
              <w:bottom w:val="single" w:sz="8" w:color="EEEEEE"/>
            </w:tcBorders>
          </w:tcPr>
          <w:p>
            <w:pPr>
              <w:spacing w:after="0"/>
              <w:rPr>
                <w:sz w:val="6"/>
                <w:szCs w:val="6"/>
                <w:color w:val="auto"/>
              </w:rPr>
            </w:pPr>
          </w:p>
        </w:tc>
        <w:tc>
          <w:tcPr>
            <w:tcW w:w="380" w:type="dxa"/>
            <w:vAlign w:val="bottom"/>
            <w:tcBorders>
              <w:bottom w:val="single" w:sz="8" w:color="EEEEEE"/>
            </w:tcBorders>
          </w:tcPr>
          <w:p>
            <w:pPr>
              <w:spacing w:after="0"/>
              <w:rPr>
                <w:sz w:val="6"/>
                <w:szCs w:val="6"/>
                <w:color w:val="auto"/>
              </w:rPr>
            </w:pPr>
          </w:p>
        </w:tc>
        <w:tc>
          <w:tcPr>
            <w:tcW w:w="60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860" w:type="dxa"/>
            <w:vAlign w:val="bottom"/>
            <w:tcBorders>
              <w:bottom w:val="single" w:sz="8" w:color="EEEEEE"/>
            </w:tcBorders>
          </w:tcPr>
          <w:p>
            <w:pPr>
              <w:spacing w:after="0"/>
              <w:rPr>
                <w:sz w:val="6"/>
                <w:szCs w:val="6"/>
                <w:color w:val="auto"/>
              </w:rPr>
            </w:pPr>
          </w:p>
        </w:tc>
        <w:tc>
          <w:tcPr>
            <w:tcW w:w="38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60"/>
          </w:cols>
          <w:pgMar w:left="660" w:top="917" w:right="68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10.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Capital commitment</w:t>
      </w:r>
    </w:p>
    <w:p>
      <w:pPr>
        <w:spacing w:after="0" w:line="156"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6"/>
          <w:szCs w:val="16"/>
          <w:color w:val="auto"/>
        </w:rPr>
        <w:t>The Company incurred data costs of $2,358 and $ 2,252 for the three months ended June 30, 2023 and 2022, respectively, and $4,719 and $4,500 for the six months ended June 30, 2023 and 2022, under certain data licensing agreements. As of June 30, 2023, material capital commitments under certain data licensing agreements were $24,528, shown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8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24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2023</w:t>
            </w:r>
          </w:p>
        </w:tc>
      </w:tr>
      <w:tr>
        <w:trPr>
          <w:trHeight w:val="208"/>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Remainder of 2023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80" w:type="dxa"/>
            <w:vAlign w:val="bottom"/>
            <w:shd w:val="clear" w:color="auto" w:fill="CFF0FC"/>
          </w:tcPr>
          <w:p>
            <w:pPr>
              <w:spacing w:after="0"/>
              <w:rPr>
                <w:sz w:val="18"/>
                <w:szCs w:val="18"/>
                <w:color w:val="auto"/>
              </w:rPr>
            </w:pPr>
          </w:p>
        </w:tc>
      </w:tr>
      <w:tr>
        <w:trPr>
          <w:trHeight w:val="204"/>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80" w:type="dxa"/>
            <w:vAlign w:val="bottom"/>
          </w:tcPr>
          <w:p>
            <w:pPr>
              <w:spacing w:after="0"/>
              <w:rPr>
                <w:sz w:val="17"/>
                <w:szCs w:val="17"/>
                <w:color w:val="auto"/>
              </w:rPr>
            </w:pPr>
          </w:p>
        </w:tc>
      </w:tr>
      <w:tr>
        <w:trPr>
          <w:trHeight w:val="205"/>
        </w:trPr>
        <w:tc>
          <w:tcPr>
            <w:tcW w:w="8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80" w:type="dxa"/>
            <w:vAlign w:val="bottom"/>
            <w:shd w:val="clear" w:color="auto" w:fill="CFF0FC"/>
          </w:tcPr>
          <w:p>
            <w:pPr>
              <w:spacing w:after="0"/>
              <w:rPr>
                <w:sz w:val="17"/>
                <w:szCs w:val="17"/>
                <w:color w:val="auto"/>
              </w:rPr>
            </w:pPr>
          </w:p>
        </w:tc>
      </w:tr>
      <w:tr>
        <w:trPr>
          <w:trHeight w:val="204"/>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80" w:type="dxa"/>
            <w:vAlign w:val="bottom"/>
          </w:tcPr>
          <w:p>
            <w:pPr>
              <w:spacing w:after="0"/>
              <w:rPr>
                <w:sz w:val="17"/>
                <w:szCs w:val="17"/>
                <w:color w:val="auto"/>
              </w:rPr>
            </w:pPr>
          </w:p>
        </w:tc>
      </w:tr>
      <w:tr>
        <w:trPr>
          <w:trHeight w:val="244"/>
        </w:trPr>
        <w:tc>
          <w:tcPr>
            <w:tcW w:w="8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Contingencies</w:t>
      </w:r>
    </w:p>
    <w:p>
      <w:pPr>
        <w:spacing w:after="0" w:line="15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40" w:orient="portrait"/>
          <w:cols w:equalWidth="0" w:num="1">
            <w:col w:w="10560"/>
          </w:cols>
          <w:pgMar w:left="660" w:top="915" w:right="68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 -looking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 -looking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this Form 10-Q, as well as the disclosures made in the Company’s Annual Report on Form 10-K for the year ended December 31, 2022 filed on March 8, 2023 (“Form 10-K”), and other filings we make with the Securities and Exchange Commission (the "SEC").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135" w:lineRule="exact"/>
        <w:rPr>
          <w:sz w:val="20"/>
          <w:szCs w:val="20"/>
          <w:color w:val="auto"/>
        </w:rPr>
      </w:pPr>
    </w:p>
    <w:p>
      <w:pPr>
        <w:ind w:right="800"/>
        <w:spacing w:after="0" w:line="439" w:lineRule="auto"/>
        <w:rPr>
          <w:sz w:val="20"/>
          <w:szCs w:val="20"/>
          <w:color w:val="auto"/>
        </w:rPr>
      </w:pPr>
      <w:r>
        <w:rPr>
          <w:rFonts w:ascii="Times New Roman" w:cs="Times New Roman" w:eastAsia="Times New Roman" w:hAnsi="Times New Roman"/>
          <w:sz w:val="16"/>
          <w:szCs w:val="16"/>
          <w:i w:val="1"/>
          <w:iCs w:val="1"/>
          <w:color w:val="auto"/>
        </w:rPr>
        <w:t xml:space="preserve">References in this discussion and analysis to “we,” “us,” “our,” “red violet,” or the “Company,” refer to Red Violet, Inc. and its consolidated subsidiaries. </w:t>
      </w:r>
      <w:r>
        <w:rPr>
          <w:rFonts w:ascii="Times New Roman" w:cs="Times New Roman" w:eastAsia="Times New Roman" w:hAnsi="Times New Roman"/>
          <w:sz w:val="16"/>
          <w:szCs w:val="16"/>
          <w:b w:val="1"/>
          <w:bCs w:val="1"/>
          <w:color w:val="auto"/>
        </w:rPr>
        <w:t>Overview</w:t>
      </w:r>
    </w:p>
    <w:p>
      <w:pPr>
        <w:spacing w:after="0" w:line="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Red Violet, Inc.,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w:t>
      </w:r>
    </w:p>
    <w:p>
      <w:pPr>
        <w:spacing w:after="0" w:line="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6"/>
          <w:szCs w:val="16"/>
          <w:color w:val="auto"/>
        </w:rPr>
        <w:t>mitigation, due diligence, fraud detection and prevention, regulatory compliance, and customer acquisition. Our intelligent platform, CORE</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33"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 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50"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5"/>
          <w:szCs w:val="15"/>
          <w:color w:val="auto"/>
        </w:rPr>
        <w:t>While our platform powers many diverse solutions for our customers, we presently market our solutions primarily through two brands, IDI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xml:space="preserve"> and FOREWARN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5"/>
          <w:szCs w:val="15"/>
          <w:color w:val="auto"/>
        </w:rPr>
        <w:t>. IDI is a leading-edge, analytics and information solutions provider delivering actionable intelligence to the risk management industry in support of use cases such as the</w:t>
      </w:r>
    </w:p>
    <w:p>
      <w:pPr>
        <w:ind w:right="60"/>
        <w:spacing w:after="0" w:line="230" w:lineRule="auto"/>
        <w:rPr>
          <w:sz w:val="20"/>
          <w:szCs w:val="20"/>
          <w:color w:val="auto"/>
        </w:rPr>
      </w:pPr>
      <w:r>
        <w:rPr>
          <w:rFonts w:ascii="Times New Roman" w:cs="Times New Roman" w:eastAsia="Times New Roman" w:hAnsi="Times New Roman"/>
          <w:sz w:val="16"/>
          <w:szCs w:val="16"/>
          <w:color w:val="auto"/>
        </w:rPr>
        <w:t>verification and authentication of consumer identities, due diligence, prevention of fraud and abuse, legislative compliance, and debt recovery. idiCORE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June 30, 2023 and 2022, IDI had 7,497 and 6,817 billable customers and FOREWARN had 146,537 and 101,261 users, respectively. We define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we count the entire organization as a discrete customer. We define a user of FOREWARN as a unique person that has a subscription to use the FOREWARN service as of the last day of the period. A unique person can only have one user account.</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023" w:right="640" w:bottom="1440" w:gutter="0" w:footer="0" w:header="0"/>
        </w:sectPr>
      </w:pPr>
    </w:p>
    <w:bookmarkStart w:id="13" w:name="page14"/>
    <w:bookmarkEnd w:id="13"/>
    <w:p>
      <w:pPr>
        <w:ind w:right="100"/>
        <w:spacing w:after="0" w:line="239" w:lineRule="auto"/>
        <w:rPr>
          <w:sz w:val="20"/>
          <w:szCs w:val="20"/>
          <w:color w:val="auto"/>
        </w:rPr>
      </w:pPr>
      <w:r>
        <w:rPr>
          <w:rFonts w:ascii="Times New Roman" w:cs="Times New Roman" w:eastAsia="Times New Roman" w:hAnsi="Times New Roman"/>
          <w:sz w:val="16"/>
          <w:szCs w:val="16"/>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June 30, 2023 and 2022, 79% and 80% of total revenue was attributable to customers with pricing contracts, respectively, versus 21% and 20% attributable to transactional customers, respectively. For the six months ended June 30, 2023 and 2022, 77% and 78% of total revenue was attributable to customers with pricing contracts, respectively, versus 23% and 22% attributable to transactional customers, respectively.</w:t>
      </w:r>
    </w:p>
    <w:p>
      <w:pPr>
        <w:spacing w:after="0" w:line="13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 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 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37"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5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For additional information, please refer to our Form 10-K. There have been no material changes to Critical Accounting Policies and Estimates disclosed in our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Recently issued accounting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1(b), “</w:t>
      </w:r>
      <w:r>
        <w:rPr>
          <w:rFonts w:ascii="Times New Roman" w:cs="Times New Roman" w:eastAsia="Times New Roman" w:hAnsi="Times New Roman"/>
          <w:sz w:val="16"/>
          <w:szCs w:val="16"/>
          <w:i w:val="1"/>
          <w:iCs w:val="1"/>
          <w:color w:val="auto"/>
        </w:rPr>
        <w:t>Recently issued accounting standards,”</w:t>
      </w:r>
      <w:r>
        <w:rPr>
          <w:rFonts w:ascii="Times New Roman" w:cs="Times New Roman" w:eastAsia="Times New Roman" w:hAnsi="Times New Roman"/>
          <w:sz w:val="16"/>
          <w:szCs w:val="16"/>
          <w:color w:val="auto"/>
        </w:rPr>
        <w:t xml:space="preserve"> in “Notes to Condensed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Financial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three months ended June 30, 2023, as compared to the three months ended June 30,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revenue increased 17% to $14.7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•Gross profit increased 18% to $9.4 million. Gross margin remained consistent at 64%.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gross profit increased 19% to $11.4 million. Adjusted gross margin increased to 78% from 77%.</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•Net income was $1.4 million compared to a net loss of $0.2 million, which resulted in earnings of $0.10 per basic and diluted share. Net income margin increased to 9% from a net loss margin of (2%).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EBITDA increased 58% to $4.6 million. Adjusted EBITDA margin increased to 32% from 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from operating activities increased 40% to $3.5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were $31.4 million as of June 30, 2023.</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93" w:right="66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Second Quarter and Recent Business Highlights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•Added 241 customers to IDI during the second quarter, ending the quarter with 7,497 customers.</w:t>
      </w:r>
    </w:p>
    <w:p>
      <w:pPr>
        <w:spacing w:after="0" w:line="105"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16"/>
          <w:szCs w:val="16"/>
          <w:color w:val="auto"/>
        </w:rPr>
        <w:t>•Added 15,189 users to FOREWARN during the second quarter, ending the quarter with 146,537 users. Over 285 REALTOR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Associations throughout the U.S. are now contracted to use FOREWARN.</w:t>
      </w:r>
    </w:p>
    <w:p>
      <w:pPr>
        <w:spacing w:after="0" w:line="73" w:lineRule="exact"/>
        <w:rPr>
          <w:sz w:val="20"/>
          <w:szCs w:val="20"/>
          <w:color w:val="auto"/>
        </w:rPr>
      </w:pPr>
    </w:p>
    <w:p>
      <w:pPr>
        <w:ind w:right="640"/>
        <w:spacing w:after="0" w:line="247" w:lineRule="auto"/>
        <w:rPr>
          <w:sz w:val="20"/>
          <w:szCs w:val="20"/>
          <w:color w:val="auto"/>
        </w:rPr>
      </w:pPr>
      <w:r>
        <w:rPr>
          <w:rFonts w:ascii="Times New Roman" w:cs="Times New Roman" w:eastAsia="Times New Roman" w:hAnsi="Times New Roman"/>
          <w:sz w:val="16"/>
          <w:szCs w:val="16"/>
          <w:color w:val="auto"/>
        </w:rPr>
        <w:t>•Purchased 55,018 shares of the Company’s common stock during the six months ended June 30, 2023, at an average price of $17.04 per share pursuant to the Company’s $5.0 million Stock Repurchase Program that was authorized on May 2, 2022. The Company has $3.2 million remaining under the Stock Repurchase Program.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and Reconciliation of Non-GAAP Financial Measures</w:t>
      </w:r>
    </w:p>
    <w:p>
      <w:pPr>
        <w:spacing w:after="0" w:line="154"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6"/>
          <w:szCs w:val="16"/>
          <w:color w:val="auto"/>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(loss), the most directly comparable financial measure based on US GAAP, excluding interest income, net, income tax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760" w:type="dxa"/>
            <w:vAlign w:val="bottom"/>
            <w:shd w:val="clear" w:color="auto" w:fill="CFF0FC"/>
          </w:tcPr>
          <w:p>
            <w:pPr>
              <w:jc w:val="right"/>
              <w:ind w:right="607"/>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(205 )</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 net</w:t>
            </w:r>
          </w:p>
        </w:tc>
        <w:tc>
          <w:tcPr>
            <w:tcW w:w="7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(315 )</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(601 )</w:t>
            </w: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760" w:type="dxa"/>
            <w:vAlign w:val="bottom"/>
            <w:shd w:val="clear" w:color="auto" w:fill="CFF0FC"/>
          </w:tcPr>
          <w:p>
            <w:pPr>
              <w:spacing w:after="0"/>
              <w:rPr>
                <w:sz w:val="17"/>
                <w:szCs w:val="17"/>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7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46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Litigation costs</w:t>
            </w:r>
          </w:p>
        </w:tc>
        <w:tc>
          <w:tcPr>
            <w:tcW w:w="76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4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Write-off of long-lived assets and others</w:t>
            </w: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76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80" w:type="dxa"/>
            <w:vAlign w:val="bottom"/>
            <w:shd w:val="clear" w:color="auto" w:fill="CFF0FC"/>
          </w:tcPr>
          <w:p>
            <w:pPr>
              <w:ind w:left="20"/>
              <w:spacing w:after="0" w:line="180" w:lineRule="exact"/>
              <w:rPr>
                <w:sz w:val="20"/>
                <w:szCs w:val="20"/>
                <w:color w:val="auto"/>
              </w:rPr>
            </w:pPr>
            <w:r>
              <w:rPr>
                <w:rFonts w:ascii="Times New Roman" w:cs="Times New Roman" w:eastAsia="Times New Roman" w:hAnsi="Times New Roman"/>
                <w:sz w:val="16"/>
                <w:szCs w:val="16"/>
                <w:color w:val="auto"/>
              </w:rPr>
              <w:t>Revenue</w:t>
            </w:r>
          </w:p>
        </w:tc>
        <w:tc>
          <w:tcPr>
            <w:tcW w:w="760" w:type="dxa"/>
            <w:vAlign w:val="bottom"/>
            <w:shd w:val="clear" w:color="auto" w:fill="CFF0FC"/>
          </w:tcPr>
          <w:p>
            <w:pPr>
              <w:jc w:val="right"/>
              <w:ind w:right="607"/>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5"/>
              </w:rPr>
              <w:t>14,680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85"/>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99"/>
              </w:rPr>
              <w:t>12,494</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29,306</w:t>
            </w: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25,223</w:t>
            </w:r>
          </w:p>
        </w:tc>
        <w:tc>
          <w:tcPr>
            <w:tcW w:w="8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margin</w:t>
            </w:r>
          </w:p>
        </w:tc>
        <w:tc>
          <w:tcPr>
            <w:tcW w:w="760" w:type="dxa"/>
            <w:vAlign w:val="bottom"/>
          </w:tcPr>
          <w:p>
            <w:pPr>
              <w:spacing w:after="0"/>
              <w:rPr>
                <w:sz w:val="17"/>
                <w:szCs w:val="17"/>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9 %</w:t>
            </w:r>
          </w:p>
        </w:tc>
        <w:tc>
          <w:tcPr>
            <w:tcW w:w="84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(2 %)</w:t>
            </w:r>
          </w:p>
        </w:tc>
        <w:tc>
          <w:tcPr>
            <w:tcW w:w="2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7 %</w:t>
            </w:r>
          </w:p>
        </w:tc>
        <w:tc>
          <w:tcPr>
            <w:tcW w:w="3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8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32 %</w:t>
            </w:r>
          </w:p>
        </w:tc>
        <w:tc>
          <w:tcPr>
            <w:tcW w:w="84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28 %</w:t>
            </w:r>
          </w:p>
        </w:tc>
        <w:tc>
          <w:tcPr>
            <w:tcW w:w="320" w:type="dxa"/>
            <w:vAlign w:val="bottom"/>
          </w:tcPr>
          <w:p>
            <w:pPr>
              <w:spacing w:after="0"/>
              <w:rPr>
                <w:sz w:val="15"/>
                <w:szCs w:val="15"/>
                <w:color w:val="auto"/>
              </w:rPr>
            </w:pPr>
          </w:p>
        </w:tc>
        <w:tc>
          <w:tcPr>
            <w:tcW w:w="1180" w:type="dxa"/>
            <w:vAlign w:val="bottom"/>
            <w:gridSpan w:val="3"/>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gross profit, the most directly comparable US GAAP financial measure, to adjusted gross profit: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60" w:type="dxa"/>
            <w:vAlign w:val="bottom"/>
          </w:tcPr>
          <w:p>
            <w:pPr>
              <w:spacing w:after="0"/>
              <w:rPr>
                <w:sz w:val="15"/>
                <w:szCs w:val="15"/>
                <w:color w:val="auto"/>
              </w:rPr>
            </w:pPr>
          </w:p>
        </w:tc>
      </w:tr>
      <w:tr>
        <w:trPr>
          <w:trHeight w:val="177"/>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gridSpan w:val="2"/>
            <w:shd w:val="clear" w:color="auto" w:fill="CFF0FC"/>
          </w:tcPr>
          <w:p>
            <w:pPr>
              <w:jc w:val="right"/>
              <w:ind w:right="614"/>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14,680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12,494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29,306</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25,223</w:t>
            </w:r>
          </w:p>
        </w:tc>
        <w:tc>
          <w:tcPr>
            <w:tcW w:w="8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9"/>
        </w:trPr>
        <w:tc>
          <w:tcPr>
            <w:tcW w:w="4660" w:type="dxa"/>
            <w:vAlign w:val="bottom"/>
          </w:tcPr>
          <w:p>
            <w:pPr>
              <w:ind w:left="20"/>
              <w:spacing w:after="0" w:line="179" w:lineRule="exact"/>
              <w:rPr>
                <w:sz w:val="20"/>
                <w:szCs w:val="20"/>
                <w:color w:val="auto"/>
              </w:rPr>
            </w:pPr>
            <w:r>
              <w:rPr>
                <w:rFonts w:ascii="Times New Roman" w:cs="Times New Roman" w:eastAsia="Times New Roman" w:hAnsi="Times New Roman"/>
                <w:sz w:val="16"/>
                <w:szCs w:val="16"/>
                <w:color w:val="auto"/>
              </w:rPr>
              <w:t>Cost of revenue (exclusive of depreciation and</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4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(3,240 )</w:t>
            </w:r>
          </w:p>
        </w:tc>
        <w:tc>
          <w:tcPr>
            <w:tcW w:w="8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(2,920 )</w:t>
            </w:r>
          </w:p>
        </w:tc>
        <w:tc>
          <w:tcPr>
            <w:tcW w:w="28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(6,419 )</w:t>
            </w:r>
          </w:p>
        </w:tc>
        <w:tc>
          <w:tcPr>
            <w:tcW w:w="32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(6,090 )</w:t>
            </w:r>
          </w:p>
        </w:tc>
        <w:tc>
          <w:tcPr>
            <w:tcW w:w="60" w:type="dxa"/>
            <w:vAlign w:val="bottom"/>
          </w:tcPr>
          <w:p>
            <w:pPr>
              <w:spacing w:after="0"/>
              <w:rPr>
                <w:sz w:val="17"/>
                <w:szCs w:val="17"/>
                <w:color w:val="auto"/>
              </w:rPr>
            </w:pPr>
          </w:p>
        </w:tc>
      </w:tr>
      <w:tr>
        <w:trPr>
          <w:trHeight w:val="205"/>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8"/>
              </w:rPr>
              <w:t>(1,995 )</w:t>
            </w:r>
          </w:p>
        </w:tc>
        <w:tc>
          <w:tcPr>
            <w:tcW w:w="8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(1,551 )</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(3,853 )</w:t>
            </w: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(3,023 )</w:t>
            </w:r>
          </w:p>
        </w:tc>
        <w:tc>
          <w:tcPr>
            <w:tcW w:w="60" w:type="dxa"/>
            <w:vAlign w:val="bottom"/>
          </w:tcPr>
          <w:p>
            <w:pPr>
              <w:spacing w:after="0"/>
              <w:rPr>
                <w:sz w:val="17"/>
                <w:szCs w:val="17"/>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9,445</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8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gross profit</w:t>
            </w:r>
          </w:p>
        </w:tc>
        <w:tc>
          <w:tcPr>
            <w:tcW w:w="880" w:type="dxa"/>
            <w:vAlign w:val="bottom"/>
            <w:gridSpan w:val="2"/>
          </w:tcPr>
          <w:p>
            <w:pPr>
              <w:jc w:val="right"/>
              <w:ind w:right="614"/>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11,440</w:t>
            </w:r>
          </w:p>
        </w:tc>
        <w:tc>
          <w:tcPr>
            <w:tcW w:w="220" w:type="dxa"/>
            <w:vAlign w:val="bottom"/>
          </w:tcPr>
          <w:p>
            <w:pPr>
              <w:spacing w:after="0"/>
              <w:rPr>
                <w:sz w:val="17"/>
                <w:szCs w:val="17"/>
                <w:color w:val="auto"/>
              </w:rPr>
            </w:pPr>
          </w:p>
        </w:tc>
        <w:tc>
          <w:tcPr>
            <w:tcW w:w="840" w:type="dxa"/>
            <w:vAlign w:val="bottom"/>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9,574</w:t>
            </w:r>
          </w:p>
        </w:tc>
        <w:tc>
          <w:tcPr>
            <w:tcW w:w="220" w:type="dxa"/>
            <w:vAlign w:val="bottom"/>
          </w:tcPr>
          <w:p>
            <w:pPr>
              <w:spacing w:after="0"/>
              <w:rPr>
                <w:sz w:val="17"/>
                <w:szCs w:val="17"/>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22,887</w:t>
            </w:r>
          </w:p>
        </w:tc>
        <w:tc>
          <w:tcPr>
            <w:tcW w:w="18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64 %</w:t>
            </w:r>
          </w:p>
        </w:tc>
        <w:tc>
          <w:tcPr>
            <w:tcW w:w="8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64 %</w:t>
            </w:r>
          </w:p>
        </w:tc>
        <w:tc>
          <w:tcPr>
            <w:tcW w:w="28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65 %</w:t>
            </w:r>
          </w:p>
        </w:tc>
        <w:tc>
          <w:tcPr>
            <w:tcW w:w="32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0"/>
        </w:trPr>
        <w:tc>
          <w:tcPr>
            <w:tcW w:w="466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Adjusted gross margin</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78 %</w:t>
            </w:r>
          </w:p>
        </w:tc>
        <w:tc>
          <w:tcPr>
            <w:tcW w:w="840" w:type="dxa"/>
            <w:vAlign w:val="bottom"/>
          </w:tcPr>
          <w:p>
            <w:pPr>
              <w:spacing w:after="0"/>
              <w:rPr>
                <w:sz w:val="15"/>
                <w:szCs w:val="15"/>
                <w:color w:val="auto"/>
              </w:rPr>
            </w:pPr>
          </w:p>
        </w:tc>
        <w:tc>
          <w:tcPr>
            <w:tcW w:w="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77 %</w:t>
            </w:r>
          </w:p>
        </w:tc>
        <w:tc>
          <w:tcPr>
            <w:tcW w:w="280" w:type="dxa"/>
            <w:vAlign w:val="bottom"/>
          </w:tcPr>
          <w:p>
            <w:pPr>
              <w:spacing w:after="0"/>
              <w:rPr>
                <w:sz w:val="15"/>
                <w:szCs w:val="15"/>
                <w:color w:val="auto"/>
              </w:rPr>
            </w:pPr>
          </w:p>
        </w:tc>
        <w:tc>
          <w:tcPr>
            <w:tcW w:w="11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78 %</w:t>
            </w:r>
          </w:p>
        </w:tc>
        <w:tc>
          <w:tcPr>
            <w:tcW w:w="320" w:type="dxa"/>
            <w:vAlign w:val="bottom"/>
          </w:tcPr>
          <w:p>
            <w:pPr>
              <w:spacing w:after="0"/>
              <w:rPr>
                <w:sz w:val="15"/>
                <w:szCs w:val="15"/>
                <w:color w:val="auto"/>
              </w:rPr>
            </w:pPr>
          </w:p>
        </w:tc>
        <w:tc>
          <w:tcPr>
            <w:tcW w:w="114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color w:val="auto"/>
              </w:rPr>
              <w:t>76 %</w:t>
            </w: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the most directly comparable US GAAP measure, to FCF:</w:t>
      </w:r>
    </w:p>
    <w:p>
      <w:pPr>
        <w:spacing w:after="0" w:line="36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10660"/>
          </w:cols>
          <w:pgMar w:left="660" w:top="927" w:right="58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6"/>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6"/>
                <w:szCs w:val="16"/>
                <w:color w:val="auto"/>
              </w:rPr>
            </w:pPr>
          </w:p>
        </w:tc>
        <w:tc>
          <w:tcPr>
            <w:tcW w:w="980" w:type="dxa"/>
            <w:vAlign w:val="bottom"/>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44"/>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6"/>
                <w:szCs w:val="16"/>
                <w:color w:val="auto"/>
              </w:rPr>
            </w:pPr>
          </w:p>
        </w:tc>
      </w:tr>
      <w:tr>
        <w:trPr>
          <w:trHeight w:val="208"/>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80" w:type="dxa"/>
            <w:vAlign w:val="bottom"/>
            <w:shd w:val="clear" w:color="auto" w:fill="CFF0FC"/>
          </w:tcPr>
          <w:p>
            <w:pPr>
              <w:spacing w:after="0"/>
              <w:rPr>
                <w:sz w:val="18"/>
                <w:szCs w:val="18"/>
                <w:color w:val="auto"/>
              </w:rPr>
            </w:pP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(221 )</w:t>
            </w:r>
          </w:p>
        </w:tc>
      </w:tr>
      <w:tr>
        <w:trPr>
          <w:trHeight w:val="20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costs included in intangible assets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(2,099 )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(4,509 )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(3,893 )</w:t>
            </w:r>
          </w:p>
        </w:tc>
      </w:tr>
      <w:tr>
        <w:trPr>
          <w:trHeight w:val="245"/>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8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41" w:lineRule="auto"/>
        <w:rPr>
          <w:sz w:val="20"/>
          <w:szCs w:val="20"/>
          <w:color w:val="auto"/>
        </w:rPr>
      </w:pPr>
      <w:r>
        <w:rPr>
          <w:rFonts w:ascii="Times New Roman" w:cs="Times New Roman" w:eastAsia="Times New Roman" w:hAnsi="Times New Roman"/>
          <w:sz w:val="16"/>
          <w:szCs w:val="16"/>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33"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3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Three months ended June 30, 2023 compared to three months ended June 30, 2022</w:t>
      </w:r>
    </w:p>
    <w:p>
      <w:pPr>
        <w:spacing w:after="0" w:line="15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color w:val="auto"/>
        </w:rPr>
        <w:t>. Revenue increased $2.2 million or 17% to $14.7 million for the three months ended June 30, 2023 from $12.5 million for the three months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Revenue from new customers increased $0.3 million or 42%, base revenue from existing customers increased $1.6 million or 15%, and growth revenue from existing customers increased $0.3 million or 20%. Our IDI billable customer base grew from 6,817 customers as of June 30, 2022 to 7,497 customers as of June 30, 2023, and our FOREWARN user base grew from 101,261 users to 146,537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10580"/>
          </w:cols>
          <w:pgMar w:left="660" w:top="772" w:right="66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 (exclusive of depreciation and amortization)</w:t>
      </w:r>
      <w:r>
        <w:rPr>
          <w:rFonts w:ascii="Times New Roman" w:cs="Times New Roman" w:eastAsia="Times New Roman" w:hAnsi="Times New Roman"/>
          <w:sz w:val="16"/>
          <w:szCs w:val="16"/>
          <w:color w:val="auto"/>
        </w:rPr>
        <w:t>. Cost of revenue increased $ 0.3 million or 11% to $3.2 million for the three months ended June 30,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$2.9 million for the three months ended June 30, 2022. Our cost of revenue primarily includes data acquisition costs. Data acquisition costs consist primarily of the costs to acquire data either on a transactional basis or through flat -fee data licensing agreements, including unlimited usage agreements. We continue to enhance the breadth and depth of our data through the addition and expansion of relationships with key data suppliers, including our largest data supplier, which accounted for 48% of our total data acquisition costs for the three months ended June 30, 2023 and 2022. Other cost of revenue items include expenses related to third-party infrastructure fees and pertinent personnel costs.</w:t>
      </w:r>
    </w:p>
    <w:p>
      <w:pPr>
        <w:spacing w:after="0" w:line="136"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As the construct of our data costs is primarily a flat-fee, unlimited usage model, the cost of revenue as a percentage of revenue decreased to 22% for the three months ended June 30, 2023 from 23% for the three months ended June 30, 2022.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9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Sales and marketing expenses</w:t>
      </w:r>
      <w:r>
        <w:rPr>
          <w:rFonts w:ascii="Times New Roman" w:cs="Times New Roman" w:eastAsia="Times New Roman" w:hAnsi="Times New Roman"/>
          <w:sz w:val="16"/>
          <w:szCs w:val="16"/>
          <w:color w:val="auto"/>
        </w:rPr>
        <w:t>. Sales and marketing expenses increased $0.3 million or 9% to $3.1 million for the three months ended June 30, 2023 from $2.8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three months ended June 30, 2022. Sales and marketing expenses consist of salaries and benefits, advertising and marketing, travel expenses, and share-based compensation expense, incurred by our sales team, and provision for bad debts. The increase during the three months ended June 30, 2023 was primarily attributable to the increase of $0.1 million in salaries and benefits, and $0.1 million in provision for bad debts.</w:t>
      </w:r>
    </w:p>
    <w:p>
      <w:pPr>
        <w:spacing w:after="0" w:line="12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color w:val="auto"/>
        </w:rPr>
        <w:t>. General and administrative expenses decreased $ 0.2 million or 4% to $5.1 million for the three months ended June 30, 2023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$5.3 million for the three months ended June 30, 2022. For the three months ended June 30, 2023 and 2022, our general and administrative expenses consisted primarily of employee salaries and benefits of $2.6 million and $2.5 million, respectively, share-based compensation expense of $1.2 million and $1.3 million, respectively, and professional fees of $0.8 million and $0.9 million, respectively.</w:t>
      </w:r>
    </w:p>
    <w:p>
      <w:pPr>
        <w:spacing w:after="0" w:line="12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r>
        <w:rPr>
          <w:rFonts w:ascii="Times New Roman" w:cs="Times New Roman" w:eastAsia="Times New Roman" w:hAnsi="Times New Roman"/>
          <w:sz w:val="16"/>
          <w:szCs w:val="16"/>
          <w:color w:val="auto"/>
        </w:rPr>
        <w:t>. Depreciation and amortization expenses increased $0.5 million or 27% to $2.1 million for the three months ended June 30, 2023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$1.6 million for the three months ended June 30, 2022. The increase in depreciation and amortization for the three months ended June 30, 2023 resulted primarily from the amortization of software developed for internal use that became ready for its intended use after June 30, 2022.</w:t>
      </w:r>
    </w:p>
    <w:p>
      <w:pPr>
        <w:spacing w:after="0" w:line="12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Interest income, net</w:t>
      </w:r>
      <w:r>
        <w:rPr>
          <w:rFonts w:ascii="Times New Roman" w:cs="Times New Roman" w:eastAsia="Times New Roman" w:hAnsi="Times New Roman"/>
          <w:sz w:val="16"/>
          <w:szCs w:val="16"/>
          <w:color w:val="auto"/>
        </w:rPr>
        <w:t>. Interest income of $0.3 million for the three months ended June 30, 2023 was primarily due to interest income earned on investments in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money market funds. There was no interest income for the three months ended June 30, 2022.</w:t>
      </w:r>
    </w:p>
    <w:p>
      <w:pPr>
        <w:spacing w:after="0" w:line="11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(loss) before income taxes </w:t>
      </w:r>
      <w:r>
        <w:rPr>
          <w:rFonts w:ascii="Times New Roman" w:cs="Times New Roman" w:eastAsia="Times New Roman" w:hAnsi="Times New Roman"/>
          <w:sz w:val="16"/>
          <w:szCs w:val="16"/>
          <w:color w:val="auto"/>
        </w:rPr>
        <w:t>. Income before income taxes was $1.5 million for the three months ended June 30, 2023 compared to a loss of $ 0.2 million for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three months ended June 30, 2022. The change was primarily attributable to the increase in revenue, decrease in our cost of revenue as a percentage of revenue, and increase in interest income, which was partially offset by the increase in depreciation and amortization of $0.5 million.</w:t>
      </w:r>
    </w:p>
    <w:p>
      <w:pPr>
        <w:spacing w:after="0" w:line="124" w:lineRule="exact"/>
        <w:rPr>
          <w:sz w:val="20"/>
          <w:szCs w:val="20"/>
          <w:color w:val="auto"/>
        </w:rPr>
      </w:pPr>
    </w:p>
    <w:p>
      <w:pPr>
        <w:jc w:val="both"/>
        <w:ind w:right="36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Income taxes</w:t>
      </w:r>
      <w:r>
        <w:rPr>
          <w:rFonts w:ascii="Times New Roman" w:cs="Times New Roman" w:eastAsia="Times New Roman" w:hAnsi="Times New Roman"/>
          <w:sz w:val="16"/>
          <w:szCs w:val="16"/>
          <w:color w:val="auto"/>
        </w:rPr>
        <w:t>. Income tax expense of $0.2 million and $0.04 million was recognized for the three months ended June 30, 2023 and 2022, respectively. A valuation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allowance on the deferred tax assets was recognized as of June 30, 2023 and 2022, to reduce the deferred tax assets to the amount that is more likely than not to be realized. See Note 6, “Income taxes,” included in “Notes to Condensed Consolidated Financial Statements.”</w:t>
      </w:r>
    </w:p>
    <w:p>
      <w:pPr>
        <w:spacing w:after="0" w:line="124"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Net income (loss)</w:t>
      </w:r>
      <w:r>
        <w:rPr>
          <w:rFonts w:ascii="Times New Roman" w:cs="Times New Roman" w:eastAsia="Times New Roman" w:hAnsi="Times New Roman"/>
          <w:sz w:val="16"/>
          <w:szCs w:val="16"/>
          <w:color w:val="auto"/>
        </w:rPr>
        <w:t>. Net income was $1.4 million for the three months ended June 30, 2023 compared to a net loss of $0.2 million for the three months ended June 30,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as a result of the foregoing.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Six months ended June 30, 2023 compared to six months ended June 30, 2022</w:t>
      </w:r>
    </w:p>
    <w:p>
      <w:pPr>
        <w:spacing w:after="0" w:line="15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color w:val="auto"/>
        </w:rPr>
        <w:t>. Revenue increased $4.1 million or 16% to $29.3 million for the six months ended June 30, 2023 from $25.2 million for the six months ended June 30,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Revenue from new customers increased $1.2 million or 66%, and base revenue from existing customers increased $2.9 million or 15%, while growth revenue from existing customers remained consistent. Our IDI billable customer base grew from 6,817 customers as of June 30, 2022 to 7,497 customers as of June 30, 2023, and our FOREWARN user base grew from 101,261 users to 146,537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89" w:right="70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 (exclusive of depreciation and amortization)</w:t>
      </w:r>
      <w:r>
        <w:rPr>
          <w:rFonts w:ascii="Times New Roman" w:cs="Times New Roman" w:eastAsia="Times New Roman" w:hAnsi="Times New Roman"/>
          <w:sz w:val="16"/>
          <w:szCs w:val="16"/>
          <w:color w:val="auto"/>
        </w:rPr>
        <w:t>. Cost of revenue increased $0.3 million or 5% to $6.4 million for the six months ended June 30, 2023</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$6.1 million for the six months ended June 30, 2022. Our cost of revenue primarily includes data acquisition costs. Data acquisition costs consist primarily of the costs to acquire data either on a transactional basis or through flat -fee data licensing agreements, including unlimited usage agreements. We continue to enhance the breadth and depth of our data through the addition and expansion of relationships with key data suppliers, including our largest data supplier, which accounted for 48% of our total data acquisition costs for the six months ended June 30, 2023 and 2022. Other cost of revenue items include expenses related to third-party infrastructure fees and pertinent personnel costs.</w:t>
      </w:r>
    </w:p>
    <w:p>
      <w:pPr>
        <w:spacing w:after="0" w:line="136"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As the construct of our data costs is primarily a flat-fee, unlimited usage model, the cost of revenue as a percentage of revenue decreased to 22% for the six months ended June 30, 2023 from 24% for the six months ended June 30, 2022.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9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b w:val="1"/>
          <w:bCs w:val="1"/>
          <w:i w:val="1"/>
          <w:iCs w:val="1"/>
          <w:color w:val="auto"/>
        </w:rPr>
        <w:t>Sales and marketing expenses</w:t>
      </w:r>
      <w:r>
        <w:rPr>
          <w:rFonts w:ascii="Times New Roman" w:cs="Times New Roman" w:eastAsia="Times New Roman" w:hAnsi="Times New Roman"/>
          <w:sz w:val="14"/>
          <w:szCs w:val="14"/>
          <w:color w:val="auto"/>
        </w:rPr>
        <w:t>. Sales and marketing expenses increased $1.8 million or 34% to $7.0 million for the six months ended June 30, 2023 from $5.2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six months ended June 30, 2022. Sales and marketing expenses consist of salaries and benefits, advertising and marketing, travel expenses, and share-based compensation expense, incurred by our sales team, and provision for bad debts. The increase during the six months ended June 30, 2023 was primarily attributable to the increase of $0.7 million in salaries and benefits, and sales commissions, resulting from increased revenue, and $0.7 million in provision for bad debts.</w:t>
      </w:r>
    </w:p>
    <w:p>
      <w:pPr>
        <w:spacing w:after="0" w:line="9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color w:val="auto"/>
        </w:rPr>
        <w:t>. General and administrative expenses decreased $0.4 million or 3% to $10.3 million for the six months ended June 30, 2023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$10.7 million for the six months ended June 30, 2022. For the six months ended June 30, 2023 and 2022, our general and administrative expenses consisted primarily of employee salaries and benefits of $5.3 million and $5.0 million, respectively, share-based compensation expense of $2.5 million and $2.6 million, respectively, and professional fees of $1.4 million and $1.8 million, respectively.</w:t>
      </w:r>
    </w:p>
    <w:p>
      <w:pPr>
        <w:spacing w:after="0" w:line="1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r>
        <w:rPr>
          <w:rFonts w:ascii="Times New Roman" w:cs="Times New Roman" w:eastAsia="Times New Roman" w:hAnsi="Times New Roman"/>
          <w:sz w:val="16"/>
          <w:szCs w:val="16"/>
          <w:color w:val="auto"/>
        </w:rPr>
        <w:t>. Depreciation and amortization expenses increased $0.9 million or 26% to $4.0 million for the six months ended June 30, 2023 from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for the six months ended June 30, 2022. The increase in depreciation and amortization for the six months ended June 30, 2023 resulted primarily from the amortization of software developed for internal use that became ready for its intended use after June 30, 2022.</w:t>
      </w:r>
    </w:p>
    <w:p>
      <w:pPr>
        <w:spacing w:after="0" w:line="124"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Interest income, net</w:t>
      </w:r>
      <w:r>
        <w:rPr>
          <w:rFonts w:ascii="Times New Roman" w:cs="Times New Roman" w:eastAsia="Times New Roman" w:hAnsi="Times New Roman"/>
          <w:sz w:val="16"/>
          <w:szCs w:val="16"/>
          <w:color w:val="auto"/>
        </w:rPr>
        <w:t>. Interest income of $0.6 million for the six months ended June 30, 2023 was primarily due to interest income earned on investments in certain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money market funds. There was no significant interest income, net for the six months ended June 30, 2022.</w:t>
      </w:r>
    </w:p>
    <w:p>
      <w:pPr>
        <w:spacing w:after="0" w:line="11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Income before income taxes</w:t>
      </w:r>
      <w:r>
        <w:rPr>
          <w:rFonts w:ascii="Times New Roman" w:cs="Times New Roman" w:eastAsia="Times New Roman" w:hAnsi="Times New Roman"/>
          <w:sz w:val="16"/>
          <w:szCs w:val="16"/>
          <w:color w:val="auto"/>
        </w:rPr>
        <w:t>. Income before income taxes was $2.2 million and $0.1 million for the six months ended June 30, 2023 and 2022, respectively.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in income before income taxes for the six months ended June 30, 2023 was primarily attributable to the increase in revenue, decrease in our cost of revenue as a percentage of revenue, and increase in interest income, which was partially offset by the increase in employee salaries and benefits and sales commissions of $1.0 million, provision for bad debts of $0.7 million, and depreciation and amortization of $0.9 million.</w:t>
      </w:r>
    </w:p>
    <w:p>
      <w:pPr>
        <w:spacing w:after="0" w:line="128"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Income taxes</w:t>
      </w:r>
      <w:r>
        <w:rPr>
          <w:rFonts w:ascii="Times New Roman" w:cs="Times New Roman" w:eastAsia="Times New Roman" w:hAnsi="Times New Roman"/>
          <w:sz w:val="16"/>
          <w:szCs w:val="16"/>
          <w:color w:val="auto"/>
        </w:rPr>
        <w:t>. Income tax expense of $0.1 million and $0.2 million was recognized for the six months ended June 30, 2023 and 2022, respectively. A valuation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allowance on the deferred tax assets was recognized as of June 30, 2023 and 2022, to reduce the deferred tax assets to the amount that is more likely than not to be realized. See Note 6, “Income taxes,” included in “Notes to Condensed Consolidated Financial Statements.”</w:t>
      </w:r>
    </w:p>
    <w:p>
      <w:pPr>
        <w:spacing w:after="0" w:line="12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Net income (loss)</w:t>
      </w:r>
      <w:r>
        <w:rPr>
          <w:rFonts w:ascii="Times New Roman" w:cs="Times New Roman" w:eastAsia="Times New Roman" w:hAnsi="Times New Roman"/>
          <w:sz w:val="16"/>
          <w:szCs w:val="16"/>
          <w:color w:val="auto"/>
        </w:rPr>
        <w:t>. Net income was $2.1 million for the six months ended June 30, 2023 compared to a net loss of $0.1 million for the six months ended June 30, 2022,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a result of the foregoing.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Inflation</w:t>
      </w:r>
    </w:p>
    <w:p>
      <w:pPr>
        <w:spacing w:after="0" w:line="15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believe that the persistent inflationary pressure throughout 2022 and up to June 30, 2023 has contributed to deteriorating macroeconomic conditions and increased recession fears, causing businesses to slow their spending over the last several months, which have resulted, and may continue to result, in fluctuations in volumes, pricing and operating margins for our services. Also, higher interest rates imposed to combat inflation, may reduce the demand for credit, which may lead to a decline in the volume of services we provide to our customers in the banking or financial industry, or other industries that are affected by these types of disruptions. However, the rates of inflation experienced in recent years have had no material impact on our financial statements as we have attempted to recover increased costs by increasing prices for our services, to the extent permitted by contracts and competition.</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89" w:right="66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52"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i w:val="1"/>
          <w:iCs w:val="1"/>
          <w:color w:val="auto"/>
        </w:rPr>
        <w:t>Cash flows provided by operating activities</w:t>
      </w:r>
      <w:r>
        <w:rPr>
          <w:rFonts w:ascii="Times New Roman" w:cs="Times New Roman" w:eastAsia="Times New Roman" w:hAnsi="Times New Roman"/>
          <w:sz w:val="16"/>
          <w:szCs w:val="16"/>
          <w:color w:val="auto"/>
        </w:rPr>
        <w:t>. For the six months ended June 30, 2023, net cash provided by operating activities was $5.1 million, primarily the result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net income of $2.1 million, adjusted for certain non-cash items (consisting of share-based compensation expense, depreciation and amortization, write-off of long-lived assets, provision for bad debts, noncash lease expenses, and deferred income tax expense) totaling $7.9 million, and the cash used as a result of changes in assets and liabilities of $4.9 million, primarily the result of the increase in accounts receivable, prepaid expenses and other current assets and other noncurrent assets, and the decrease in accounts payable, accrued expenses and other current liabilities, and operating lease liabilities. For the six months ended June 30, 2022, net cash provided by operating activities was $5.0 million, primarily the result of the net loss of $0.1 million, adjusted for certain non-cash items (consisting primarily of share-based compensation expense, depreciation and amortization, write-off of long-lived assets, provision for bad debts, noncash lease expenses, and deferred income tax expense) totaling $6.5 million, and the cash used as a result of changes in assets and liabilities of $ 1.4 million, primarily the result of the increase in accounts receivable and prepaid expenses and other current assets, and the decrease in accounts payable, deferred revenue and operating lease liabilities.</w:t>
      </w:r>
    </w:p>
    <w:p>
      <w:pPr>
        <w:spacing w:after="0" w:line="134"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6"/>
          <w:szCs w:val="16"/>
          <w:i w:val="1"/>
          <w:iCs w:val="1"/>
          <w:color w:val="auto"/>
        </w:rPr>
        <w:t>Cash flows used in investing activities</w:t>
      </w:r>
      <w:r>
        <w:rPr>
          <w:rFonts w:ascii="Times New Roman" w:cs="Times New Roman" w:eastAsia="Times New Roman" w:hAnsi="Times New Roman"/>
          <w:sz w:val="16"/>
          <w:szCs w:val="16"/>
          <w:color w:val="auto"/>
        </w:rPr>
        <w:t>. For the six months ended June 30, 2023 and 2022, net cash used in investing activities was $4.6 million and $4.1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primarily as a result of capitalized costs included in intangible assets.</w:t>
      </w:r>
    </w:p>
    <w:p>
      <w:pPr>
        <w:spacing w:after="0" w:line="11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6"/>
          <w:szCs w:val="16"/>
          <w:i w:val="1"/>
          <w:iCs w:val="1"/>
          <w:color w:val="auto"/>
        </w:rPr>
        <w:t>Cash flows used in financing activities</w:t>
      </w:r>
      <w:r>
        <w:rPr>
          <w:rFonts w:ascii="Times New Roman" w:cs="Times New Roman" w:eastAsia="Times New Roman" w:hAnsi="Times New Roman"/>
          <w:sz w:val="16"/>
          <w:szCs w:val="16"/>
          <w:color w:val="auto"/>
        </w:rPr>
        <w:t>. For the six months ended June 30, 2023, net cash used in financing activities was $1.0 million, mainly the result of $0.9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paid in aggregate for the repurchase of common stock pursuant to a stock repurchase program that the board of directors authorized on May 2, 2022 (the "Stock Repurchase Program"), authorizing the repurchase of up to $5.0 million of our common stock. For the six months ended June 30, 2022, net cash used in financing activities was $2.8 million, resulting from the taxes paid related to the net share settlement of vesting of RSUs.</w:t>
      </w:r>
    </w:p>
    <w:p>
      <w:pPr>
        <w:spacing w:after="0" w:line="13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As of June 30, 2023, we had material commitments under certain data licensing agreements of $24.5 million. We anticipate funding our operations using available cash and cash flow generated from operations within the next twelve months.</w:t>
      </w:r>
    </w:p>
    <w:p>
      <w:pPr>
        <w:spacing w:after="0" w:line="119"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We reported net income of $1.4 million and a net loss of $0.2 million for the three months ended June 30, 2023 and 2022, respectively, and net income of $2.1 million and a net loss of $0.1 million for the six months ended June 30, 2023 and 2022, respectively. As of June 30, 2023, we had a total shareholders’ equity balance of $75.8 million.</w:t>
      </w:r>
    </w:p>
    <w:p>
      <w:pPr>
        <w:spacing w:after="0" w:line="128" w:lineRule="exact"/>
        <w:rPr>
          <w:sz w:val="20"/>
          <w:szCs w:val="20"/>
          <w:color w:val="auto"/>
        </w:rPr>
      </w:pPr>
    </w:p>
    <w:p>
      <w:pPr>
        <w:jc w:val="both"/>
        <w:ind w:right="300"/>
        <w:spacing w:after="0" w:line="247" w:lineRule="auto"/>
        <w:rPr>
          <w:sz w:val="20"/>
          <w:szCs w:val="20"/>
          <w:color w:val="auto"/>
        </w:rPr>
      </w:pPr>
      <w:r>
        <w:rPr>
          <w:rFonts w:ascii="Times New Roman" w:cs="Times New Roman" w:eastAsia="Times New Roman" w:hAnsi="Times New Roman"/>
          <w:sz w:val="16"/>
          <w:szCs w:val="16"/>
          <w:color w:val="auto"/>
        </w:rPr>
        <w:t>As of June 30, 2023, we had cash and cash equivalents of approximately $ 31.4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28"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4"/>
          <w:szCs w:val="14"/>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2023, we did not have any off-balance sheet arrangements, as defined in Item 303(a)(4)(ii) of Regulation 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 smaller reporting company as defined in Rule 12b-2 of the Exchange Act, we are not required to include information required by this item.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Our management, with the participation of the Company’s Chief Executive Officer and Chief Financial Officer, evaluated the effectiveness of the Company’s disclosure controls and procedures (as defined in Rules 13a-15(e) and 15d–15(e) of the Exchange Act) as of June 30, 2023.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91" w:right="680" w:bottom="1440" w:gutter="0" w:footer="0" w:header="0"/>
        </w:sectPr>
      </w:pPr>
    </w:p>
    <w:bookmarkStart w:id="19" w:name="page20"/>
    <w:bookmarkEnd w:id="19"/>
    <w:p>
      <w:pPr>
        <w:ind w:right="340"/>
        <w:spacing w:after="0" w:line="259" w:lineRule="auto"/>
        <w:rPr>
          <w:sz w:val="20"/>
          <w:szCs w:val="20"/>
          <w:color w:val="auto"/>
        </w:rPr>
      </w:pPr>
      <w:r>
        <w:rPr>
          <w:rFonts w:ascii="Times New Roman" w:cs="Times New Roman" w:eastAsia="Times New Roman" w:hAnsi="Times New Roman"/>
          <w:sz w:val="16"/>
          <w:szCs w:val="16"/>
          <w:color w:val="auto"/>
        </w:rPr>
        <w:t>Based on the evaluation of disclosure controls and procedures (as defined in Rules 13a-15(e) and 15d- 15(e) of the Exchange Act), the Company’s Chief Executive Officer and Chief Financial Officer concluded that the Company’s disclosure controls and procedures were effective as of June 30,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There were no changes in the Company’s internal control over financial reporting identified in connection with management's evaluation pursuant to Rules 13a-15(d) or 15d- 15(d) of the Exchange Act during the fiscal quarter ended June 30, 2023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Effectiveness of Controls and Procedures and Internal Control over Financial Reporting</w:t>
      </w:r>
    </w:p>
    <w:p>
      <w:pPr>
        <w:spacing w:after="0" w:line="15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893" w:right="7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361950</wp:posOffset>
            </wp:positionH>
            <wp:positionV relativeFrom="page">
              <wp:posOffset>361950</wp:posOffset>
            </wp:positionV>
            <wp:extent cx="6829425"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t>PART II - OTHER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5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3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There have been no material changes to the risk factors previously disclosed in the Company’s Annual Report on Form 10-K for the year ended December 31, 2022 filed with the SEC on March 8,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54"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auto"/>
        </w:rPr>
        <w:t>The following table provides information relating to the Company's repurchase of common stock during the three months ended June 30, 2023 pursuant to the Stock Repurchase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 value of</w:t>
            </w:r>
          </w:p>
        </w:tc>
      </w:tr>
      <w:tr>
        <w:trPr>
          <w:trHeight w:val="156"/>
        </w:trPr>
        <w:tc>
          <w:tcPr>
            <w:tcW w:w="3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320" w:type="dxa"/>
            <w:vAlign w:val="bottom"/>
          </w:tcPr>
          <w:p>
            <w:pPr>
              <w:spacing w:after="0"/>
              <w:rPr>
                <w:sz w:val="13"/>
                <w:szCs w:val="13"/>
                <w:color w:val="auto"/>
              </w:rPr>
            </w:pPr>
          </w:p>
        </w:tc>
        <w:tc>
          <w:tcPr>
            <w:tcW w:w="168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rPr>
              <w:t>shares that may yet be</w:t>
            </w:r>
          </w:p>
        </w:tc>
      </w:tr>
      <w:tr>
        <w:trPr>
          <w:trHeight w:val="145"/>
        </w:trPr>
        <w:tc>
          <w:tcPr>
            <w:tcW w:w="3400" w:type="dxa"/>
            <w:vAlign w:val="bottom"/>
          </w:tcPr>
          <w:p>
            <w:pPr>
              <w:spacing w:after="0"/>
              <w:rPr>
                <w:sz w:val="12"/>
                <w:szCs w:val="12"/>
                <w:color w:val="auto"/>
              </w:rPr>
            </w:pPr>
          </w:p>
        </w:tc>
        <w:tc>
          <w:tcPr>
            <w:tcW w:w="13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20" w:type="dxa"/>
            <w:vAlign w:val="bottom"/>
          </w:tcPr>
          <w:p>
            <w:pPr>
              <w:spacing w:after="0"/>
              <w:rPr>
                <w:sz w:val="12"/>
                <w:szCs w:val="12"/>
                <w:color w:val="auto"/>
              </w:rPr>
            </w:pPr>
          </w:p>
        </w:tc>
        <w:tc>
          <w:tcPr>
            <w:tcW w:w="170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3"/>
                <w:szCs w:val="13"/>
                <w:b w:val="1"/>
                <w:bCs w:val="1"/>
                <w:color w:val="auto"/>
              </w:rPr>
              <w:t>Average price paid per</w:t>
            </w:r>
          </w:p>
        </w:tc>
        <w:tc>
          <w:tcPr>
            <w:tcW w:w="19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3"/>
                <w:szCs w:val="13"/>
                <w:b w:val="1"/>
                <w:bCs w:val="1"/>
                <w:color w:val="auto"/>
              </w:rPr>
              <w:t>purchased as part of publicly</w:t>
            </w:r>
          </w:p>
        </w:tc>
        <w:tc>
          <w:tcPr>
            <w:tcW w:w="20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purchased under the plans or</w:t>
            </w:r>
          </w:p>
        </w:tc>
      </w:tr>
      <w:tr>
        <w:trPr>
          <w:trHeight w:val="193"/>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380" w:type="dxa"/>
            <w:vAlign w:val="bottom"/>
          </w:tcPr>
          <w:p>
            <w:pPr>
              <w:jc w:val="right"/>
              <w:ind w:right="326"/>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584"/>
              <w:spacing w:after="0"/>
              <w:rPr>
                <w:sz w:val="20"/>
                <w:szCs w:val="20"/>
                <w:color w:val="auto"/>
              </w:rPr>
            </w:pPr>
            <w:r>
              <w:rPr>
                <w:rFonts w:ascii="Times New Roman" w:cs="Times New Roman" w:eastAsia="Times New Roman" w:hAnsi="Times New Roman"/>
                <w:sz w:val="13"/>
                <w:szCs w:val="13"/>
                <w:b w:val="1"/>
                <w:bCs w:val="1"/>
                <w:color w:val="auto"/>
              </w:rPr>
              <w:t>share</w:t>
            </w:r>
            <w:r>
              <w:rPr>
                <w:rFonts w:ascii="Times New Roman" w:cs="Times New Roman" w:eastAsia="Times New Roman" w:hAnsi="Times New Roman"/>
                <w:sz w:val="16"/>
                <w:szCs w:val="16"/>
                <w:b w:val="1"/>
                <w:bCs w:val="1"/>
                <w:color w:val="auto"/>
                <w:vertAlign w:val="superscript"/>
              </w:rPr>
              <w:t>(1)</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announced plans or programs</w:t>
            </w:r>
          </w:p>
        </w:tc>
        <w:tc>
          <w:tcPr>
            <w:tcW w:w="320" w:type="dxa"/>
            <w:vAlign w:val="bottom"/>
          </w:tcPr>
          <w:p>
            <w:pPr>
              <w:spacing w:after="0"/>
              <w:rPr>
                <w:sz w:val="16"/>
                <w:szCs w:val="16"/>
                <w:color w:val="auto"/>
              </w:rPr>
            </w:pPr>
          </w:p>
        </w:tc>
        <w:tc>
          <w:tcPr>
            <w:tcW w:w="1680" w:type="dxa"/>
            <w:vAlign w:val="bottom"/>
          </w:tcPr>
          <w:p>
            <w:pPr>
              <w:jc w:val="center"/>
              <w:ind w:right="187"/>
              <w:spacing w:after="0"/>
              <w:rPr>
                <w:sz w:val="20"/>
                <w:szCs w:val="20"/>
                <w:color w:val="auto"/>
              </w:rPr>
            </w:pPr>
            <w:r>
              <w:rPr>
                <w:rFonts w:ascii="Times New Roman" w:cs="Times New Roman" w:eastAsia="Times New Roman" w:hAnsi="Times New Roman"/>
                <w:sz w:val="13"/>
                <w:szCs w:val="13"/>
                <w:b w:val="1"/>
                <w:bCs w:val="1"/>
                <w:color w:val="auto"/>
                <w:w w:val="99"/>
              </w:rPr>
              <w:t>programs</w:t>
            </w:r>
          </w:p>
        </w:tc>
      </w:tr>
      <w:tr>
        <w:trPr>
          <w:trHeight w:val="204"/>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April 1, 2023 - April 30,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21,430</w:t>
            </w: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rPr>
              <w:t>16.20</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21,430</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3,576,251</w:t>
            </w: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2023 - May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19,913</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16.99</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19,913</w:t>
            </w:r>
          </w:p>
        </w:tc>
        <w:tc>
          <w:tcPr>
            <w:tcW w:w="100" w:type="dxa"/>
            <w:vAlign w:val="bottom"/>
          </w:tcPr>
          <w:p>
            <w:pPr>
              <w:spacing w:after="0"/>
              <w:rPr>
                <w:sz w:val="17"/>
                <w:szCs w:val="17"/>
                <w:color w:val="auto"/>
              </w:rPr>
            </w:pPr>
          </w:p>
        </w:tc>
        <w:tc>
          <w:tcPr>
            <w:tcW w:w="32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3,237,993</w:t>
            </w:r>
          </w:p>
        </w:tc>
      </w:tr>
      <w:tr>
        <w:trPr>
          <w:trHeight w:val="205"/>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June 1, 2023 - June 30, 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5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6"/>
                <w:szCs w:val="16"/>
                <w:color w:val="auto"/>
              </w:rPr>
              <w:t>18.78</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6"/>
                <w:szCs w:val="16"/>
                <w:color w:val="auto"/>
              </w:rPr>
              <w:t>3,186,560</w:t>
            </w:r>
          </w:p>
        </w:tc>
      </w:tr>
      <w:tr>
        <w:trPr>
          <w:trHeight w:val="20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44,081</w:t>
            </w:r>
          </w:p>
        </w:tc>
        <w:tc>
          <w:tcPr>
            <w:tcW w:w="12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16.71</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3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(1)Exclusive of commission fees incurred in relation to the repurchase of common stock.</w:t>
      </w:r>
    </w:p>
    <w:p>
      <w:pPr>
        <w:spacing w:after="0" w:line="15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On May 2, 2022, the Company's board of directors authorized the repurchase of up to $ 5.0 million of the Company's common stock pursuant to the Stock Repurchase Program. The Stock Repurchase Program does not obligate the Company to repurchase any shares and it may be modified, suspended or terminated at any time and for any reason at the discretion of the board of directors.</w:t>
      </w:r>
    </w:p>
    <w:p>
      <w:pPr>
        <w:spacing w:after="0" w:line="128"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40" w:orient="portrait"/>
          <w:cols w:equalWidth="0" w:num="1">
            <w:col w:w="10560"/>
          </w:cols>
          <w:pgMar w:left="660" w:top="1023" w:right="68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or incorporated by reference into, this Quarterly Report on Form 10-Q.</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060" w:type="dxa"/>
            <w:vAlign w:val="bottom"/>
          </w:tcPr>
          <w:p>
            <w:pPr>
              <w:spacing w:after="0"/>
              <w:rPr>
                <w:sz w:val="12"/>
                <w:szCs w:val="12"/>
                <w:color w:val="auto"/>
              </w:rPr>
            </w:pPr>
          </w:p>
        </w:tc>
        <w:tc>
          <w:tcPr>
            <w:tcW w:w="680" w:type="dxa"/>
            <w:vAlign w:val="bottom"/>
          </w:tcPr>
          <w:p>
            <w:pPr>
              <w:jc w:val="center"/>
              <w:ind w:left="215"/>
              <w:spacing w:after="0"/>
              <w:rPr>
                <w:sz w:val="20"/>
                <w:szCs w:val="20"/>
                <w:color w:val="auto"/>
              </w:rPr>
            </w:pPr>
            <w:r>
              <w:rPr>
                <w:rFonts w:ascii="Times New Roman" w:cs="Times New Roman" w:eastAsia="Times New Roman" w:hAnsi="Times New Roman"/>
                <w:sz w:val="11"/>
                <w:szCs w:val="11"/>
                <w:b w:val="1"/>
                <w:bCs w:val="1"/>
                <w:color w:val="auto"/>
              </w:rPr>
              <w:t>Filed</w:t>
            </w:r>
          </w:p>
        </w:tc>
      </w:tr>
      <w:tr>
        <w:trPr>
          <w:trHeight w:val="156"/>
        </w:trPr>
        <w:tc>
          <w:tcPr>
            <w:tcW w:w="1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442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12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8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0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1"/>
                <w:szCs w:val="11"/>
                <w:b w:val="1"/>
                <w:bCs w:val="1"/>
                <w:color w:val="auto"/>
                <w:w w:val="95"/>
              </w:rPr>
              <w:t>Herewith</w:t>
            </w:r>
          </w:p>
        </w:tc>
      </w:tr>
      <w:tr>
        <w:trPr>
          <w:trHeight w:val="148"/>
        </w:trPr>
        <w:tc>
          <w:tcPr>
            <w:tcW w:w="100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10.1+</w:t>
            </w:r>
          </w:p>
        </w:tc>
        <w:tc>
          <w:tcPr>
            <w:tcW w:w="4000" w:type="dxa"/>
            <w:vAlign w:val="bottom"/>
            <w:tcBorders>
              <w:bottom w:val="single" w:sz="8" w:color="0000FF"/>
            </w:tcBorders>
            <w:gridSpan w:val="6"/>
          </w:tcPr>
          <w:p>
            <w:pPr>
              <w:spacing w:after="0" w:line="148"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Second Amendment to Employment Agreement dated May 8, 2023 by and</w:t>
              </w:r>
            </w:hyperlink>
          </w:p>
        </w:tc>
        <w:tc>
          <w:tcPr>
            <w:tcW w:w="420" w:type="dxa"/>
            <w:vAlign w:val="bottom"/>
            <w:gridSpan w:val="4"/>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jc w:val="center"/>
              <w:ind w:left="195"/>
              <w:spacing w:after="0" w:line="148" w:lineRule="exact"/>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between Red Violet, Inc. and Derek Dubner</w:t>
              </w:r>
              <w:r>
                <w:rPr>
                  <w:rFonts w:ascii="Times New Roman" w:cs="Times New Roman" w:eastAsia="Times New Roman" w:hAnsi="Times New Roman"/>
                  <w:sz w:val="13"/>
                  <w:szCs w:val="13"/>
                  <w:color w:val="000000"/>
                </w:rPr>
                <w:t>.</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400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Second Amendment to Employment Agreement dated May 8, 2023 by and</w:t>
              </w:r>
            </w:hyperlink>
          </w:p>
        </w:tc>
        <w:tc>
          <w:tcPr>
            <w:tcW w:w="420" w:type="dxa"/>
            <w:vAlign w:val="bottom"/>
            <w:gridSpan w:val="4"/>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between Red Violet, Inc. and James Reilly</w:t>
              </w:r>
              <w:r>
                <w:rPr>
                  <w:rFonts w:ascii="Times New Roman" w:cs="Times New Roman" w:eastAsia="Times New Roman" w:hAnsi="Times New Roman"/>
                  <w:sz w:val="13"/>
                  <w:szCs w:val="13"/>
                  <w:color w:val="000000"/>
                </w:rPr>
                <w:t>.</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400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Second Amendment to Employment Agreement dated May 8, 2023 by and</w:t>
              </w:r>
            </w:hyperlink>
          </w:p>
        </w:tc>
        <w:tc>
          <w:tcPr>
            <w:tcW w:w="420" w:type="dxa"/>
            <w:vAlign w:val="bottom"/>
            <w:gridSpan w:val="4"/>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between Red Violet, Inc. and Daniel MacLachlan</w:t>
              </w:r>
              <w:r>
                <w:rPr>
                  <w:rFonts w:ascii="Times New Roman" w:cs="Times New Roman" w:eastAsia="Times New Roman" w:hAnsi="Times New Roman"/>
                  <w:sz w:val="13"/>
                  <w:szCs w:val="13"/>
                  <w:color w:val="000000"/>
                </w:rPr>
                <w:t>.</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000" w:type="dxa"/>
            <w:vAlign w:val="bottom"/>
            <w:tcBorders>
              <w:bottom w:val="single" w:sz="8" w:color="0000FF"/>
            </w:tcBorders>
            <w:gridSpan w:val="6"/>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Second Amendment to Employment Agreement dated May 8, 2023 by and</w:t>
              </w:r>
            </w:hyperlink>
          </w:p>
        </w:tc>
        <w:tc>
          <w:tcPr>
            <w:tcW w:w="420" w:type="dxa"/>
            <w:vAlign w:val="bottom"/>
            <w:gridSpan w:val="4"/>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between Red Violet, Inc. and Jeffrey Dell</w:t>
              </w:r>
              <w:r>
                <w:rPr>
                  <w:rFonts w:ascii="Times New Roman" w:cs="Times New Roman" w:eastAsia="Times New Roman" w:hAnsi="Times New Roman"/>
                  <w:sz w:val="13"/>
                  <w:szCs w:val="13"/>
                  <w:color w:val="000000"/>
                </w:rPr>
                <w:t>.</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4420" w:type="dxa"/>
            <w:vAlign w:val="bottom"/>
            <w:gridSpan w:val="10"/>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filed pursuant to Exchange Act Rules 13a-</w:t>
              </w:r>
            </w:hyperlink>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20"/>
        </w:trPr>
        <w:tc>
          <w:tcPr>
            <w:tcW w:w="100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36"/>
        </w:trPr>
        <w:tc>
          <w:tcPr>
            <w:tcW w:w="1000" w:type="dxa"/>
            <w:vAlign w:val="bottom"/>
          </w:tcPr>
          <w:p>
            <w:pPr>
              <w:spacing w:after="0"/>
              <w:rPr>
                <w:sz w:val="11"/>
                <w:szCs w:val="11"/>
                <w:color w:val="auto"/>
              </w:rPr>
            </w:pPr>
          </w:p>
        </w:tc>
        <w:tc>
          <w:tcPr>
            <w:tcW w:w="4420" w:type="dxa"/>
            <w:vAlign w:val="bottom"/>
            <w:tcBorders>
              <w:bottom w:val="single" w:sz="8" w:color="0000FF"/>
            </w:tcBorders>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14(a) and 15d-14(a) of the Securities Exchange Act of 1934 as adopted pursuant to</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Section 302 of the Sarbanes-Oxley Act of 2002.</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4380" w:type="dxa"/>
            <w:vAlign w:val="bottom"/>
            <w:tcBorders>
              <w:bottom w:val="single" w:sz="8" w:color="0000FF"/>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filed pursuant to Exchange Act Rules 13a-</w:t>
              </w:r>
            </w:hyperlink>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4420" w:type="dxa"/>
            <w:vAlign w:val="bottom"/>
            <w:tcBorders>
              <w:bottom w:val="single" w:sz="8" w:color="0000FF"/>
            </w:tcBorders>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14(a) and 15d-14(a) of the Securities Exchange Act of 1934 as adopted pursuant to</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6"/>
        </w:trPr>
        <w:tc>
          <w:tcPr>
            <w:tcW w:w="1000" w:type="dxa"/>
            <w:vAlign w:val="bottom"/>
          </w:tcPr>
          <w:p>
            <w:pPr>
              <w:spacing w:after="0"/>
              <w:rPr>
                <w:sz w:val="11"/>
                <w:szCs w:val="11"/>
                <w:color w:val="auto"/>
              </w:rPr>
            </w:pPr>
          </w:p>
        </w:tc>
        <w:tc>
          <w:tcPr>
            <w:tcW w:w="4420" w:type="dxa"/>
            <w:vAlign w:val="bottom"/>
            <w:gridSpan w:val="10"/>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Section 302 of the Sarbanes-Oxley Act of 2002.</w:t>
              </w:r>
            </w:hyperlink>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4260" w:type="dxa"/>
            <w:vAlign w:val="bottom"/>
            <w:tcBorders>
              <w:bottom w:val="single" w:sz="8" w:color="0000FF"/>
            </w:tcBorders>
            <w:gridSpan w:val="8"/>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by Chief Executive Officer pursuant to 18 U.S.C. Section 1350, as</w:t>
              </w:r>
            </w:hyperlink>
          </w:p>
        </w:tc>
        <w:tc>
          <w:tcPr>
            <w:tcW w:w="16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3620" w:type="dxa"/>
            <w:vAlign w:val="bottom"/>
            <w:tcBorders>
              <w:bottom w:val="single" w:sz="8" w:color="0000FF"/>
            </w:tcBorders>
            <w:gridSpan w:val="5"/>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adopted pursuant to Section 906 of the Sarbanes-Oxley Act of 2002.</w:t>
              </w:r>
            </w:hyperlink>
          </w:p>
        </w:tc>
        <w:tc>
          <w:tcPr>
            <w:tcW w:w="800" w:type="dxa"/>
            <w:vAlign w:val="bottom"/>
            <w:gridSpan w:val="5"/>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32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4220" w:type="dxa"/>
            <w:vAlign w:val="bottom"/>
            <w:tcBorders>
              <w:bottom w:val="single" w:sz="8" w:color="0000FF"/>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by Chief Financial Officer pursuant to 18 U.S.C. Section 1350, as</w:t>
              </w:r>
            </w:hyperlink>
          </w:p>
        </w:tc>
        <w:tc>
          <w:tcPr>
            <w:tcW w:w="20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36"/>
        </w:trPr>
        <w:tc>
          <w:tcPr>
            <w:tcW w:w="1000" w:type="dxa"/>
            <w:vAlign w:val="bottom"/>
          </w:tcPr>
          <w:p>
            <w:pPr>
              <w:spacing w:after="0"/>
              <w:rPr>
                <w:sz w:val="11"/>
                <w:szCs w:val="11"/>
                <w:color w:val="auto"/>
              </w:rPr>
            </w:pPr>
          </w:p>
        </w:tc>
        <w:tc>
          <w:tcPr>
            <w:tcW w:w="3620" w:type="dxa"/>
            <w:vAlign w:val="bottom"/>
            <w:tcBorders>
              <w:bottom w:val="single" w:sz="8" w:color="0000FF"/>
            </w:tcBorders>
            <w:gridSpan w:val="5"/>
          </w:tcPr>
          <w:p>
            <w:pPr>
              <w:spacing w:after="0" w:line="136"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adopted pursuant to Section 906 of the Sarbanes-Oxley Act of 2002.</w:t>
              </w:r>
            </w:hyperlink>
          </w:p>
        </w:tc>
        <w:tc>
          <w:tcPr>
            <w:tcW w:w="800" w:type="dxa"/>
            <w:vAlign w:val="bottom"/>
            <w:gridSpan w:val="5"/>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34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56"/>
        </w:trPr>
        <w:tc>
          <w:tcPr>
            <w:tcW w:w="1000" w:type="dxa"/>
            <w:vAlign w:val="bottom"/>
          </w:tcPr>
          <w:p>
            <w:pPr>
              <w:spacing w:after="0"/>
              <w:rPr>
                <w:sz w:val="13"/>
                <w:szCs w:val="13"/>
                <w:color w:val="auto"/>
              </w:rPr>
            </w:pP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Interactive Data File because its XBRL tags are embedded within the Inline XBRL</w:t>
            </w: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2"/>
        </w:trPr>
        <w:tc>
          <w:tcPr>
            <w:tcW w:w="1000" w:type="dxa"/>
            <w:vAlign w:val="bottom"/>
          </w:tcPr>
          <w:p>
            <w:pPr>
              <w:spacing w:after="0"/>
              <w:rPr>
                <w:sz w:val="14"/>
                <w:szCs w:val="14"/>
                <w:color w:val="auto"/>
              </w:rPr>
            </w:pP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document.</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r>
        <w:trPr>
          <w:trHeight w:val="19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442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3"/>
                <w:szCs w:val="13"/>
                <w:color w:val="auto"/>
              </w:rPr>
              <w:t>X</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Management contract or compensatory plan or arrangement.</w:t>
      </w:r>
    </w:p>
    <w:p>
      <w:pPr>
        <w:spacing w:after="0" w:line="283" w:lineRule="exact"/>
        <w:rPr>
          <w:sz w:val="20"/>
          <w:szCs w:val="20"/>
          <w:color w:val="auto"/>
        </w:rPr>
      </w:pPr>
    </w:p>
    <w:p>
      <w:pPr>
        <w:ind w:right="260" w:firstLine="6"/>
        <w:spacing w:after="0" w:line="286" w:lineRule="auto"/>
        <w:tabs>
          <w:tab w:leader="none" w:pos="99"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certification is deemed furnished and not filed for purposes of Section 18 of the Exchange Act, or otherwise subject to the liability of that section, nor shall it be deemed incorporated by reference into any filing under the Securities Act or the Exchange Act.</w:t>
      </w:r>
    </w:p>
    <w:p>
      <w:pPr>
        <w:spacing w:after="0" w:line="1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660" w:top="891" w:right="860" w:bottom="1440" w:gutter="0" w:footer="0" w:header="0"/>
        </w:sectPr>
      </w:pPr>
    </w:p>
    <w:bookmarkStart w:id="22" w:name="page23"/>
    <w:bookmarkEnd w:id="22"/>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p>
      <w:pPr>
        <w:ind w:left="60"/>
        <w:spacing w:after="0"/>
        <w:tabs>
          <w:tab w:leader="none" w:pos="6800" w:val="left"/>
        </w:tabs>
        <w:rPr>
          <w:sz w:val="20"/>
          <w:szCs w:val="20"/>
          <w:color w:val="auto"/>
        </w:rPr>
      </w:pPr>
      <w:r>
        <w:rPr>
          <w:rFonts w:ascii="Times New Roman" w:cs="Times New Roman" w:eastAsia="Times New Roman" w:hAnsi="Times New Roman"/>
          <w:sz w:val="16"/>
          <w:szCs w:val="16"/>
          <w:color w:val="auto"/>
        </w:rPr>
        <w:t>August 7, 2023</w:t>
      </w:r>
      <w:r>
        <w:rPr>
          <w:sz w:val="20"/>
          <w:szCs w:val="20"/>
          <w:color w:val="auto"/>
        </w:rPr>
        <w:tab/>
      </w:r>
      <w:r>
        <w:rPr>
          <w:rFonts w:ascii="Times New Roman" w:cs="Times New Roman" w:eastAsia="Times New Roman" w:hAnsi="Times New Roman"/>
          <w:sz w:val="14"/>
          <w:szCs w:val="14"/>
          <w:b w:val="1"/>
          <w:bCs w:val="1"/>
          <w:color w:val="auto"/>
        </w:rPr>
        <w:t>Red Violet, Inc.</w:t>
      </w:r>
    </w:p>
    <w:p>
      <w:pPr>
        <w:spacing w:after="0" w:line="226" w:lineRule="exact"/>
        <w:rPr>
          <w:sz w:val="20"/>
          <w:szCs w:val="20"/>
          <w:color w:val="auto"/>
        </w:rPr>
      </w:pPr>
    </w:p>
    <w:p>
      <w:pPr>
        <w:ind w:left="6320"/>
        <w:spacing w:after="0"/>
        <w:tabs>
          <w:tab w:leader="none" w:pos="6720" w:val="left"/>
        </w:tabs>
        <w:rPr>
          <w:sz w:val="20"/>
          <w:szCs w:val="20"/>
          <w:color w:val="auto"/>
        </w:rPr>
      </w:pPr>
      <w:r>
        <w:rPr>
          <w:rFonts w:ascii="Times New Roman" w:cs="Times New Roman" w:eastAsia="Times New Roman" w:hAnsi="Times New Roman"/>
          <w:sz w:val="16"/>
          <w:szCs w:val="16"/>
          <w:color w:val="auto"/>
        </w:rPr>
        <w:t>By:</w:t>
        <w:tab/>
        <w:t>/s/ Daniel MacLachlan</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Daniel MacLachlan</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3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735" w:right="90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10.1</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SECOND AMENDMENT TO EMPLOYMENT AGREEMENT</w:t>
      </w:r>
    </w:p>
    <w:p>
      <w:pPr>
        <w:spacing w:after="0" w:line="178" w:lineRule="exact"/>
        <w:rPr>
          <w:sz w:val="20"/>
          <w:szCs w:val="20"/>
          <w:color w:val="auto"/>
        </w:rPr>
      </w:pPr>
    </w:p>
    <w:p>
      <w:pPr>
        <w:ind w:right="220" w:firstLine="39"/>
        <w:spacing w:after="0" w:line="247" w:lineRule="auto"/>
        <w:rPr>
          <w:sz w:val="20"/>
          <w:szCs w:val="20"/>
          <w:color w:val="auto"/>
        </w:rPr>
      </w:pPr>
      <w:r>
        <w:rPr>
          <w:rFonts w:ascii="Times New Roman" w:cs="Times New Roman" w:eastAsia="Times New Roman" w:hAnsi="Times New Roman"/>
          <w:sz w:val="16"/>
          <w:szCs w:val="16"/>
          <w:color w:val="auto"/>
        </w:rPr>
        <w:t>This Second Amendment to Employment Agreement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made as of May 8, 2023 (the “</w:t>
      </w:r>
      <w:r>
        <w:rPr>
          <w:rFonts w:ascii="Times New Roman" w:cs="Times New Roman" w:eastAsia="Times New Roman" w:hAnsi="Times New Roman"/>
          <w:sz w:val="16"/>
          <w:szCs w:val="16"/>
          <w:u w:val="single" w:color="auto"/>
          <w:color w:val="auto"/>
        </w:rPr>
        <w:t>Second Amendment Effective Date</w:t>
      </w:r>
      <w:r>
        <w:rPr>
          <w:rFonts w:ascii="Times New Roman" w:cs="Times New Roman" w:eastAsia="Times New Roman" w:hAnsi="Times New Roman"/>
          <w:sz w:val="16"/>
          <w:szCs w:val="16"/>
          <w:color w:val="auto"/>
        </w:rPr>
        <w:t>”) by and between Red Violet,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Derek Dubner (the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 Capitalized terms used herein but not otherwise defined shall have the meaning ascribed to them in the Employment Agreement (defined below).</w:t>
      </w:r>
    </w:p>
    <w:p>
      <w:pPr>
        <w:spacing w:after="0" w:line="150" w:lineRule="exact"/>
        <w:rPr>
          <w:sz w:val="20"/>
          <w:szCs w:val="20"/>
          <w:color w:val="auto"/>
        </w:rPr>
      </w:pPr>
    </w:p>
    <w:p>
      <w:pPr>
        <w:ind w:right="160" w:firstLine="3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Executive entered into that certain Employment Agreement made by and between the Company and Executive, dated March 26,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as amended on November 9, 2020 (as amended,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and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Company and Executive desire to amend the Employment Agreement in accordance with the terms and provisions hereof.</w:t>
      </w:r>
    </w:p>
    <w:p>
      <w:pPr>
        <w:spacing w:after="0" w:line="176" w:lineRule="exact"/>
        <w:rPr>
          <w:sz w:val="20"/>
          <w:szCs w:val="20"/>
          <w:color w:val="auto"/>
        </w:rPr>
      </w:pPr>
    </w:p>
    <w:p>
      <w:pPr>
        <w:ind w:right="60" w:firstLine="36"/>
        <w:spacing w:after="0" w:line="248"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the mutual covenants and agreements contained herein and other good and valuable consideration, the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sufficiency of which are hereby acknowledged, the Company and Executive hereby adopt this Amendment effective as of the Second Amendment Effective Date and agree as follows: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1.Paragraph 6 to Exhibit A to the Employment Agreement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is deleted in its entirety and the following substituted in lieu thereof:</w:t>
      </w:r>
    </w:p>
    <w:p>
      <w:pPr>
        <w:spacing w:after="0" w:line="224" w:lineRule="exact"/>
        <w:rPr>
          <w:sz w:val="20"/>
          <w:szCs w:val="20"/>
          <w:color w:val="auto"/>
        </w:rPr>
      </w:pPr>
    </w:p>
    <w:p>
      <w:pPr>
        <w:ind w:left="1060" w:right="80" w:firstLine="2"/>
        <w:spacing w:after="0" w:line="239" w:lineRule="auto"/>
        <w:tabs>
          <w:tab w:leader="none" w:pos="121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Commencing on the Effective Date and ending March 26, 2027 (the “</w:t>
      </w:r>
      <w:r>
        <w:rPr>
          <w:rFonts w:ascii="Times New Roman" w:cs="Times New Roman" w:eastAsia="Times New Roman" w:hAnsi="Times New Roman"/>
          <w:sz w:val="16"/>
          <w:szCs w:val="16"/>
          <w:u w:val="single" w:color="auto"/>
          <w:color w:val="auto"/>
        </w:rPr>
        <w:t>Term 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Red Violet, Inc., a Delaware corporation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Daniel MacLachlan</w:t>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Daniel MacLachlan, CFO</w:t>
      </w:r>
    </w:p>
    <w:p>
      <w:pPr>
        <w:spacing w:after="0" w:line="3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7772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Derek Dubner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 to 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00"/>
          </w:cols>
          <w:pgMar w:left="1360" w:top="557"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10.2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SECOND AMENDMENT TO EMPLOYMENT AGREEMENT</w:t>
      </w:r>
    </w:p>
    <w:p>
      <w:pPr>
        <w:spacing w:after="0" w:line="178" w:lineRule="exact"/>
        <w:rPr>
          <w:sz w:val="20"/>
          <w:szCs w:val="20"/>
          <w:color w:val="auto"/>
        </w:rPr>
      </w:pPr>
    </w:p>
    <w:p>
      <w:pPr>
        <w:ind w:right="220" w:firstLine="39"/>
        <w:spacing w:after="0" w:line="247" w:lineRule="auto"/>
        <w:rPr>
          <w:sz w:val="20"/>
          <w:szCs w:val="20"/>
          <w:color w:val="auto"/>
        </w:rPr>
      </w:pPr>
      <w:r>
        <w:rPr>
          <w:rFonts w:ascii="Times New Roman" w:cs="Times New Roman" w:eastAsia="Times New Roman" w:hAnsi="Times New Roman"/>
          <w:sz w:val="16"/>
          <w:szCs w:val="16"/>
          <w:color w:val="auto"/>
        </w:rPr>
        <w:t>This Second Amendment to Employment Agreement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made as of May 8, 2023 (the “</w:t>
      </w:r>
      <w:r>
        <w:rPr>
          <w:rFonts w:ascii="Times New Roman" w:cs="Times New Roman" w:eastAsia="Times New Roman" w:hAnsi="Times New Roman"/>
          <w:sz w:val="16"/>
          <w:szCs w:val="16"/>
          <w:u w:val="single" w:color="auto"/>
          <w:color w:val="auto"/>
        </w:rPr>
        <w:t>Second Amendment Effective Date</w:t>
      </w:r>
      <w:r>
        <w:rPr>
          <w:rFonts w:ascii="Times New Roman" w:cs="Times New Roman" w:eastAsia="Times New Roman" w:hAnsi="Times New Roman"/>
          <w:sz w:val="16"/>
          <w:szCs w:val="16"/>
          <w:color w:val="auto"/>
        </w:rPr>
        <w:t>”) by and between Red Violet,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James Reilly (the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 Capitalized terms used herein but not otherwise defined shall have the meaning ascribed to them in the Employment Agreement (defined below).</w:t>
      </w:r>
    </w:p>
    <w:p>
      <w:pPr>
        <w:spacing w:after="0" w:line="150" w:lineRule="exact"/>
        <w:rPr>
          <w:sz w:val="20"/>
          <w:szCs w:val="20"/>
          <w:color w:val="auto"/>
        </w:rPr>
      </w:pPr>
    </w:p>
    <w:p>
      <w:pPr>
        <w:ind w:right="160" w:firstLine="3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Executive entered into that certain Employment Agreement made by and between the Company and Executive, dated March 26,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as amended on November 9, 2020 (as amended,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and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Company and Executive desire to amend the Employment Agreement in accordance with the terms and provisions hereof.</w:t>
      </w:r>
    </w:p>
    <w:p>
      <w:pPr>
        <w:spacing w:after="0" w:line="176" w:lineRule="exact"/>
        <w:rPr>
          <w:sz w:val="20"/>
          <w:szCs w:val="20"/>
          <w:color w:val="auto"/>
        </w:rPr>
      </w:pPr>
    </w:p>
    <w:p>
      <w:pPr>
        <w:ind w:right="60" w:firstLine="36"/>
        <w:spacing w:after="0" w:line="248"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the mutual covenants and agreements contained herein and other good and valuable consideration, the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sufficiency of which are hereby acknowledged, the Company and Executive hereby adopt this Amendment effective as of the Second Amendment Effective Date and agree as follows: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1.Paragraph 6 to Exhibit A to the Employment Agreement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is deleted in its entirety and the following substituted in lieu thereof:</w:t>
      </w:r>
    </w:p>
    <w:p>
      <w:pPr>
        <w:spacing w:after="0" w:line="224" w:lineRule="exact"/>
        <w:rPr>
          <w:sz w:val="20"/>
          <w:szCs w:val="20"/>
          <w:color w:val="auto"/>
        </w:rPr>
      </w:pPr>
    </w:p>
    <w:p>
      <w:pPr>
        <w:ind w:left="1060" w:right="80" w:firstLine="2"/>
        <w:spacing w:after="0" w:line="239" w:lineRule="auto"/>
        <w:tabs>
          <w:tab w:leader="none" w:pos="121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Commencing on the Effective Date and ending March 26, 2027 (the “</w:t>
      </w:r>
      <w:r>
        <w:rPr>
          <w:rFonts w:ascii="Times New Roman" w:cs="Times New Roman" w:eastAsia="Times New Roman" w:hAnsi="Times New Roman"/>
          <w:sz w:val="16"/>
          <w:szCs w:val="16"/>
          <w:u w:val="single" w:color="auto"/>
          <w:color w:val="auto"/>
        </w:rPr>
        <w:t>Term 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Red Violet, Inc., a Delaware corporation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-8890</wp:posOffset>
            </wp:positionV>
            <wp:extent cx="7772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color w:val="auto"/>
        </w:rPr>
        <w:t>Derek Dubner, CEO</w:t>
      </w:r>
    </w:p>
    <w:p>
      <w:pPr>
        <w:spacing w:after="0" w:line="3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 James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7239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James Reilly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 to 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00"/>
          </w:cols>
          <w:pgMar w:left="1360" w:top="557"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10.3</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SECOND AMENDMENT TO EMPLOYMENT AGREEMENT</w:t>
      </w:r>
    </w:p>
    <w:p>
      <w:pPr>
        <w:spacing w:after="0" w:line="178" w:lineRule="exact"/>
        <w:rPr>
          <w:sz w:val="20"/>
          <w:szCs w:val="20"/>
          <w:color w:val="auto"/>
        </w:rPr>
      </w:pPr>
    </w:p>
    <w:p>
      <w:pPr>
        <w:ind w:right="60" w:firstLine="39"/>
        <w:spacing w:after="0" w:line="247" w:lineRule="auto"/>
        <w:rPr>
          <w:sz w:val="20"/>
          <w:szCs w:val="20"/>
          <w:color w:val="auto"/>
        </w:rPr>
      </w:pPr>
      <w:r>
        <w:rPr>
          <w:rFonts w:ascii="Times New Roman" w:cs="Times New Roman" w:eastAsia="Times New Roman" w:hAnsi="Times New Roman"/>
          <w:sz w:val="16"/>
          <w:szCs w:val="16"/>
          <w:color w:val="auto"/>
        </w:rPr>
        <w:t>This Second Amendment to Employment Agreement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made as of May 8, 2023 (the “</w:t>
      </w:r>
      <w:r>
        <w:rPr>
          <w:rFonts w:ascii="Times New Roman" w:cs="Times New Roman" w:eastAsia="Times New Roman" w:hAnsi="Times New Roman"/>
          <w:sz w:val="16"/>
          <w:szCs w:val="16"/>
          <w:u w:val="single" w:color="auto"/>
          <w:color w:val="auto"/>
        </w:rPr>
        <w:t>Second Amendment Effective Date</w:t>
      </w:r>
      <w:r>
        <w:rPr>
          <w:rFonts w:ascii="Times New Roman" w:cs="Times New Roman" w:eastAsia="Times New Roman" w:hAnsi="Times New Roman"/>
          <w:sz w:val="16"/>
          <w:szCs w:val="16"/>
          <w:color w:val="auto"/>
        </w:rPr>
        <w:t>”) by and between Red Violet,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Daniel MacLachlan (the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 Capitalized terms used herein but not otherwise defined shall have the meaning ascribed to them in the Employment Agreement (defined below).</w:t>
      </w:r>
    </w:p>
    <w:p>
      <w:pPr>
        <w:spacing w:after="0" w:line="150" w:lineRule="exact"/>
        <w:rPr>
          <w:sz w:val="20"/>
          <w:szCs w:val="20"/>
          <w:color w:val="auto"/>
        </w:rPr>
      </w:pPr>
    </w:p>
    <w:p>
      <w:pPr>
        <w:ind w:right="160" w:firstLine="3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Executive entered into that certain Employment Agreement made by and between the Company and Executive, dated March 26,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as amended on November 9, 2020 (as amended,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and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Company and Executive desire to amend the Employment Agreement in accordance with the terms and provisions hereof.</w:t>
      </w:r>
    </w:p>
    <w:p>
      <w:pPr>
        <w:spacing w:after="0" w:line="176" w:lineRule="exact"/>
        <w:rPr>
          <w:sz w:val="20"/>
          <w:szCs w:val="20"/>
          <w:color w:val="auto"/>
        </w:rPr>
      </w:pPr>
    </w:p>
    <w:p>
      <w:pPr>
        <w:ind w:right="60" w:firstLine="36"/>
        <w:spacing w:after="0" w:line="248"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the mutual covenants and agreements contained herein and other good and valuable consideration, the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sufficiency of which are hereby acknowledged, the Company and Executive hereby adopt this Amendment effective as of the Second Amendment Effective Date and agree as follows: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1.Paragraph 6 to Exhibit A to the Employment Agreement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is deleted in its entirety and the following substituted in lieu thereof:</w:t>
      </w:r>
    </w:p>
    <w:p>
      <w:pPr>
        <w:spacing w:after="0" w:line="224" w:lineRule="exact"/>
        <w:rPr>
          <w:sz w:val="20"/>
          <w:szCs w:val="20"/>
          <w:color w:val="auto"/>
        </w:rPr>
      </w:pPr>
    </w:p>
    <w:p>
      <w:pPr>
        <w:ind w:left="1060" w:right="80" w:firstLine="2"/>
        <w:spacing w:after="0" w:line="239" w:lineRule="auto"/>
        <w:tabs>
          <w:tab w:leader="none" w:pos="121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Commencing on the Effective Date and ending March 26, 2027 (the “</w:t>
      </w:r>
      <w:r>
        <w:rPr>
          <w:rFonts w:ascii="Times New Roman" w:cs="Times New Roman" w:eastAsia="Times New Roman" w:hAnsi="Times New Roman"/>
          <w:sz w:val="16"/>
          <w:szCs w:val="16"/>
          <w:u w:val="single" w:color="auto"/>
          <w:color w:val="auto"/>
        </w:rPr>
        <w:t>Term 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Red Violet, Inc., a Delaware corporation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-8890</wp:posOffset>
            </wp:positionV>
            <wp:extent cx="7772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color w:val="auto"/>
        </w:rPr>
        <w:t>Derek Dubner, CEO</w:t>
      </w:r>
    </w:p>
    <w:p>
      <w:pPr>
        <w:spacing w:after="0" w:line="3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u w:val="single" w:color="auto"/>
          <w:color w:val="auto"/>
        </w:rPr>
        <w:t>/s/ Daniel MacLachlan</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Daniel MacLachlan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 to 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00"/>
          </w:cols>
          <w:pgMar w:left="1360" w:top="557"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10.4</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t>SECOND AMENDMENT TO EMPLOYMENT AGREEMENT</w:t>
      </w:r>
    </w:p>
    <w:p>
      <w:pPr>
        <w:spacing w:after="0" w:line="178" w:lineRule="exact"/>
        <w:rPr>
          <w:sz w:val="20"/>
          <w:szCs w:val="20"/>
          <w:color w:val="auto"/>
        </w:rPr>
      </w:pPr>
    </w:p>
    <w:p>
      <w:pPr>
        <w:ind w:right="220" w:firstLine="39"/>
        <w:spacing w:after="0" w:line="247" w:lineRule="auto"/>
        <w:rPr>
          <w:sz w:val="20"/>
          <w:szCs w:val="20"/>
          <w:color w:val="auto"/>
        </w:rPr>
      </w:pPr>
      <w:r>
        <w:rPr>
          <w:rFonts w:ascii="Times New Roman" w:cs="Times New Roman" w:eastAsia="Times New Roman" w:hAnsi="Times New Roman"/>
          <w:sz w:val="16"/>
          <w:szCs w:val="16"/>
          <w:color w:val="auto"/>
        </w:rPr>
        <w:t>This Second Amendment to Employment Agreement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made as of May 8, 2023 (the “</w:t>
      </w:r>
      <w:r>
        <w:rPr>
          <w:rFonts w:ascii="Times New Roman" w:cs="Times New Roman" w:eastAsia="Times New Roman" w:hAnsi="Times New Roman"/>
          <w:sz w:val="16"/>
          <w:szCs w:val="16"/>
          <w:u w:val="single" w:color="auto"/>
          <w:color w:val="auto"/>
        </w:rPr>
        <w:t>Second Amendment Effective Date</w:t>
      </w:r>
      <w:r>
        <w:rPr>
          <w:rFonts w:ascii="Times New Roman" w:cs="Times New Roman" w:eastAsia="Times New Roman" w:hAnsi="Times New Roman"/>
          <w:sz w:val="16"/>
          <w:szCs w:val="16"/>
          <w:color w:val="auto"/>
        </w:rPr>
        <w:t>”) by and between Red Violet,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Jeffrey Dell (the "</w:t>
      </w:r>
      <w:r>
        <w:rPr>
          <w:rFonts w:ascii="Times New Roman" w:cs="Times New Roman" w:eastAsia="Times New Roman" w:hAnsi="Times New Roman"/>
          <w:sz w:val="16"/>
          <w:szCs w:val="16"/>
          <w:u w:val="single" w:color="auto"/>
          <w:color w:val="auto"/>
        </w:rPr>
        <w:t>Executive</w:t>
      </w:r>
      <w:r>
        <w:rPr>
          <w:rFonts w:ascii="Times New Roman" w:cs="Times New Roman" w:eastAsia="Times New Roman" w:hAnsi="Times New Roman"/>
          <w:sz w:val="16"/>
          <w:szCs w:val="16"/>
          <w:color w:val="auto"/>
        </w:rPr>
        <w:t>"). Capitalized terms used herein but not otherwise defined shall have the meaning ascribed to them in the Employment Agreement (defined below).</w:t>
      </w:r>
    </w:p>
    <w:p>
      <w:pPr>
        <w:spacing w:after="0" w:line="150" w:lineRule="exact"/>
        <w:rPr>
          <w:sz w:val="20"/>
          <w:szCs w:val="20"/>
          <w:color w:val="auto"/>
        </w:rPr>
      </w:pPr>
    </w:p>
    <w:p>
      <w:pPr>
        <w:ind w:right="40" w:firstLine="39"/>
        <w:spacing w:after="0" w:line="26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Executive entered into that certain Employment Agreement made by and between the Company and Executive, dated April 9, 2019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amended on November 9, 2020 (as amended, the "</w:t>
      </w:r>
      <w:r>
        <w:rPr>
          <w:rFonts w:ascii="Times New Roman" w:cs="Times New Roman" w:eastAsia="Times New Roman" w:hAnsi="Times New Roman"/>
          <w:sz w:val="16"/>
          <w:szCs w:val="16"/>
          <w:u w:val="single" w:color="auto"/>
          <w:color w:val="auto"/>
        </w:rPr>
        <w:t>Employment Agreement</w:t>
      </w:r>
      <w:r>
        <w:rPr>
          <w:rFonts w:ascii="Times New Roman" w:cs="Times New Roman" w:eastAsia="Times New Roman" w:hAnsi="Times New Roman"/>
          <w:sz w:val="16"/>
          <w:szCs w:val="16"/>
          <w:color w:val="auto"/>
        </w:rPr>
        <w:t>"); and</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Company and Executive desire to amend the Employment Agreement in accordance with the terms and provisions hereof.</w:t>
      </w:r>
    </w:p>
    <w:p>
      <w:pPr>
        <w:spacing w:after="0" w:line="176" w:lineRule="exact"/>
        <w:rPr>
          <w:sz w:val="20"/>
          <w:szCs w:val="20"/>
          <w:color w:val="auto"/>
        </w:rPr>
      </w:pPr>
    </w:p>
    <w:p>
      <w:pPr>
        <w:ind w:right="60" w:firstLine="36"/>
        <w:spacing w:after="0" w:line="248"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the mutual covenants and agreements contained herein and other good and valuable consideration, the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sufficiency of which are hereby acknowledged, the Company and Executive hereby adopt this Amendment effective as of the Second Amendment Effective Date and agree as follows:</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1.Paragraph 6 to Exhibit A to the Employment Agreement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is deleted in its entirety and the following substituted in lieu thereof:</w:t>
      </w:r>
    </w:p>
    <w:p>
      <w:pPr>
        <w:spacing w:after="0" w:line="224" w:lineRule="exact"/>
        <w:rPr>
          <w:sz w:val="20"/>
          <w:szCs w:val="20"/>
          <w:color w:val="auto"/>
        </w:rPr>
      </w:pPr>
    </w:p>
    <w:p>
      <w:pPr>
        <w:ind w:left="1060" w:right="80" w:firstLine="2"/>
        <w:spacing w:after="0" w:line="239" w:lineRule="auto"/>
        <w:tabs>
          <w:tab w:leader="none" w:pos="121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Commencing on the Effective Date and ending March 26, 2027 (the “</w:t>
      </w:r>
      <w:r>
        <w:rPr>
          <w:rFonts w:ascii="Times New Roman" w:cs="Times New Roman" w:eastAsia="Times New Roman" w:hAnsi="Times New Roman"/>
          <w:sz w:val="16"/>
          <w:szCs w:val="16"/>
          <w:u w:val="single" w:color="auto"/>
          <w:color w:val="auto"/>
        </w:rPr>
        <w:t>Term Expiration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upon the Term Expiration Date this Agreement shall automatically renew for successive one (1) year terms, unless either party provides written notice to the other no less than one hundred twenty (120) days prior to the commencement of each such renewal term setting forth a desire to terminate this Agreement at the expiration of the then current term. Termination of this Agreement will not affect the rights or obligations of the parties hereunder arising out of, or relating to, circumstances occurring prior to the expiration of this Agreement, which rights and obligations will survive the termination of this Agreement and the termination of the Executive’s employment with the Company.</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2.Except as expressly amended herein, all terms and provisions of the Employment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290195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Amendment as of the date first written above.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Red Violet, Inc., a Delaware corporation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By: /s/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-8890</wp:posOffset>
            </wp:positionV>
            <wp:extent cx="7772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7240" cy="762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6"/>
          <w:szCs w:val="16"/>
          <w:color w:val="auto"/>
        </w:rPr>
        <w:t>Derek Dubner, CEO</w:t>
      </w:r>
    </w:p>
    <w:p>
      <w:pPr>
        <w:spacing w:after="0" w:line="33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color w:val="auto"/>
        </w:rPr>
        <w:t>EXECUTIVE:</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 Jeffrey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-8890</wp:posOffset>
            </wp:positionV>
            <wp:extent cx="7086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Jeffrey Dell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 to Second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68580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100"/>
          </w:cols>
          <w:pgMar w:left="1360" w:top="557" w:right="1440" w:bottom="1440" w:gutter="0" w:footer="0" w:header="0"/>
        </w:sectPr>
      </w:pPr>
    </w:p>
    <w:bookmarkStart w:id="31" w:name="page32"/>
    <w:bookmarkEnd w:id="31"/>
    <w:p>
      <w:pPr>
        <w:ind w:left="976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Derek Dubner,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Red Violet, Inc.;</w:t>
      </w:r>
    </w:p>
    <w:p>
      <w:pPr>
        <w:spacing w:after="0" w:line="1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0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5740" w:right="3340" w:hanging="6157"/>
        <w:spacing w:after="0" w:line="266" w:lineRule="auto"/>
        <w:tabs>
          <w:tab w:leader="none" w:pos="5720" w:val="left"/>
        </w:tabs>
        <w:rPr>
          <w:sz w:val="20"/>
          <w:szCs w:val="20"/>
          <w:color w:val="auto"/>
        </w:rPr>
      </w:pPr>
      <w:r>
        <w:rPr>
          <w:rFonts w:ascii="Times New Roman" w:cs="Times New Roman" w:eastAsia="Times New Roman" w:hAnsi="Times New Roman"/>
          <w:sz w:val="16"/>
          <w:szCs w:val="16"/>
          <w:color w:val="auto"/>
        </w:rPr>
        <w:t>August 7, 2023</w:t>
      </w:r>
      <w:r>
        <w:rPr>
          <w:sz w:val="20"/>
          <w:szCs w:val="20"/>
          <w:color w:val="auto"/>
        </w:rPr>
        <w:tab/>
      </w:r>
      <w:r>
        <w:rPr>
          <w:rFonts w:ascii="Times New Roman" w:cs="Times New Roman" w:eastAsia="Times New Roman" w:hAnsi="Times New Roman"/>
          <w:sz w:val="16"/>
          <w:szCs w:val="16"/>
          <w:color w:val="auto"/>
        </w:rPr>
        <w:t>By: /s/ Derek Dubner Derek Dubner</w:t>
      </w:r>
    </w:p>
    <w:p>
      <w:pPr>
        <w:ind w:left="61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5" w:right="660" w:bottom="1440" w:gutter="0" w:footer="0" w:header="0"/>
        </w:sectPr>
      </w:pPr>
    </w:p>
    <w:bookmarkStart w:id="32" w:name="page33"/>
    <w:bookmarkEnd w:id="32"/>
    <w:p>
      <w:pPr>
        <w:ind w:left="976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Daniel MacLachlan,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Red Violet, Inc.;</w:t>
      </w:r>
    </w:p>
    <w:p>
      <w:pPr>
        <w:spacing w:after="0" w:line="1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26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0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4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5740" w:right="2980" w:hanging="6157"/>
        <w:spacing w:after="0" w:line="266" w:lineRule="auto"/>
        <w:tabs>
          <w:tab w:leader="none" w:pos="5720" w:val="left"/>
        </w:tabs>
        <w:rPr>
          <w:sz w:val="20"/>
          <w:szCs w:val="20"/>
          <w:color w:val="auto"/>
        </w:rPr>
      </w:pPr>
      <w:r>
        <w:rPr>
          <w:rFonts w:ascii="Times New Roman" w:cs="Times New Roman" w:eastAsia="Times New Roman" w:hAnsi="Times New Roman"/>
          <w:sz w:val="16"/>
          <w:szCs w:val="16"/>
          <w:color w:val="auto"/>
        </w:rPr>
        <w:t>August 7, 2023</w:t>
      </w:r>
      <w:r>
        <w:rPr>
          <w:sz w:val="20"/>
          <w:szCs w:val="20"/>
          <w:color w:val="auto"/>
        </w:rPr>
        <w:tab/>
      </w:r>
      <w:r>
        <w:rPr>
          <w:rFonts w:ascii="Times New Roman" w:cs="Times New Roman" w:eastAsia="Times New Roman" w:hAnsi="Times New Roman"/>
          <w:sz w:val="16"/>
          <w:szCs w:val="16"/>
          <w:color w:val="auto"/>
        </w:rPr>
        <w:t>By: /s/ Daniel MacLachlan Daniel MacLachlan</w:t>
      </w:r>
    </w:p>
    <w:p>
      <w:pPr>
        <w:ind w:left="61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400685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5" w:right="660"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t>
      </w: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260" w:firstLine="468"/>
        <w:spacing w:after="0" w:line="331"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Red Violet, Inc. for the quarter ended June 30, 2023 (the “Report”), the undersigned hereby certifies pursuant to 18 U.S.C. Section 1350, as adopted pursuant to Section 906 of the Sarbanes-Oxley Act of 2002, to my knowledge and belief, that: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Red Violet, Inc.</w:t>
      </w:r>
    </w:p>
    <w:p>
      <w:pPr>
        <w:spacing w:after="0" w:line="260" w:lineRule="exact"/>
        <w:rPr>
          <w:sz w:val="20"/>
          <w:szCs w:val="20"/>
          <w:color w:val="auto"/>
        </w:rPr>
      </w:pPr>
    </w:p>
    <w:p>
      <w:pPr>
        <w:ind w:left="6260" w:right="2800" w:hanging="6685"/>
        <w:spacing w:after="0" w:line="266" w:lineRule="auto"/>
        <w:tabs>
          <w:tab w:leader="none" w:pos="6240" w:val="left"/>
        </w:tabs>
        <w:rPr>
          <w:sz w:val="20"/>
          <w:szCs w:val="20"/>
          <w:color w:val="auto"/>
        </w:rPr>
      </w:pPr>
      <w:r>
        <w:rPr>
          <w:rFonts w:ascii="Times New Roman" w:cs="Times New Roman" w:eastAsia="Times New Roman" w:hAnsi="Times New Roman"/>
          <w:sz w:val="16"/>
          <w:szCs w:val="16"/>
          <w:color w:val="auto"/>
        </w:rPr>
        <w:t>August 7, 2023</w:t>
      </w:r>
      <w:r>
        <w:rPr>
          <w:sz w:val="20"/>
          <w:szCs w:val="20"/>
          <w:color w:val="auto"/>
        </w:rPr>
        <w:tab/>
      </w:r>
      <w:r>
        <w:rPr>
          <w:rFonts w:ascii="Times New Roman" w:cs="Times New Roman" w:eastAsia="Times New Roman" w:hAnsi="Times New Roman"/>
          <w:sz w:val="16"/>
          <w:szCs w:val="16"/>
          <w:color w:val="auto"/>
        </w:rPr>
        <w:t>By: /s/ Derek Dubner Derek Dubner</w:t>
      </w:r>
    </w:p>
    <w:p>
      <w:pPr>
        <w:ind w:left="67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383540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5" w:right="660"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PURSUANT</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TO</w:t>
      </w: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ind w:right="260" w:firstLine="468"/>
        <w:spacing w:after="0" w:line="331" w:lineRule="auto"/>
        <w:rPr>
          <w:sz w:val="20"/>
          <w:szCs w:val="20"/>
          <w:color w:val="auto"/>
        </w:rPr>
      </w:pPr>
      <w:r>
        <w:rPr>
          <w:rFonts w:ascii="Times New Roman" w:cs="Times New Roman" w:eastAsia="Times New Roman" w:hAnsi="Times New Roman"/>
          <w:sz w:val="14"/>
          <w:szCs w:val="14"/>
          <w:color w:val="auto"/>
        </w:rPr>
        <w:t>In connection with the accompanying Quarterly Report on Form 10-Q of Red Violet, Inc. for the quarter ended June 30, 2023 (the “Report”), the undersigned hereby certifies pursuant to 18 U.S.C. Section 1350, as adopted pursuant to Section 906 of the Sarbanes-Oxley Act of 2002, to my knowledge and belief, that: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Red Violet, Inc.</w:t>
      </w:r>
    </w:p>
    <w:p>
      <w:pPr>
        <w:spacing w:after="0" w:line="260" w:lineRule="exact"/>
        <w:rPr>
          <w:sz w:val="20"/>
          <w:szCs w:val="20"/>
          <w:color w:val="auto"/>
        </w:rPr>
      </w:pPr>
    </w:p>
    <w:p>
      <w:pPr>
        <w:ind w:left="20"/>
        <w:spacing w:after="0"/>
        <w:tabs>
          <w:tab w:leader="none" w:pos="6240" w:val="left"/>
          <w:tab w:leader="none" w:pos="6680" w:val="left"/>
        </w:tabs>
        <w:rPr>
          <w:sz w:val="20"/>
          <w:szCs w:val="20"/>
          <w:color w:val="auto"/>
        </w:rPr>
      </w:pPr>
      <w:r>
        <w:rPr>
          <w:rFonts w:ascii="Times New Roman" w:cs="Times New Roman" w:eastAsia="Times New Roman" w:hAnsi="Times New Roman"/>
          <w:sz w:val="16"/>
          <w:szCs w:val="16"/>
          <w:color w:val="auto"/>
        </w:rPr>
        <w:t>August 7, 2023</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Daniel MacLachlan</w:t>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Daniel MacLachlan</w:t>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0" w:lineRule="exact"/>
        <w:rPr>
          <w:sz w:val="20"/>
          <w:szCs w:val="20"/>
          <w:color w:val="auto"/>
        </w:rPr>
      </w:pPr>
    </w:p>
    <w:p>
      <w:pPr>
        <w:ind w:right="40" w:firstLine="468"/>
        <w:spacing w:after="0" w:line="259"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383540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35" w:right="660" w:bottom="1440" w:gutter="0" w:footer="0" w:header="0"/>
        </w:sectPr>
      </w:pPr>
    </w:p>
    <w:bookmarkStart w:id="35" w:name="page36"/>
    <w:bookmarkEnd w:id="3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2023-08-07T16:11:19Z</dcterms:created>
  <dcterms:modified xsi:type="dcterms:W3CDTF">2023-08-07T16:11:19Z</dcterms:modified>
</cp:coreProperties>
</file>