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rdvt-20230331.htm"/>
      <w:bookmarkStart w:id="1" w:name="ksrdvt20230331"/>
      <w:bookmarkEnd w:id="0"/>
      <w:bookmarkEnd w:id="1"/>
      <w:r>
        <w:rPr/>
        <w:t> </w:t>
      </w:r>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28"/>
        </w:rPr>
      </w:pPr>
      <w:r>
        <w:rPr>
          <w:rFonts w:ascii="Times New Roman;serif" w:hAnsi="Times New Roman;serif"/>
          <w:b/>
          <w:sz w:val="28"/>
        </w:rPr>
        <w:t>UNITED STATES</w:t>
      </w:r>
    </w:p>
    <w:p>
      <w:pPr>
        <w:pStyle w:val="TextBody"/>
        <w:spacing w:before="0" w:after="0"/>
        <w:jc w:val="center"/>
        <w:rPr>
          <w:rFonts w:ascii="Times New Roman;serif" w:hAnsi="Times New Roman;serif"/>
          <w:b/>
          <w:sz w:val="28"/>
        </w:rPr>
      </w:pPr>
      <w:r>
        <w:rPr>
          <w:rFonts w:ascii="Times New Roman;serif" w:hAnsi="Times New Roman;serif"/>
          <w:b/>
          <w:sz w:val="28"/>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26"/>
        </w:rPr>
      </w:pPr>
      <w:r>
        <w:rPr>
          <w:rFonts w:ascii="Times New Roman;serif" w:hAnsi="Times New Roman;serif"/>
          <w:b/>
          <w:sz w:val="26"/>
        </w:rPr>
        <w:t>FORM 10-Q</w:t>
      </w:r>
    </w:p>
    <w:p>
      <w:pPr>
        <w:pStyle w:val="TextBody"/>
        <w:pBdr>
          <w:bottom w:val="single" w:sz="4" w:space="1" w:color="000000"/>
        </w:pBdr>
        <w:spacing w:before="0" w:after="0"/>
        <w:jc w:val="center"/>
        <w:rPr/>
      </w:pPr>
      <w:r>
        <w:rPr/>
        <w:t> </w:t>
      </w:r>
    </w:p>
    <w:p>
      <w:pPr>
        <w:pStyle w:val="TextBody"/>
        <w:spacing w:before="0" w:after="0"/>
        <w:jc w:val="center"/>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(Mark One)</w:t>
      </w:r>
    </w:p>
    <w:p>
      <w:pPr>
        <w:pStyle w:val="TextBody"/>
        <w:spacing w:before="0" w:after="0"/>
        <w:jc w:val="left"/>
        <w:rPr/>
      </w:pPr>
      <w:r>
        <w:rPr/>
        <w:t xml:space="preserve">☒ </w:t>
      </w:r>
      <w:r>
        <w:rPr>
          <w:rFonts w:ascii="Times New Roman;serif" w:hAnsi="Times New Roman;serif"/>
          <w:b/>
          <w:sz w:val="22"/>
        </w:rPr>
        <w:t>QUARTERLY REPORT PURSUANT TO SECTION 13 OR 15(d) OF THE SECURITIES EXCHANGE ACT OF 1934</w:t>
      </w:r>
    </w:p>
    <w:p>
      <w:pPr>
        <w:pStyle w:val="TextBody"/>
        <w:spacing w:before="60" w:after="0"/>
        <w:jc w:val="left"/>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60" w:after="0"/>
        <w:jc w:val="center"/>
        <w:rPr>
          <w:rFonts w:ascii="Times New Roman;serif" w:hAnsi="Times New Roman;serif"/>
          <w:b/>
          <w:sz w:val="20"/>
        </w:rPr>
      </w:pPr>
      <w:r>
        <w:rPr>
          <w:rFonts w:ascii="Times New Roman;serif" w:hAnsi="Times New Roman;serif"/>
          <w:b/>
          <w:sz w:val="20"/>
        </w:rPr>
        <w:t>or</w:t>
      </w:r>
    </w:p>
    <w:p>
      <w:pPr>
        <w:pStyle w:val="TextBody"/>
        <w:spacing w:before="60" w:after="0"/>
        <w:jc w:val="left"/>
        <w:rPr/>
      </w:pPr>
      <w:r>
        <w:rPr/>
        <w:t xml:space="preserve">☐ </w:t>
      </w:r>
      <w:r>
        <w:rPr>
          <w:rFonts w:ascii="Times New Roman;serif" w:hAnsi="Times New Roman;serif"/>
          <w:b/>
          <w:sz w:val="22"/>
        </w:rPr>
        <w:t>TRANSITION REPORT PURSUANT TO SECTION 13 OR 15(d) OF THE SECURITIES EXCHANGE ACT OF 1934</w:t>
      </w:r>
    </w:p>
    <w:p>
      <w:pPr>
        <w:pStyle w:val="TextBody"/>
        <w:spacing w:before="60" w:after="0"/>
        <w:jc w:val="left"/>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120" w:after="0"/>
        <w:jc w:val="center"/>
        <w:rPr>
          <w:rFonts w:ascii="Times New Roman;serif" w:hAnsi="Times New Roman;serif"/>
          <w:b/>
          <w:sz w:val="20"/>
        </w:rPr>
      </w:pPr>
      <w:r>
        <w:rPr>
          <w:rFonts w:ascii="Times New Roman;serif" w:hAnsi="Times New Roman;serif"/>
          <w:b/>
          <w:sz w:val="20"/>
        </w:rPr>
        <w:t>Commission file number 001-38407</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32"/>
        </w:rPr>
      </w:pPr>
      <w:r>
        <w:rPr>
          <w:rFonts w:ascii="Times New Roman;serif" w:hAnsi="Times New Roman;serif"/>
          <w:b/>
          <w:sz w:val="32"/>
        </w:rPr>
        <w:t>RED VIOLET,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tbl>
      <w:tblPr>
        <w:tblW w:w="7588" w:type="dxa"/>
        <w:jc w:val="left"/>
        <w:tblInd w:w="0" w:type="dxa"/>
        <w:tblCellMar>
          <w:top w:w="28" w:type="dxa"/>
          <w:left w:w="28" w:type="dxa"/>
          <w:bottom w:w="28" w:type="dxa"/>
          <w:right w:w="28" w:type="dxa"/>
        </w:tblCellMar>
      </w:tblPr>
      <w:tblGrid>
        <w:gridCol w:w="4696"/>
        <w:gridCol w:w="146"/>
        <w:gridCol w:w="2746"/>
      </w:tblGrid>
      <w:tr>
        <w:trPr/>
        <w:tc>
          <w:tcPr>
            <w:tcW w:w="4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r>
      <w:tr>
        <w:trPr/>
        <w:tc>
          <w:tcPr>
            <w:tcW w:w="46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82-2408531</w:t>
            </w:r>
          </w:p>
        </w:tc>
      </w:tr>
      <w:tr>
        <w:trPr/>
        <w:tc>
          <w:tcPr>
            <w:tcW w:w="46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 Incorporation or Organization)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 Identification No.)</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2650 North Military Trail, Suite 300, Boca Raton, Florida</w:t>
      </w:r>
      <w:r>
        <w:rPr>
          <w:rFonts w:ascii="Times New Roman" w:hAnsi="Times New Roman"/>
          <w:sz w:val="20"/>
        </w:rPr>
        <w:t xml:space="preserve"> </w:t>
      </w:r>
      <w:r>
        <w:rPr>
          <w:rFonts w:ascii="Times New Roman;serif" w:hAnsi="Times New Roman;serif"/>
          <w:b/>
          <w:sz w:val="20"/>
        </w:rPr>
        <w:t>33431</w:t>
      </w:r>
    </w:p>
    <w:p>
      <w:pPr>
        <w:pStyle w:val="TextBody"/>
        <w:spacing w:before="0" w:after="0"/>
        <w:jc w:val="center"/>
        <w:rPr>
          <w:rFonts w:ascii="Times New Roman;serif" w:hAnsi="Times New Roman;serif"/>
          <w:b/>
          <w:sz w:val="16"/>
        </w:rPr>
      </w:pPr>
      <w:r>
        <w:rPr>
          <w:rFonts w:ascii="Times New Roman;serif" w:hAnsi="Times New Roman;serif"/>
          <w:b/>
          <w:sz w:val="16"/>
        </w:rPr>
        <w:t>(Address of Principal Executive Offices) (Zip Code)</w:t>
      </w:r>
    </w:p>
    <w:p>
      <w:pPr>
        <w:pStyle w:val="TextBody"/>
        <w:spacing w:before="120" w:after="0"/>
        <w:jc w:val="center"/>
        <w:rPr>
          <w:rFonts w:ascii="Times New Roman;serif" w:hAnsi="Times New Roman;serif"/>
          <w:b/>
          <w:sz w:val="20"/>
        </w:rPr>
      </w:pPr>
      <w:r>
        <w:rPr>
          <w:rFonts w:ascii="Times New Roman;serif" w:hAnsi="Times New Roman;serif"/>
          <w:b/>
          <w:sz w:val="20"/>
        </w:rPr>
        <w:t>(561) 757-4000</w:t>
      </w:r>
    </w:p>
    <w:p>
      <w:pPr>
        <w:pStyle w:val="TextBody"/>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spacing w:before="120" w:after="0"/>
        <w:jc w:val="center"/>
        <w:rPr>
          <w:rFonts w:ascii="Times New Roman;serif" w:hAnsi="Times New Roman;serif"/>
          <w:b/>
          <w:sz w:val="20"/>
        </w:rPr>
      </w:pPr>
      <w:r>
        <w:rPr>
          <w:rFonts w:ascii="Times New Roman;serif" w:hAnsi="Times New Roman;serif"/>
          <w:b/>
          <w:sz w:val="20"/>
        </w:rPr>
        <w:t>None</w:t>
      </w:r>
    </w:p>
    <w:p>
      <w:pPr>
        <w:pStyle w:val="TextBody"/>
        <w:spacing w:before="0" w:after="0"/>
        <w:jc w:val="center"/>
        <w:rPr>
          <w:rFonts w:ascii="Times New Roman;serif" w:hAnsi="Times New Roman;serif"/>
          <w:b/>
          <w:sz w:val="16"/>
        </w:rPr>
      </w:pPr>
      <w:r>
        <w:rPr>
          <w:rFonts w:ascii="Times New Roman;serif" w:hAnsi="Times New Roman;serif"/>
          <w:b/>
          <w:sz w:val="16"/>
        </w:rPr>
        <w:t>(Former name, former address and former fiscal year, if changed since last report)</w:t>
      </w:r>
    </w:p>
    <w:p>
      <w:pPr>
        <w:pStyle w:val="TextBody"/>
        <w:pBdr>
          <w:bottom w:val="single" w:sz="4" w:space="1" w:color="000000"/>
        </w:pBdr>
        <w:spacing w:before="0" w:after="0"/>
        <w:jc w:val="center"/>
        <w:rPr/>
      </w:pPr>
      <w:r>
        <w:rPr/>
        <w:t> </w:t>
      </w:r>
    </w:p>
    <w:p>
      <w:pPr>
        <w:pStyle w:val="TextBody"/>
        <w:spacing w:before="120" w:after="120"/>
        <w:jc w:val="left"/>
        <w:rPr>
          <w:rFonts w:ascii="Times New Roman" w:hAnsi="Times New Roman"/>
          <w:sz w:val="20"/>
        </w:rPr>
      </w:pPr>
      <w:r>
        <w:rPr>
          <w:rFonts w:ascii="Times New Roman;serif" w:hAnsi="Times New Roman;serif"/>
          <w:b w:val="false"/>
          <w:sz w:val="20"/>
        </w:rPr>
        <w:t>Securities registered pursuant to Section 12(b) of the Act:</w:t>
      </w:r>
      <w:r>
        <w:rPr>
          <w:rFonts w:ascii="Times New Roman" w:hAnsi="Times New Roman"/>
          <w:sz w:val="20"/>
        </w:rPr>
        <w:t xml:space="preserve"> </w:t>
      </w:r>
    </w:p>
    <w:tbl>
      <w:tblPr>
        <w:tblW w:w="7038" w:type="dxa"/>
        <w:jc w:val="left"/>
        <w:tblInd w:w="0" w:type="dxa"/>
        <w:tblCellMar>
          <w:top w:w="28" w:type="dxa"/>
          <w:left w:w="28" w:type="dxa"/>
          <w:bottom w:w="28" w:type="dxa"/>
          <w:right w:w="28" w:type="dxa"/>
        </w:tblCellMar>
      </w:tblPr>
      <w:tblGrid>
        <w:gridCol w:w="3196"/>
        <w:gridCol w:w="1216"/>
        <w:gridCol w:w="2626"/>
      </w:tblGrid>
      <w:tr>
        <w:trPr/>
        <w:tc>
          <w:tcPr>
            <w:tcW w:w="319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Title of each class</w:t>
            </w:r>
          </w:p>
        </w:tc>
        <w:tc>
          <w:tcPr>
            <w:tcW w:w="121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Trading Symbol (s)</w:t>
            </w:r>
          </w:p>
        </w:tc>
        <w:tc>
          <w:tcPr>
            <w:tcW w:w="262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Name of each exchange on which registered</w:t>
            </w:r>
          </w:p>
        </w:tc>
      </w:tr>
      <w:tr>
        <w:trPr/>
        <w:tc>
          <w:tcPr>
            <w:tcW w:w="319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$0.001 par value per share</w:t>
            </w:r>
          </w:p>
        </w:tc>
        <w:tc>
          <w:tcPr>
            <w:tcW w:w="121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RDVT</w:t>
            </w:r>
          </w:p>
        </w:tc>
        <w:tc>
          <w:tcPr>
            <w:tcW w:w="26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r>
        <w:rPr>
          <w:rFonts w:ascii="Times New Roman;serif" w:hAnsi="Times New Roman;serif"/>
          <w:b w:val="false"/>
          <w:caps/>
          <w:sz w:val="20"/>
        </w:rPr>
        <w:t>Yes</w:t>
      </w:r>
      <w:r>
        <w:rPr>
          <w:rFonts w:ascii="Times New Roman" w:hAnsi="Times New Roman"/>
          <w:sz w:val="20"/>
        </w:rPr>
        <w:t xml:space="preserve"> ☐ </w:t>
      </w:r>
      <w:r>
        <w:rPr>
          <w:rFonts w:ascii="Times New Roman;serif" w:hAnsi="Times New Roman;serif"/>
          <w:b w:val="false"/>
          <w:caps/>
          <w:sz w:val="20"/>
        </w:rPr>
        <w:t>No</w:t>
      </w:r>
    </w:p>
    <w:p>
      <w:pPr>
        <w:pStyle w:val="TextBody"/>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r>
        <w:rPr>
          <w:rFonts w:ascii="Times New Roman;serif" w:hAnsi="Times New Roman;serif"/>
          <w:b w:val="false"/>
          <w:caps/>
          <w:sz w:val="20"/>
        </w:rPr>
        <w:t>Yes</w:t>
      </w:r>
      <w:r>
        <w:rPr>
          <w:rFonts w:ascii="Times New Roman" w:hAnsi="Times New Roman"/>
          <w:sz w:val="20"/>
        </w:rPr>
        <w:t xml:space="preserve"> ☐ </w:t>
      </w:r>
      <w:r>
        <w:rPr>
          <w:rFonts w:ascii="Times New Roman;serif" w:hAnsi="Times New Roman;serif"/>
          <w:b w:val="false"/>
          <w:caps/>
          <w:sz w:val="20"/>
        </w:rPr>
        <w:t>No</w:t>
      </w:r>
    </w:p>
    <w:p>
      <w:pPr>
        <w:pStyle w:val="TextBody"/>
        <w:spacing w:before="8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31" w:type="dxa"/>
        <w:jc w:val="left"/>
        <w:tblInd w:w="0" w:type="dxa"/>
        <w:tblCellMar>
          <w:top w:w="28" w:type="dxa"/>
          <w:left w:w="28" w:type="dxa"/>
          <w:bottom w:w="28" w:type="dxa"/>
          <w:right w:w="28" w:type="dxa"/>
        </w:tblCellMar>
      </w:tblPr>
      <w:tblGrid>
        <w:gridCol w:w="1921"/>
        <w:gridCol w:w="701"/>
        <w:gridCol w:w="391"/>
        <w:gridCol w:w="2311"/>
        <w:gridCol w:w="146"/>
        <w:gridCol w:w="361"/>
      </w:tblGrid>
      <w:tr>
        <w:trPr/>
        <w:tc>
          <w:tcPr>
            <w:tcW w:w="1921"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701" w:type="dxa"/>
            <w:tcBorders/>
            <w:shd w:fill="auto" w:val="clear"/>
            <w:vAlign w:val="center"/>
          </w:tcPr>
          <w:p>
            <w:pPr>
              <w:pStyle w:val="TableContents"/>
              <w:spacing w:before="0" w:after="0"/>
              <w:ind w:left="0" w:right="0" w:firstLine="555"/>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firstLine="75"/>
              <w:jc w:val="left"/>
              <w:rPr/>
            </w:pPr>
            <w:r>
              <w:rPr/>
              <w:t>☐</w:t>
            </w:r>
          </w:p>
        </w:tc>
        <w:tc>
          <w:tcPr>
            <w:tcW w:w="2311" w:type="dxa"/>
            <w:tcBorders/>
            <w:shd w:fill="auto" w:val="clear"/>
            <w:tcMar>
              <w:top w:w="0" w:type="dxa"/>
              <w:left w:w="0" w:type="dxa"/>
              <w:bottom w:w="0" w:type="dxa"/>
              <w:right w:w="0" w:type="dxa"/>
            </w:tcMar>
            <w:vAlign w:val="center"/>
          </w:tcPr>
          <w:p>
            <w:pPr>
              <w:pStyle w:val="TableContents"/>
              <w:spacing w:before="0" w:after="0"/>
              <w:ind w:left="75"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9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701" w:type="dxa"/>
            <w:tcBorders/>
            <w:shd w:fill="auto" w:val="clear"/>
            <w:vAlign w:val="center"/>
          </w:tcPr>
          <w:p>
            <w:pPr>
              <w:pStyle w:val="TableContents"/>
              <w:spacing w:before="0" w:after="0"/>
              <w:ind w:left="0" w:right="0" w:firstLine="555"/>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firstLine="75"/>
              <w:jc w:val="left"/>
              <w:rPr/>
            </w:pPr>
            <w:r>
              <w:rPr/>
              <w:t>☒</w:t>
            </w:r>
          </w:p>
        </w:tc>
        <w:tc>
          <w:tcPr>
            <w:tcW w:w="2311" w:type="dxa"/>
            <w:tcBorders/>
            <w:shd w:fill="auto" w:val="clear"/>
            <w:tcMar>
              <w:top w:w="0" w:type="dxa"/>
              <w:left w:w="0" w:type="dxa"/>
              <w:bottom w:w="0" w:type="dxa"/>
              <w:right w:w="0" w:type="dxa"/>
            </w:tcMar>
            <w:vAlign w:val="center"/>
          </w:tcPr>
          <w:p>
            <w:pPr>
              <w:pStyle w:val="TableContents"/>
              <w:spacing w:before="0" w:after="0"/>
              <w:ind w:left="75"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9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firstLine="555"/>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firstLine="75"/>
              <w:jc w:val="left"/>
              <w:rPr/>
            </w:pPr>
            <w:r>
              <w:rPr/>
              <w:t> </w:t>
            </w:r>
          </w:p>
        </w:tc>
        <w:tc>
          <w:tcPr>
            <w:tcW w:w="2311" w:type="dxa"/>
            <w:tcBorders/>
            <w:shd w:fill="auto" w:val="clear"/>
            <w:tcMar>
              <w:top w:w="0" w:type="dxa"/>
              <w:left w:w="0" w:type="dxa"/>
              <w:bottom w:w="0" w:type="dxa"/>
              <w:right w:w="0" w:type="dxa"/>
            </w:tcMar>
            <w:vAlign w:val="center"/>
          </w:tcPr>
          <w:p>
            <w:pPr>
              <w:pStyle w:val="TableContents"/>
              <w:spacing w:before="0" w:after="0"/>
              <w:ind w:left="75"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bl>
    <w:p>
      <w:pPr>
        <w:pStyle w:val="TextBody"/>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w:t>
      </w:r>
      <w:r>
        <w:rPr>
          <w:rFonts w:ascii="Times New Roman;serif" w:hAnsi="Times New Roman;serif"/>
          <w:b w:val="false"/>
          <w:caps/>
          <w:sz w:val="20"/>
        </w:rPr>
        <w:t>Yes</w:t>
      </w:r>
      <w:r>
        <w:rPr>
          <w:rFonts w:ascii="Times New Roman" w:hAnsi="Times New Roman"/>
          <w:sz w:val="20"/>
        </w:rPr>
        <w:t xml:space="preserve"> ☐ </w:t>
      </w:r>
      <w:r>
        <w:rPr>
          <w:rFonts w:ascii="Times New Roman;serif" w:hAnsi="Times New Roman;serif"/>
          <w:b w:val="false"/>
          <w:caps/>
          <w:sz w:val="20"/>
        </w:rPr>
        <w:t>No</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val="false"/>
          <w:sz w:val="20"/>
        </w:rPr>
        <w:t>As of May 5, 2023, the registrant had 13,917,225</w:t>
      </w:r>
      <w:r>
        <w:rPr>
          <w:rFonts w:ascii="Times New Roman" w:hAnsi="Times New Roman"/>
          <w:sz w:val="20"/>
        </w:rPr>
        <w:t xml:space="preserve"> </w:t>
      </w:r>
      <w:r>
        <w:rPr>
          <w:rFonts w:ascii="Times New Roman;serif" w:hAnsi="Times New Roman;serif"/>
          <w:b w:val="false"/>
          <w:sz w:val="20"/>
        </w:rPr>
        <w:t>shares of common stock outstanding.</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RED VIOLET, INC.</w:t>
      </w:r>
    </w:p>
    <w:p>
      <w:pPr>
        <w:pStyle w:val="TextBody"/>
        <w:spacing w:before="0" w:after="0"/>
        <w:jc w:val="center"/>
        <w:rPr>
          <w:rFonts w:ascii="Times New Roman;serif" w:hAnsi="Times New Roman;serif"/>
          <w:b/>
          <w:sz w:val="20"/>
        </w:rPr>
      </w:pPr>
      <w:r>
        <w:rPr>
          <w:rFonts w:ascii="Times New Roman;serif" w:hAnsi="Times New Roman;serif"/>
          <w:b/>
          <w:sz w:val="20"/>
        </w:rPr>
        <w:t>TABLE OF CONTENTS FOR FORM 10-Q</w:t>
      </w:r>
    </w:p>
    <w:tbl>
      <w:tblPr>
        <w:tblW w:w="10205" w:type="dxa"/>
        <w:jc w:val="left"/>
        <w:tblInd w:w="0" w:type="dxa"/>
        <w:tblCellMar>
          <w:top w:w="28" w:type="dxa"/>
          <w:left w:w="28" w:type="dxa"/>
          <w:bottom w:w="28" w:type="dxa"/>
          <w:right w:w="28" w:type="dxa"/>
        </w:tblCellMar>
      </w:tblPr>
      <w:tblGrid>
        <w:gridCol w:w="750"/>
        <w:gridCol w:w="146"/>
        <w:gridCol w:w="8514"/>
        <w:gridCol w:w="283"/>
        <w:gridCol w:w="512"/>
      </w:tblGrid>
      <w:tr>
        <w:trPr/>
        <w:tc>
          <w:tcPr>
            <w:tcW w:w="7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1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750"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283" w:type="dxa"/>
            <w:tcBorders/>
            <w:shd w:fill="auto" w:val="clear"/>
            <w:tcMar>
              <w:top w:w="0" w:type="dxa"/>
              <w:left w:w="0" w:type="dxa"/>
              <w:bottom w:w="0" w:type="dxa"/>
              <w:right w:w="0" w:type="dxa"/>
            </w:tcMar>
            <w:vAlign w:val="center"/>
          </w:tcPr>
          <w:p>
            <w:pPr>
              <w:pStyle w:val="TableContents"/>
              <w:spacing w:before="0" w:after="0"/>
              <w:ind w:left="0" w:right="0" w:firstLine="137"/>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137" w:right="0" w:hanging="0"/>
              <w:jc w:val="right"/>
              <w:rPr>
                <w:rFonts w:ascii="Times New Roman;serif" w:hAnsi="Times New Roman;serif"/>
                <w:b/>
                <w:sz w:val="16"/>
              </w:rPr>
            </w:pPr>
            <w:r>
              <w:rPr>
                <w:rFonts w:ascii="Times New Roman;serif" w:hAnsi="Times New Roman;serif"/>
                <w:b/>
                <w:sz w:val="16"/>
              </w:rPr>
              <w:t>Page</w:t>
            </w:r>
          </w:p>
        </w:tc>
      </w:tr>
      <w:tr>
        <w:trPr/>
        <w:tc>
          <w:tcPr>
            <w:tcW w:w="9410"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PART I - FINANCIAL INFORMATION</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March 31, 2023 and December 31, 2022</w:t>
              </w:r>
            </w:hyperlink>
            <w:hyperlink w:anchor="condensed_consolidated_balance_sheets">
              <w:r>
                <w:rPr>
                  <w:rStyle w:val="InternetLink"/>
                  <w:rFonts w:ascii="Times New Roman" w:hAnsi="Times New Roman"/>
                  <w:sz w:val="20"/>
                </w:rPr>
                <w:t xml:space="preserve"> </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for the three months ended March 31, 2023 and 2022</w:t>
              </w:r>
            </w:hyperlink>
            <w:hyperlink w:anchor="condensed_consolidated_statements_operat">
              <w:r>
                <w:rPr>
                  <w:rStyle w:val="InternetLink"/>
                  <w:rFonts w:ascii="Times New Roman" w:hAnsi="Times New Roman"/>
                  <w:sz w:val="20"/>
                </w:rPr>
                <w:t xml:space="preserve"> </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_changes">
              <w:r>
                <w:rPr>
                  <w:rStyle w:val="InternetLink"/>
                  <w:rFonts w:ascii="Times New Roman;serif" w:hAnsi="Times New Roman;serif"/>
                  <w:b w:val="false"/>
                  <w:sz w:val="20"/>
                  <w:u w:val="single"/>
                </w:rPr>
                <w:t>Condensed consolidated statements of changes in shareholders' equity for the three months ended March 31, 2023 and 2022</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three months ended March 31, 2023 and 2022</w:t>
              </w:r>
            </w:hyperlink>
            <w:hyperlink w:anchor="condensed_consolidated_statements_cash_f">
              <w:r>
                <w:rPr>
                  <w:rStyle w:val="InternetLink"/>
                  <w:rFonts w:ascii="Times New Roman" w:hAnsi="Times New Roman"/>
                  <w:sz w:val="20"/>
                </w:rPr>
                <w:t xml:space="preserve"> </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410"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r_information">
              <w:r>
                <w:rPr>
                  <w:rStyle w:val="InternetLink"/>
                  <w:rFonts w:ascii="Times New Roman;serif" w:hAnsi="Times New Roman;serif"/>
                  <w:b w:val="false"/>
                  <w:sz w:val="20"/>
                  <w:u w:val="single"/>
                </w:rPr>
                <w:t>PART II - OTHER INFORMATION</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w:t>
              </w:r>
            </w:hyperlink>
            <w:r>
              <w:rPr>
                <w:rFonts w:ascii="Times New Roman;serif" w:hAnsi="Times New Roman;serif"/>
                <w:b w:val="false"/>
                <w:sz w:val="20"/>
                <w:u w:val="single"/>
              </w:rPr>
              <w:t>s</w:t>
            </w:r>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75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410"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28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 w:name="part_i_financial_information"/>
      <w:bookmarkEnd w:id="2"/>
      <w:r>
        <w:rPr>
          <w:rFonts w:ascii="Times New Roman;serif" w:hAnsi="Times New Roman;serif"/>
          <w:b/>
          <w:sz w:val="20"/>
        </w:rPr>
        <w:t>PART I - FINANCIAL INFORMATION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Unless otherwise indicated or required by the context, all references in this Quarterly Report on Form 10-Q to “we,” “us,” “our,” “red violet,” or the “Company,” refer to Red Violet, Inc. and its consolidated subsidiaries.</w:t>
      </w:r>
    </w:p>
    <w:p>
      <w:pPr>
        <w:pStyle w:val="TextBody"/>
        <w:spacing w:before="20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RED VIOLET, INC.</w:t>
      </w:r>
    </w:p>
    <w:p>
      <w:pPr>
        <w:pStyle w:val="TextBody"/>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(Amounts in thousands, except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800"/>
        <w:gridCol w:w="146"/>
        <w:gridCol w:w="278"/>
        <w:gridCol w:w="973"/>
        <w:gridCol w:w="166"/>
        <w:gridCol w:w="146"/>
        <w:gridCol w:w="330"/>
        <w:gridCol w:w="1153"/>
        <w:gridCol w:w="213"/>
      </w:tblGrid>
      <w:tr>
        <w:trPr/>
        <w:tc>
          <w:tcPr>
            <w:tcW w:w="68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6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ASSETS:</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3" w:type="dxa"/>
            <w:gridSpan w:val="2"/>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righ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3" w:type="dxa"/>
            <w:gridSpan w:val="2"/>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righ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31,810</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Accounts receivable, net of allowance for doubtful accounts of $40</w:t>
            </w:r>
            <w:r>
              <w:rPr>
                <w:rFonts w:ascii="Times New Roman" w:hAnsi="Times New Roman"/>
                <w:sz w:val="20"/>
              </w:rPr>
              <w:t> </w:t>
            </w:r>
            <w:r>
              <w:rPr>
                <w:rFonts w:ascii="Times New Roman;serif" w:hAnsi="Times New Roman;serif"/>
                <w:b w:val="false"/>
                <w:sz w:val="20"/>
              </w:rPr>
              <w:t>and $60</w:t>
            </w:r>
            <w:r>
              <w:rPr>
                <w:rFonts w:ascii="Times New Roman" w:hAnsi="Times New Roman"/>
                <w:sz w:val="20"/>
              </w:rPr>
              <w:t> </w:t>
            </w:r>
            <w:r>
              <w:rPr>
                <w:rFonts w:ascii="Times New Roman;serif" w:hAnsi="Times New Roman;serif"/>
                <w:b w:val="false"/>
                <w:sz w:val="20"/>
              </w:rPr>
              <w:t>as of</w:t>
              <w:br/>
              <w: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5,535</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38,116</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31,647</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5,227</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1,114</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78,320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77,414</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3" w:type="dxa"/>
            <w:gridSpan w:val="2"/>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righ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3" w:type="dxa"/>
            <w:gridSpan w:val="2"/>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righ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2,229</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670</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5,436</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6,321</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equity:</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3" w:type="dxa"/>
            <w:gridSpan w:val="2"/>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right"/>
              <w:rPr/>
            </w:pPr>
            <w:r>
              <w:rPr/>
              <w:t> </w:t>
            </w:r>
          </w:p>
        </w:tc>
      </w:tr>
      <w:tr>
        <w:trPr/>
        <w:tc>
          <w:tcPr>
            <w:tcW w:w="68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Preferred stock—$0.001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 authorized, and 0</w:t>
            </w:r>
            <w:r>
              <w:rPr>
                <w:rFonts w:ascii="Times New Roman" w:hAnsi="Times New Roman"/>
                <w:sz w:val="20"/>
              </w:rPr>
              <w:t> </w:t>
            </w:r>
            <w:r>
              <w:rPr>
                <w:rFonts w:ascii="Times New Roman;serif" w:hAnsi="Times New Roman;serif"/>
                <w:b w:val="false"/>
                <w:sz w:val="20"/>
              </w:rPr>
              <w:t>shares</w:t>
              <w:br/>
              <w:t>  issued and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Common stock—$0.001</w:t>
            </w:r>
            <w:r>
              <w:rPr>
                <w:rFonts w:ascii="Times New Roman" w:hAnsi="Times New Roman"/>
                <w:sz w:val="20"/>
              </w:rPr>
              <w:t> </w:t>
            </w:r>
            <w:r>
              <w:rPr>
                <w:rFonts w:ascii="Times New Roman;serif" w:hAnsi="Times New Roman;serif"/>
                <w:b w:val="false"/>
                <w:sz w:val="20"/>
              </w:rPr>
              <w:t>par value, 200,000,000</w:t>
            </w:r>
            <w:r>
              <w:rPr>
                <w:rFonts w:ascii="Times New Roman" w:hAnsi="Times New Roman"/>
                <w:sz w:val="20"/>
              </w:rPr>
              <w:t> </w:t>
            </w:r>
            <w:r>
              <w:rPr>
                <w:rFonts w:ascii="Times New Roman;serif" w:hAnsi="Times New Roman;serif"/>
                <w:b w:val="false"/>
                <w:sz w:val="20"/>
              </w:rPr>
              <w:t>shares authorized, 13,961,643</w:t>
            </w:r>
            <w:r>
              <w:rPr>
                <w:rFonts w:ascii="Times New Roman" w:hAnsi="Times New Roman"/>
                <w:sz w:val="20"/>
              </w:rPr>
              <w:t> </w:t>
            </w:r>
            <w:r>
              <w:rPr>
                <w:rFonts w:ascii="Times New Roman;serif" w:hAnsi="Times New Roman;serif"/>
                <w:b w:val="false"/>
                <w:sz w:val="20"/>
              </w:rPr>
              <w:t>and</w:t>
              <w:br/>
              <w:t>  13,956,404</w:t>
            </w:r>
            <w:r>
              <w:rPr>
                <w:rFonts w:ascii="Times New Roman" w:hAnsi="Times New Roman"/>
                <w:sz w:val="20"/>
              </w:rPr>
              <w:t> </w:t>
            </w:r>
            <w:r>
              <w:rPr>
                <w:rFonts w:ascii="Times New Roman;serif" w:hAnsi="Times New Roman;serif"/>
                <w:b w:val="false"/>
                <w:sz w:val="20"/>
              </w:rPr>
              <w:t>shares issued, and 13,950,706</w:t>
            </w:r>
            <w:r>
              <w:rPr>
                <w:rFonts w:ascii="Times New Roman" w:hAnsi="Times New Roman"/>
                <w:sz w:val="20"/>
              </w:rPr>
              <w:t> </w:t>
            </w:r>
            <w:r>
              <w:rPr>
                <w:rFonts w:ascii="Times New Roman;serif" w:hAnsi="Times New Roman;serif"/>
                <w:b w:val="false"/>
                <w:sz w:val="20"/>
              </w:rPr>
              <w:t>and 13,956,404</w:t>
            </w:r>
            <w:r>
              <w:rPr>
                <w:rFonts w:ascii="Times New Roman" w:hAnsi="Times New Roman"/>
                <w:sz w:val="20"/>
              </w:rPr>
              <w:t> </w:t>
            </w:r>
            <w:r>
              <w:rPr>
                <w:rFonts w:ascii="Times New Roman;serif" w:hAnsi="Times New Roman;serif"/>
                <w:b w:val="false"/>
                <w:sz w:val="20"/>
              </w:rPr>
              <w:t>shares outstanding, as of</w:t>
              <w:br/>
              <w:t>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Treasury stock, at cost, 10,937</w:t>
            </w:r>
            <w:r>
              <w:rPr>
                <w:rFonts w:ascii="Times New Roman" w:hAnsi="Times New Roman"/>
                <w:sz w:val="20"/>
              </w:rPr>
              <w:t> </w:t>
            </w:r>
            <w:r>
              <w:rPr>
                <w:rFonts w:ascii="Times New Roman;serif" w:hAnsi="Times New Roman;serif"/>
                <w:b w:val="false"/>
                <w:sz w:val="20"/>
              </w:rPr>
              <w:t>and 0</w:t>
            </w:r>
            <w:r>
              <w:rPr>
                <w:rFonts w:ascii="Times New Roman" w:hAnsi="Times New Roman"/>
                <w:sz w:val="20"/>
              </w:rPr>
              <w:t> </w:t>
            </w:r>
            <w:r>
              <w:rPr>
                <w:rFonts w:ascii="Times New Roman;serif" w:hAnsi="Times New Roman;serif"/>
                <w:b w:val="false"/>
                <w:sz w:val="20"/>
              </w:rPr>
              <w:t xml:space="preserve">shares as of March 31, 2023 and </w:t>
              <w:br/>
              <w:t>  December 31, 2022</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94,293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92,481</w:t>
            </w:r>
          </w:p>
        </w:tc>
        <w:tc>
          <w:tcPr>
            <w:tcW w:w="213" w:type="dxa"/>
            <w:tcBorders/>
            <w:shd w:fill="auto" w:val="cle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(21,402</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shareholders' equity</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71,093</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0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78,320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77,414</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RED VIOLET, INC.</w:t>
      </w:r>
    </w:p>
    <w:p>
      <w:pPr>
        <w:pStyle w:val="TextBody"/>
        <w:spacing w:before="0" w:after="0"/>
        <w:jc w:val="center"/>
        <w:rPr>
          <w:rFonts w:ascii="Times New Roman;serif" w:hAnsi="Times New Roman;serif"/>
          <w:b/>
          <w:sz w:val="20"/>
        </w:rPr>
      </w:pPr>
      <w:bookmarkStart w:id="5" w:name="condensed_consolidated_statements_operat"/>
      <w:bookmarkEnd w:id="5"/>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(Amounts in thousands, except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8184" w:type="dxa"/>
        <w:jc w:val="left"/>
        <w:tblInd w:w="0" w:type="dxa"/>
        <w:tblCellMar>
          <w:top w:w="28" w:type="dxa"/>
          <w:left w:w="28" w:type="dxa"/>
          <w:bottom w:w="28" w:type="dxa"/>
          <w:right w:w="28" w:type="dxa"/>
        </w:tblCellMar>
      </w:tblPr>
      <w:tblGrid>
        <w:gridCol w:w="5041"/>
        <w:gridCol w:w="146"/>
        <w:gridCol w:w="211"/>
        <w:gridCol w:w="1036"/>
        <w:gridCol w:w="166"/>
        <w:gridCol w:w="146"/>
        <w:gridCol w:w="211"/>
        <w:gridCol w:w="1036"/>
        <w:gridCol w:w="191"/>
      </w:tblGrid>
      <w:tr>
        <w:trPr/>
        <w:tc>
          <w:tcPr>
            <w:tcW w:w="5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0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12,729</w:t>
            </w:r>
          </w:p>
        </w:tc>
        <w:tc>
          <w:tcPr>
            <w:tcW w:w="191"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Costs and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(exclusive of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3,170</w:t>
            </w:r>
          </w:p>
        </w:tc>
        <w:tc>
          <w:tcPr>
            <w:tcW w:w="191"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191"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5,353</w:t>
            </w:r>
          </w:p>
        </w:tc>
        <w:tc>
          <w:tcPr>
            <w:tcW w:w="191"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costs and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12,448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191"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91"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Earnings per share: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number of shares outstanding:</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13,997,154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13,543,607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14,236,771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14,047,635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RED VIOLET, INC.</w:t>
      </w:r>
    </w:p>
    <w:p>
      <w:pPr>
        <w:pStyle w:val="TextBody"/>
        <w:spacing w:before="0" w:after="0"/>
        <w:jc w:val="center"/>
        <w:rPr>
          <w:rFonts w:ascii="Times New Roman" w:hAnsi="Times New Roman"/>
          <w:sz w:val="20"/>
        </w:rPr>
      </w:pPr>
      <w:bookmarkStart w:id="6" w:name="condensed_consolidated_statement_changes"/>
      <w:bookmarkEnd w:id="6"/>
      <w:r>
        <w:rPr>
          <w:rFonts w:ascii="Times New Roman;serif" w:hAnsi="Times New Roman;serif"/>
          <w:b/>
          <w:sz w:val="20"/>
        </w:rPr>
        <w:t>CONDENSED CONSOLIDATED STATEMENTS OF CHANGES IN SHAREHOLDERS’ EQUITY</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(Amounts in thousands, except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40" w:after="0"/>
        <w:jc w:val="center"/>
        <w:rPr/>
      </w:pPr>
      <w:r>
        <w:rPr/>
        <w:t> </w:t>
      </w:r>
    </w:p>
    <w:tbl>
      <w:tblPr>
        <w:tblW w:w="10205" w:type="dxa"/>
        <w:jc w:val="left"/>
        <w:tblInd w:w="0" w:type="dxa"/>
        <w:tblCellMar>
          <w:top w:w="28" w:type="dxa"/>
          <w:left w:w="28" w:type="dxa"/>
          <w:bottom w:w="28" w:type="dxa"/>
          <w:right w:w="28" w:type="dxa"/>
        </w:tblCellMar>
      </w:tblPr>
      <w:tblGrid>
        <w:gridCol w:w="1610"/>
        <w:gridCol w:w="146"/>
        <w:gridCol w:w="146"/>
        <w:gridCol w:w="1036"/>
        <w:gridCol w:w="166"/>
        <w:gridCol w:w="146"/>
        <w:gridCol w:w="276"/>
        <w:gridCol w:w="415"/>
        <w:gridCol w:w="146"/>
        <w:gridCol w:w="146"/>
        <w:gridCol w:w="146"/>
        <w:gridCol w:w="736"/>
        <w:gridCol w:w="166"/>
        <w:gridCol w:w="146"/>
        <w:gridCol w:w="211"/>
        <w:gridCol w:w="481"/>
        <w:gridCol w:w="166"/>
        <w:gridCol w:w="146"/>
        <w:gridCol w:w="237"/>
        <w:gridCol w:w="762"/>
        <w:gridCol w:w="166"/>
        <w:gridCol w:w="146"/>
        <w:gridCol w:w="234"/>
        <w:gridCol w:w="817"/>
        <w:gridCol w:w="166"/>
        <w:gridCol w:w="146"/>
        <w:gridCol w:w="211"/>
        <w:gridCol w:w="676"/>
        <w:gridCol w:w="213"/>
      </w:tblGrid>
      <w:tr>
        <w:trPr/>
        <w:tc>
          <w:tcPr>
            <w:tcW w:w="1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8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9"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 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center"/>
              <w:rPr/>
            </w:pPr>
            <w:r>
              <w:rPr/>
              <w:t> </w:t>
            </w:r>
          </w:p>
        </w:tc>
      </w:tr>
      <w:tr>
        <w:trPr/>
        <w:tc>
          <w:tcPr>
            <w:tcW w:w="161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13,488,540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91,434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69,429</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Vesting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in treasury stock resulting</w:t>
              <w:br/>
              <w:t>  from shares withheld to cover</w:t>
              <w:br/>
              <w:t>  statutory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Retirement of treasury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13,523,067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71,218</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13,956,404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71,093</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Vesting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in treasury stock resulting</w:t>
              <w:br/>
              <w:t>  from shares withheld to cover</w:t>
              <w:br/>
              <w:t>  statutory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repurchased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Retirement of treasury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213" w:type="dxa"/>
            <w:tcBorders/>
            <w:shd w:fill="auto" w:val="cle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1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13,961,643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94,293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73,420</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RED VIOLET, INC.</w:t>
      </w:r>
    </w:p>
    <w:p>
      <w:pPr>
        <w:pStyle w:val="TextBody"/>
        <w:spacing w:before="0" w:after="0"/>
        <w:jc w:val="center"/>
        <w:rPr>
          <w:rFonts w:ascii="Times New Roman;serif" w:hAnsi="Times New Roman;serif"/>
          <w:b/>
          <w:sz w:val="20"/>
        </w:rPr>
      </w:pPr>
      <w:bookmarkStart w:id="7" w:name="condensed_consolidated_statements_cash_f"/>
      <w:bookmarkEnd w:id="7"/>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(Amounts 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9477" w:type="dxa"/>
        <w:jc w:val="left"/>
        <w:tblInd w:w="0" w:type="dxa"/>
        <w:tblCellMar>
          <w:top w:w="28" w:type="dxa"/>
          <w:left w:w="28" w:type="dxa"/>
          <w:bottom w:w="28" w:type="dxa"/>
          <w:right w:w="28" w:type="dxa"/>
        </w:tblCellMar>
      </w:tblPr>
      <w:tblGrid>
        <w:gridCol w:w="6721"/>
        <w:gridCol w:w="146"/>
        <w:gridCol w:w="242"/>
        <w:gridCol w:w="778"/>
        <w:gridCol w:w="191"/>
        <w:gridCol w:w="168"/>
        <w:gridCol w:w="242"/>
        <w:gridCol w:w="778"/>
        <w:gridCol w:w="211"/>
      </w:tblGrid>
      <w:tr>
        <w:trPr/>
        <w:tc>
          <w:tcPr>
            <w:tcW w:w="6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 of long-lived assets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bad debts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lease expenses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(benefit) expense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costs included in intangible assets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Taxes paid related to net share settlement of vesting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(decrease)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31,810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34,258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at end of period</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30,818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34,775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INFORMATION</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capitalized in intangible assets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21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Retirement of treasury stock</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RED VIOLET, INC.</w:t>
      </w:r>
    </w:p>
    <w:p>
      <w:pPr>
        <w:pStyle w:val="TextBody"/>
        <w:spacing w:before="0" w:after="0"/>
        <w:jc w:val="center"/>
        <w:rPr>
          <w:rFonts w:ascii="Times New Roman;serif" w:hAnsi="Times New Roman;serif"/>
          <w:b/>
          <w:sz w:val="20"/>
        </w:rPr>
      </w:pPr>
      <w:bookmarkStart w:id="8" w:name="notes_to_condensed_consolidated_financia"/>
      <w:bookmarkEnd w:id="8"/>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(Amounts in thousands, except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200" w:after="0"/>
        <w:jc w:val="left"/>
        <w:rPr>
          <w:rFonts w:ascii="Times New Roman;serif" w:hAnsi="Times New Roman;serif"/>
          <w:b/>
          <w:sz w:val="20"/>
        </w:rPr>
      </w:pPr>
      <w:r>
        <w:rPr>
          <w:rFonts w:ascii="Times New Roman;serif" w:hAnsi="Times New Roman;serif"/>
          <w:b/>
          <w:sz w:val="20"/>
        </w:rPr>
        <w:t>1. Summary of significant accounting policies</w:t>
      </w:r>
    </w:p>
    <w:p>
      <w:pPr>
        <w:pStyle w:val="TextBody"/>
        <w:spacing w:before="200" w:after="0"/>
        <w:jc w:val="left"/>
        <w:rPr>
          <w:rFonts w:ascii="Times New Roman;serif" w:hAnsi="Times New Roman;serif"/>
          <w:b/>
          <w:i/>
          <w:sz w:val="20"/>
        </w:rPr>
      </w:pPr>
      <w:r>
        <w:rPr>
          <w:rFonts w:ascii="Times New Roman;serif" w:hAnsi="Times New Roman;serif"/>
          <w:b/>
          <w:i/>
          <w:sz w:val="20"/>
        </w:rPr>
        <w:t>(a) Basis of preparation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2023.</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information included in this quarterly report on Form 10-Q should be read in conjunction with the consolidated financial statements and accompanying notes included in the Company’s Annual Report on Form 10-K for the year ended December 31, 2022 (“Form 10-K”).</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condensed consolidated balance sheet as of December 31, 2022 included herein was derived from the audited financial statements as of that date included in the Form 10-K, but does not include all disclosures required by US GAAP.</w:t>
      </w:r>
    </w:p>
    <w:p>
      <w:pPr>
        <w:pStyle w:val="TextBody"/>
        <w:spacing w:before="200" w:after="0"/>
        <w:jc w:val="left"/>
        <w:rPr>
          <w:rFonts w:ascii="Times New Roman" w:hAnsi="Times New Roman"/>
          <w:sz w:val="20"/>
        </w:rPr>
      </w:pPr>
      <w:r>
        <w:rPr>
          <w:rFonts w:ascii="Times New Roman;serif" w:hAnsi="Times New Roman;serif"/>
          <w:b w:val="false"/>
          <w:sz w:val="20"/>
        </w:rPr>
        <w:t>The Company has only one</w:t>
      </w:r>
      <w:r>
        <w:rPr>
          <w:rFonts w:ascii="Times New Roman" w:hAnsi="Times New Roman"/>
          <w:sz w:val="20"/>
        </w:rPr>
        <w:t xml:space="preserve"> </w:t>
      </w:r>
      <w:r>
        <w:rPr>
          <w:rFonts w:ascii="Times New Roman;serif" w:hAnsi="Times New Roman;serif"/>
          <w:b w:val="false"/>
          <w:sz w:val="20"/>
        </w:rPr>
        <w:t>operating segment, as defined by Accounting Standards Codification (“ASC”) 280, “</w:t>
      </w:r>
      <w:r>
        <w:rPr>
          <w:rFonts w:ascii="Times New Roman;serif" w:hAnsi="Times New Roman;serif"/>
          <w:b w:val="false"/>
          <w:i/>
          <w:sz w:val="20"/>
        </w:rPr>
        <w:t>Segment Reporting</w:t>
      </w:r>
      <w:r>
        <w:rPr>
          <w:rFonts w:ascii="Times New Roman;serif" w:hAnsi="Times New Roman;serif"/>
          <w:b w:val="false"/>
          <w:sz w:val="20"/>
        </w:rPr>
        <w:t>.”</w:t>
      </w:r>
    </w:p>
    <w:p>
      <w:pPr>
        <w:pStyle w:val="TextBody"/>
        <w:spacing w:before="200" w:after="0"/>
        <w:jc w:val="left"/>
        <w:rPr>
          <w:rFonts w:ascii="Times New Roman;serif" w:hAnsi="Times New Roman;serif"/>
          <w:b w:val="false"/>
          <w:i/>
          <w:sz w:val="20"/>
          <w:u w:val="single"/>
        </w:rPr>
      </w:pPr>
      <w:r>
        <w:rPr>
          <w:rFonts w:ascii="Times New Roman;serif" w:hAnsi="Times New Roman;serif"/>
          <w:b w:val="false"/>
          <w:i/>
          <w:sz w:val="20"/>
          <w:u w:val="single"/>
        </w:rPr>
        <w:t>Principles of consolidation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condensed consolidated financial statements include the financial statements of the Company and its subsidiaries. All significant transactions among the Company and its subsidiaries have been eliminated upon consolidation.</w:t>
      </w:r>
    </w:p>
    <w:p>
      <w:pPr>
        <w:pStyle w:val="TextBody"/>
        <w:spacing w:before="200" w:after="0"/>
        <w:jc w:val="left"/>
        <w:rPr>
          <w:rFonts w:ascii="Times New Roman;serif" w:hAnsi="Times New Roman;serif"/>
          <w:b/>
          <w:i/>
          <w:sz w:val="20"/>
        </w:rPr>
      </w:pPr>
      <w:r>
        <w:rPr>
          <w:rFonts w:ascii="Times New Roman;serif" w:hAnsi="Times New Roman;serif"/>
          <w:b/>
          <w:i/>
          <w:sz w:val="20"/>
        </w:rPr>
        <w:t>(b) Recently issued accounting standards</w:t>
      </w:r>
    </w:p>
    <w:p>
      <w:pPr>
        <w:pStyle w:val="TextBody"/>
        <w:spacing w:before="160" w:after="0"/>
        <w:jc w:val="left"/>
        <w:rPr>
          <w:rFonts w:ascii="Times New Roman" w:hAnsi="Times New Roman"/>
          <w:sz w:val="20"/>
        </w:rPr>
      </w:pPr>
      <w:r>
        <w:rPr>
          <w:rFonts w:ascii="Times New Roman;serif" w:hAnsi="Times New Roman;serif"/>
          <w:b w:val="false"/>
          <w:sz w:val="20"/>
        </w:rPr>
        <w:t>As an emerging growth company, the Company has left open the opportunity to take advantage of the extended transition</w:t>
      </w:r>
      <w:r>
        <w:rPr>
          <w:rFonts w:ascii="Times New Roman" w:hAnsi="Times New Roman"/>
          <w:sz w:val="20"/>
        </w:rPr>
        <w:t xml:space="preserve"> </w:t>
      </w:r>
      <w:r>
        <w:rPr>
          <w:rFonts w:ascii="Times New Roman;serif" w:hAnsi="Times New Roman;serif"/>
          <w:b w:val="false"/>
          <w:sz w:val="20"/>
        </w:rPr>
        <w:t>period provided to emerging growth companies in Section 13(a) of the Securities Exchange Act of 1934, as amended (the “Exchange Act”), however, it is the Company’s present intention to adopt any applicable new accounting standards timely.</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2. Earnings per share</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w:t>
      </w:r>
    </w:p>
    <w:p>
      <w:pPr>
        <w:pStyle w:val="TextBody"/>
        <w:spacing w:before="0" w:after="0"/>
        <w:jc w:val="left"/>
        <w:rPr/>
      </w:pPr>
      <w:r>
        <w:rPr/>
        <w:t> </w:t>
      </w:r>
    </w:p>
    <w:tbl>
      <w:tblPr>
        <w:tblW w:w="6469" w:type="dxa"/>
        <w:jc w:val="left"/>
        <w:tblInd w:w="0" w:type="dxa"/>
        <w:tblCellMar>
          <w:top w:w="28" w:type="dxa"/>
          <w:left w:w="28" w:type="dxa"/>
          <w:bottom w:w="28" w:type="dxa"/>
          <w:right w:w="28" w:type="dxa"/>
        </w:tblCellMar>
      </w:tblPr>
      <w:tblGrid>
        <w:gridCol w:w="3346"/>
        <w:gridCol w:w="146"/>
        <w:gridCol w:w="211"/>
        <w:gridCol w:w="1036"/>
        <w:gridCol w:w="146"/>
        <w:gridCol w:w="146"/>
        <w:gridCol w:w="211"/>
        <w:gridCol w:w="1036"/>
        <w:gridCol w:w="191"/>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share data)</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91" w:type="dxa"/>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shares outstanding:</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13,997,154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13,543,607</w:t>
            </w:r>
          </w:p>
        </w:tc>
        <w:tc>
          <w:tcPr>
            <w:tcW w:w="191" w:type="dxa"/>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Diluted</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14,236,771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14,047,635</w:t>
            </w:r>
          </w:p>
        </w:tc>
        <w:tc>
          <w:tcPr>
            <w:tcW w:w="191" w:type="dxa"/>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Earnings per share: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For the three months ended March 31, 2023 and 2022, diluted weighted average shares outstanding are calculated by the inclusion of unvested restricted stock units ("RSUs").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3. Intangible assets, net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Intangible assets other than goodwill consist of the following: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409"/>
        <w:gridCol w:w="146"/>
        <w:gridCol w:w="946"/>
        <w:gridCol w:w="146"/>
        <w:gridCol w:w="217"/>
        <w:gridCol w:w="697"/>
        <w:gridCol w:w="146"/>
        <w:gridCol w:w="146"/>
        <w:gridCol w:w="251"/>
        <w:gridCol w:w="878"/>
        <w:gridCol w:w="166"/>
        <w:gridCol w:w="146"/>
        <w:gridCol w:w="211"/>
        <w:gridCol w:w="676"/>
        <w:gridCol w:w="146"/>
        <w:gridCol w:w="146"/>
        <w:gridCol w:w="217"/>
        <w:gridCol w:w="697"/>
        <w:gridCol w:w="146"/>
        <w:gridCol w:w="146"/>
        <w:gridCol w:w="251"/>
        <w:gridCol w:w="878"/>
        <w:gridCol w:w="166"/>
        <w:gridCol w:w="146"/>
        <w:gridCol w:w="211"/>
        <w:gridCol w:w="676"/>
        <w:gridCol w:w="198"/>
      </w:tblGrid>
      <w:tr>
        <w:trPr/>
        <w:tc>
          <w:tcPr>
            <w:tcW w:w="14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40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53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53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09"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Amortization</w:t>
              <w:br/>
              <w:t>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Gross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Net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Gross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Net</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Software developed for internal use</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5-10 years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31,647</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pStyle w:val="TextBody"/>
        <w:spacing w:before="200" w:after="0"/>
        <w:jc w:val="left"/>
        <w:rPr>
          <w:rFonts w:ascii="Times New Roman" w:hAnsi="Times New Roman"/>
          <w:sz w:val="20"/>
        </w:rPr>
      </w:pPr>
      <w:r>
        <w:rPr>
          <w:rFonts w:ascii="Times New Roman;serif" w:hAnsi="Times New Roman;serif"/>
          <w:b w:val="false"/>
          <w:sz w:val="20"/>
        </w:rPr>
        <w:t>Amortization expenses of $1,858</w:t>
      </w:r>
      <w:r>
        <w:rPr>
          <w:rFonts w:ascii="Times New Roman" w:hAnsi="Times New Roman"/>
          <w:sz w:val="20"/>
        </w:rPr>
        <w:t xml:space="preserve"> </w:t>
      </w:r>
      <w:r>
        <w:rPr>
          <w:rFonts w:ascii="Times New Roman;serif" w:hAnsi="Times New Roman;serif"/>
          <w:b w:val="false"/>
          <w:sz w:val="20"/>
        </w:rPr>
        <w:t>and $1,472</w:t>
      </w:r>
      <w:r>
        <w:rPr>
          <w:rFonts w:ascii="Times New Roman" w:hAnsi="Times New Roman"/>
          <w:sz w:val="20"/>
        </w:rPr>
        <w:t xml:space="preserve"> </w:t>
      </w:r>
      <w:r>
        <w:rPr>
          <w:rFonts w:ascii="Times New Roman;serif" w:hAnsi="Times New Roman;serif"/>
          <w:b w:val="false"/>
          <w:sz w:val="20"/>
        </w:rPr>
        <w:t>for the three months ended March 31, 2023 and 2022, respectively, were included in depreciation and amortization expense. As of March 31, 2023, intangible assets of $5,359, included in the gross amounts of software developed for internal use, have not started amortization, as they are not ready for their intended use.</w:t>
      </w:r>
    </w:p>
    <w:p>
      <w:pPr>
        <w:pStyle w:val="TextBody"/>
        <w:spacing w:before="200" w:after="0"/>
        <w:jc w:val="left"/>
        <w:rPr>
          <w:rFonts w:ascii="Times New Roman" w:hAnsi="Times New Roman"/>
          <w:sz w:val="20"/>
        </w:rPr>
      </w:pPr>
      <w:r>
        <w:rPr>
          <w:rFonts w:ascii="Times New Roman;serif" w:hAnsi="Times New Roman;serif"/>
          <w:b w:val="false"/>
          <w:sz w:val="20"/>
        </w:rPr>
        <w:t>The Company capitalized costs of software developed for internal use of $2,732</w:t>
      </w:r>
      <w:r>
        <w:rPr>
          <w:rFonts w:ascii="Times New Roman" w:hAnsi="Times New Roman"/>
          <w:sz w:val="20"/>
        </w:rPr>
        <w:t xml:space="preserve"> </w:t>
      </w:r>
      <w:r>
        <w:rPr>
          <w:rFonts w:ascii="Times New Roman;serif" w:hAnsi="Times New Roman;serif"/>
          <w:b w:val="false"/>
          <w:sz w:val="20"/>
        </w:rPr>
        <w:t>and $2,095</w:t>
      </w:r>
      <w:r>
        <w:rPr>
          <w:rFonts w:ascii="Times New Roman" w:hAnsi="Times New Roman"/>
          <w:sz w:val="20"/>
        </w:rPr>
        <w:t xml:space="preserve"> </w:t>
      </w:r>
      <w:r>
        <w:rPr>
          <w:rFonts w:ascii="Times New Roman;serif" w:hAnsi="Times New Roman;serif"/>
          <w:b w:val="false"/>
          <w:sz w:val="20"/>
        </w:rPr>
        <w:t>during the three months ended March 31, 2023 and 2022, respectively.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of March 31, 2023, estimated amortization expense related to the Company’s intangible assets for the remainder of 2023 through 2028 and thereafter are as follows:</w:t>
      </w:r>
    </w:p>
    <w:p>
      <w:pPr>
        <w:pStyle w:val="TextBody"/>
        <w:spacing w:before="0" w:after="0"/>
        <w:jc w:val="left"/>
        <w:rPr/>
      </w:pPr>
      <w:r>
        <w:rPr/>
        <w:t> </w:t>
      </w:r>
    </w:p>
    <w:tbl>
      <w:tblPr>
        <w:tblW w:w="3293" w:type="dxa"/>
        <w:jc w:val="left"/>
        <w:tblInd w:w="0" w:type="dxa"/>
        <w:tblCellMar>
          <w:top w:w="28" w:type="dxa"/>
          <w:left w:w="28" w:type="dxa"/>
          <w:bottom w:w="28" w:type="dxa"/>
          <w:right w:w="28" w:type="dxa"/>
        </w:tblCellMar>
      </w:tblPr>
      <w:tblGrid>
        <w:gridCol w:w="1696"/>
        <w:gridCol w:w="146"/>
        <w:gridCol w:w="299"/>
        <w:gridCol w:w="961"/>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Year</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6,033</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8,029</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6,863</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5,381</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3,755</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32,521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4. Goodwill</w:t>
      </w:r>
    </w:p>
    <w:p>
      <w:pPr>
        <w:pStyle w:val="TextBody"/>
        <w:spacing w:before="200" w:after="0"/>
        <w:jc w:val="left"/>
        <w:rPr>
          <w:rFonts w:ascii="Times New Roman" w:hAnsi="Times New Roman"/>
          <w:sz w:val="20"/>
        </w:rPr>
      </w:pPr>
      <w:r>
        <w:rPr>
          <w:rFonts w:ascii="Times New Roman;serif" w:hAnsi="Times New Roman;serif"/>
          <w:b w:val="false"/>
          <w:sz w:val="20"/>
        </w:rPr>
        <w:t>Goodwill represents the cost in excess of the fair value of the net assets acquired in a business combination. As of March 31, 2023 and December 31, 2022, the balance of goodwill of $5,227</w:t>
      </w:r>
      <w:r>
        <w:rPr>
          <w:rFonts w:ascii="Times New Roman" w:hAnsi="Times New Roman"/>
          <w:sz w:val="20"/>
        </w:rPr>
        <w:t xml:space="preserve"> </w:t>
      </w:r>
      <w:r>
        <w:rPr>
          <w:rFonts w:ascii="Times New Roman;serif" w:hAnsi="Times New Roman;serif"/>
          <w:b w:val="false"/>
          <w:sz w:val="20"/>
        </w:rPr>
        <w:t>was as a result of the acquisition of Interactive Data, LLC, a wholly-owned subsidiary of red violet, effective on October 2, 2014.</w:t>
      </w:r>
    </w:p>
    <w:p>
      <w:pPr>
        <w:pStyle w:val="TextBody"/>
        <w:spacing w:before="200" w:after="0"/>
        <w:jc w:val="left"/>
        <w:rPr>
          <w:rFonts w:ascii="Times New Roman" w:hAnsi="Times New Roman"/>
          <w:sz w:val="20"/>
        </w:rPr>
      </w:pPr>
      <w:r>
        <w:rPr>
          <w:rFonts w:ascii="Times New Roman;serif" w:hAnsi="Times New Roman;serif"/>
          <w:b w:val="false"/>
          <w:sz w:val="20"/>
        </w:rPr>
        <w:t xml:space="preserve">In accordance with ASC 350, </w:t>
      </w:r>
      <w:r>
        <w:rPr>
          <w:rFonts w:ascii="Times New Roman" w:hAnsi="Times New Roman"/>
          <w:sz w:val="20"/>
        </w:rPr>
        <w:t>“</w:t>
      </w:r>
      <w:r>
        <w:rPr>
          <w:rFonts w:ascii="Times New Roman;serif" w:hAnsi="Times New Roman;serif"/>
          <w:b w:val="false"/>
          <w:i/>
          <w:sz w:val="20"/>
        </w:rPr>
        <w:t>Intangibles - Goodwill and Other,”</w:t>
      </w:r>
      <w:r>
        <w:rPr>
          <w:rFonts w:ascii="Times New Roman" w:hAnsi="Times New Roman"/>
          <w:sz w:val="20"/>
        </w:rPr>
        <w:t xml:space="preserve"> </w:t>
      </w:r>
      <w:r>
        <w:rPr>
          <w:rFonts w:ascii="Times New Roman;serif" w:hAnsi="Times New Roman;serif"/>
          <w:b w:val="false"/>
          <w:sz w:val="20"/>
        </w:rPr>
        <w:t>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pStyle w:val="TextBody"/>
        <w:spacing w:before="200" w:after="0"/>
        <w:jc w:val="left"/>
        <w:rPr>
          <w:rFonts w:ascii="Times New Roman" w:hAnsi="Times New Roman"/>
          <w:sz w:val="20"/>
        </w:rPr>
      </w:pPr>
      <w:r>
        <w:rPr>
          <w:rFonts w:ascii="Times New Roman;serif" w:hAnsi="Times New Roman;serif"/>
          <w:b w:val="false"/>
          <w:sz w:val="20"/>
        </w:rPr>
        <w:t>The Company did not record a goodwill impairment loss during the three months ended March 31, 2023 and 2022, and as of March 31, 2023, there was no</w:t>
      </w:r>
      <w:r>
        <w:rPr>
          <w:rFonts w:ascii="Times New Roman" w:hAnsi="Times New Roman"/>
          <w:sz w:val="20"/>
        </w:rPr>
        <w:t xml:space="preserve"> </w:t>
      </w:r>
      <w:r>
        <w:rPr>
          <w:rFonts w:ascii="Times New Roman;serif" w:hAnsi="Times New Roman;serif"/>
          <w:b w:val="false"/>
          <w:sz w:val="20"/>
        </w:rPr>
        <w:t>accumulated goodwill impairment loss.</w:t>
      </w:r>
    </w:p>
    <w:p>
      <w:pPr>
        <w:pStyle w:val="TextBody"/>
        <w:spacing w:before="200" w:after="0"/>
        <w:jc w:val="left"/>
        <w:rPr>
          <w:rFonts w:ascii="Times New Roman;serif" w:hAnsi="Times New Roman;serif"/>
          <w:b/>
          <w:sz w:val="20"/>
        </w:rPr>
      </w:pPr>
      <w:r>
        <w:rPr>
          <w:rFonts w:ascii="Times New Roman;serif" w:hAnsi="Times New Roman;serif"/>
          <w:b/>
          <w:sz w:val="20"/>
        </w:rPr>
        <w:t>5. Revenue recognition</w:t>
      </w:r>
    </w:p>
    <w:p>
      <w:pPr>
        <w:pStyle w:val="TextBody"/>
        <w:spacing w:before="200" w:after="0"/>
        <w:jc w:val="left"/>
        <w:rPr>
          <w:rFonts w:ascii="Times New Roman" w:hAnsi="Times New Roman"/>
          <w:sz w:val="20"/>
        </w:rPr>
      </w:pPr>
      <w:r>
        <w:rPr>
          <w:rFonts w:ascii="Times New Roman;serif" w:hAnsi="Times New Roman;serif"/>
          <w:b w:val="false"/>
          <w:sz w:val="20"/>
        </w:rPr>
        <w:t xml:space="preserve">The Company recognized revenue in accordance with ASC 606, </w:t>
      </w:r>
      <w:r>
        <w:rPr>
          <w:rFonts w:ascii="Times New Roman" w:hAnsi="Times New Roman"/>
          <w:sz w:val="20"/>
        </w:rPr>
        <w:t>“</w:t>
      </w:r>
      <w:r>
        <w:rPr>
          <w:rFonts w:ascii="Times New Roman;serif" w:hAnsi="Times New Roman;serif"/>
          <w:b w:val="false"/>
          <w:i/>
          <w:sz w:val="20"/>
        </w:rPr>
        <w:t>Revenue from Contracts with Customers”</w:t>
      </w:r>
      <w:r>
        <w:rPr>
          <w:rFonts w:ascii="Times New Roman" w:hAnsi="Times New Roman"/>
          <w:sz w:val="20"/>
        </w:rPr>
        <w:t xml:space="preserve"> </w:t>
      </w:r>
      <w:r>
        <w:rPr>
          <w:rFonts w:ascii="Times New Roman;serif" w:hAnsi="Times New Roman;serif"/>
          <w:b w:val="false"/>
          <w:sz w:val="20"/>
        </w:rPr>
        <w:t>(“Topic 606”). Under this standard, revenue is recognized when control of goods or services is transferred to the Company’s customers, in an amount that reﬂects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March 31, 2023, the current and noncurrent portion unbilled accounts receivable of $733</w:t>
      </w:r>
      <w:r>
        <w:rPr>
          <w:rFonts w:ascii="Times New Roman" w:hAnsi="Times New Roman"/>
          <w:sz w:val="20"/>
        </w:rPr>
        <w:t xml:space="preserve"> </w:t>
      </w:r>
      <w:r>
        <w:rPr>
          <w:rFonts w:ascii="Times New Roman;serif" w:hAnsi="Times New Roman;serif"/>
          <w:b w:val="false"/>
          <w:sz w:val="20"/>
        </w:rPr>
        <w:t>and $757, respectively, were included within accounts receivable and other noncurrent assets, respectively, on the condensed consolidated balance sheets. As of December 31, 2022, the current and noncurrent portion unbilled accounts receivable of $923</w:t>
      </w:r>
      <w:r>
        <w:rPr>
          <w:rFonts w:ascii="Times New Roman" w:hAnsi="Times New Roman"/>
          <w:sz w:val="20"/>
        </w:rPr>
        <w:t xml:space="preserve"> </w:t>
      </w:r>
      <w:r>
        <w:rPr>
          <w:rFonts w:ascii="Times New Roman;serif" w:hAnsi="Times New Roman;serif"/>
          <w:b w:val="false"/>
          <w:sz w:val="20"/>
        </w:rPr>
        <w:t>and $464, respectively, were included within accounts receivable and other noncurrent assets, respectively, on the condensed consolidated balance sheets. The Company's revenue arrangements do not contain significant financing components.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For the three months ended March 31, 2023 and 2022, 75% and 77% of total revenue was attributable to customers with pricing contracts, respectively, versus 25% and 23% attributable to transactional customers, respectively. Pricing contracts are generally annual contracts or longer, with auto renewal.</w:t>
      </w:r>
    </w:p>
    <w:p>
      <w:pPr>
        <w:pStyle w:val="TextBody"/>
        <w:spacing w:before="200" w:after="0"/>
        <w:jc w:val="left"/>
        <w:rPr>
          <w:rFonts w:ascii="Times New Roman" w:hAnsi="Times New Roman"/>
          <w:sz w:val="20"/>
        </w:rPr>
      </w:pPr>
      <w:r>
        <w:rPr>
          <w:rFonts w:ascii="Times New Roman;serif" w:hAnsi="Times New Roman;serif"/>
          <w:b w:val="false"/>
          <w:sz w:val="20"/>
        </w:rPr>
        <w:t>If a customer pays consideration before the Company transfers services to the customer, those amounts are classiﬁed as deferred revenue. As of March 31, 2023 and December 31, 2022, the balance of deferred revenue was $763</w:t>
      </w:r>
      <w:r>
        <w:rPr>
          <w:rFonts w:ascii="Times New Roman" w:hAnsi="Times New Roman"/>
          <w:sz w:val="20"/>
        </w:rPr>
        <w:t xml:space="preserve"> </w:t>
      </w:r>
      <w:r>
        <w:rPr>
          <w:rFonts w:ascii="Times New Roman;serif" w:hAnsi="Times New Roman;serif"/>
          <w:b w:val="false"/>
          <w:sz w:val="20"/>
        </w:rPr>
        <w:t>and $670, respectively, all of which is expected to be realized in the next 12</w:t>
      </w:r>
      <w:r>
        <w:rPr>
          <w:rFonts w:ascii="Times New Roman" w:hAnsi="Times New Roman"/>
          <w:sz w:val="20"/>
        </w:rPr>
        <w:t xml:space="preserve"> </w:t>
      </w:r>
      <w:r>
        <w:rPr>
          <w:rFonts w:ascii="Times New Roman;serif" w:hAnsi="Times New Roman;serif"/>
          <w:b w:val="false"/>
          <w:sz w:val="20"/>
        </w:rPr>
        <w:t>months. In relation to the deferred revenue balance as of December 31, 2022, $283</w:t>
      </w:r>
      <w:r>
        <w:rPr>
          <w:rFonts w:ascii="Times New Roman" w:hAnsi="Times New Roman"/>
          <w:sz w:val="20"/>
        </w:rPr>
        <w:t xml:space="preserve"> </w:t>
      </w:r>
      <w:r>
        <w:rPr>
          <w:rFonts w:ascii="Times New Roman;serif" w:hAnsi="Times New Roman;serif"/>
          <w:b w:val="false"/>
          <w:sz w:val="20"/>
        </w:rPr>
        <w:t>was recognized into revenue during the three months ended March 31, 2023.</w:t>
      </w:r>
    </w:p>
    <w:p>
      <w:pPr>
        <w:pStyle w:val="TextBody"/>
        <w:spacing w:before="200" w:after="0"/>
        <w:jc w:val="left"/>
        <w:rPr>
          <w:rFonts w:ascii="Times New Roman" w:hAnsi="Times New Roman"/>
          <w:sz w:val="20"/>
        </w:rPr>
      </w:pPr>
      <w:r>
        <w:rPr>
          <w:rFonts w:ascii="Times New Roman;serif" w:hAnsi="Times New Roman;serif"/>
          <w:b w:val="false"/>
          <w:sz w:val="20"/>
        </w:rPr>
        <w:t>As of March 31, 2023, $10,614</w:t>
      </w:r>
      <w:r>
        <w:rPr>
          <w:rFonts w:ascii="Times New Roman" w:hAnsi="Times New Roman"/>
          <w:sz w:val="20"/>
        </w:rPr>
        <w:t xml:space="preserve"> </w:t>
      </w:r>
      <w:r>
        <w:rPr>
          <w:rFonts w:ascii="Times New Roman;serif" w:hAnsi="Times New Roman;serif"/>
          <w:b w:val="false"/>
          <w:sz w:val="20"/>
        </w:rPr>
        <w:t>of revenue is expected to be recognized in the future for performance obligations that are unsatisfied or partially unsatisfied, related to pricing contracts that have a term of more than 12</w:t>
      </w:r>
      <w:r>
        <w:rPr>
          <w:rFonts w:ascii="Times New Roman" w:hAnsi="Times New Roman"/>
          <w:sz w:val="20"/>
        </w:rPr>
        <w:t xml:space="preserve"> </w:t>
      </w:r>
      <w:r>
        <w:rPr>
          <w:rFonts w:ascii="Times New Roman;serif" w:hAnsi="Times New Roman;serif"/>
          <w:b w:val="false"/>
          <w:sz w:val="20"/>
        </w:rPr>
        <w:t>months, of which, $5,904</w:t>
      </w:r>
      <w:r>
        <w:rPr>
          <w:rFonts w:ascii="Times New Roman" w:hAnsi="Times New Roman"/>
          <w:sz w:val="20"/>
        </w:rPr>
        <w:t xml:space="preserve"> </w:t>
      </w:r>
      <w:r>
        <w:rPr>
          <w:rFonts w:ascii="Times New Roman;serif" w:hAnsi="Times New Roman;serif"/>
          <w:b w:val="false"/>
          <w:sz w:val="20"/>
        </w:rPr>
        <w:t>of revenue will be recognized in the remainder of 2023, $3,858</w:t>
      </w:r>
      <w:r>
        <w:rPr>
          <w:rFonts w:ascii="Times New Roman" w:hAnsi="Times New Roman"/>
          <w:sz w:val="20"/>
        </w:rPr>
        <w:t xml:space="preserve"> </w:t>
      </w:r>
      <w:r>
        <w:rPr>
          <w:rFonts w:ascii="Times New Roman;serif" w:hAnsi="Times New Roman;serif"/>
          <w:b w:val="false"/>
          <w:sz w:val="20"/>
        </w:rPr>
        <w:t>in 2024, $708</w:t>
      </w:r>
      <w:r>
        <w:rPr>
          <w:rFonts w:ascii="Times New Roman" w:hAnsi="Times New Roman"/>
          <w:sz w:val="20"/>
        </w:rPr>
        <w:t xml:space="preserve"> </w:t>
      </w:r>
      <w:r>
        <w:rPr>
          <w:rFonts w:ascii="Times New Roman;serif" w:hAnsi="Times New Roman;serif"/>
          <w:b w:val="false"/>
          <w:sz w:val="20"/>
        </w:rPr>
        <w:t>in 2025, $136</w:t>
      </w:r>
      <w:r>
        <w:rPr>
          <w:rFonts w:ascii="Times New Roman" w:hAnsi="Times New Roman"/>
          <w:sz w:val="20"/>
        </w:rPr>
        <w:t xml:space="preserve"> </w:t>
      </w:r>
      <w:r>
        <w:rPr>
          <w:rFonts w:ascii="Times New Roman;serif" w:hAnsi="Times New Roman;serif"/>
          <w:b w:val="false"/>
          <w:sz w:val="20"/>
        </w:rPr>
        <w:t>in 2026, and $8</w:t>
      </w:r>
      <w:r>
        <w:rPr>
          <w:rFonts w:ascii="Times New Roman" w:hAnsi="Times New Roman"/>
          <w:sz w:val="20"/>
        </w:rPr>
        <w:t xml:space="preserve"> </w:t>
      </w:r>
      <w:r>
        <w:rPr>
          <w:rFonts w:ascii="Times New Roman;serif" w:hAnsi="Times New Roman;serif"/>
          <w:b w:val="false"/>
          <w:sz w:val="20"/>
        </w:rPr>
        <w:t>in 2027.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Sales commissions are incurred and recorded on an ongoing basis over the term of the customer relationship. These costs are recorded in sales and marketing expenses.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the Company elected the practical expedient to not disclose the value of unsatisﬁed performance obligations for (i) contracts with an original expected length of one year or less and (ii) contracts for which the Company recognizes revenue at the amount to which it has the right to invoice for services performed.</w:t>
      </w:r>
    </w:p>
    <w:p>
      <w:pPr>
        <w:pStyle w:val="TextBody"/>
        <w:spacing w:before="200" w:after="0"/>
        <w:jc w:val="left"/>
        <w:rPr>
          <w:rFonts w:ascii="Times New Roman;serif" w:hAnsi="Times New Roman;serif"/>
          <w:b/>
          <w:sz w:val="20"/>
        </w:rPr>
      </w:pPr>
      <w:r>
        <w:rPr>
          <w:rFonts w:ascii="Times New Roman;serif" w:hAnsi="Times New Roman;serif"/>
          <w:b/>
          <w:sz w:val="20"/>
        </w:rPr>
        <w:t>6. Income taxes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For the three months ended March 31, 2023 and 2022, the Company concluded that, due to a recent history of operating losses, a valuation allowance should be applied to reduce its deferred tax assets to the amount that is more likely than not to be realized.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Company’s effective income tax rate was (4%) and 62% for the three months ended March 31, 2023 and 2022, respectively, differing from the U.S. corporate statutory federal income tax rate of 21%, and the difference is primarily the result of the valuation allowance applied to reduce the Company’s deferred tax assets to the amount that is more likely than not to be realized.</w:t>
      </w:r>
    </w:p>
    <w:p>
      <w:pPr>
        <w:pStyle w:val="TextBody"/>
        <w:spacing w:before="200" w:after="0"/>
        <w:jc w:val="left"/>
        <w:rPr>
          <w:rFonts w:ascii="Times New Roman" w:hAnsi="Times New Roman"/>
          <w:sz w:val="20"/>
        </w:rPr>
      </w:pPr>
      <w:r>
        <w:rPr>
          <w:rFonts w:ascii="Times New Roman;serif" w:hAnsi="Times New Roman;serif"/>
          <w:b w:val="false"/>
          <w:sz w:val="20"/>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w:t>
      </w:r>
      <w:r>
        <w:rPr>
          <w:rFonts w:ascii="Times New Roman" w:hAnsi="Times New Roman"/>
          <w:sz w:val="20"/>
        </w:rPr>
        <w:t xml:space="preserve"> </w:t>
      </w:r>
      <w:r>
        <w:rPr>
          <w:rFonts w:ascii="Times New Roman;serif" w:hAnsi="Times New Roman;serif"/>
          <w:b w:val="false"/>
          <w:sz w:val="20"/>
        </w:rPr>
        <w:t>likelihood of being realized upon ultimate settlement with a taxing authority that has full knowledge of all relevant information. For those income tax positions where it is not more-likely-than-not that a tax benefit will be sustained, no</w:t>
      </w:r>
      <w:r>
        <w:rPr>
          <w:rFonts w:ascii="Times New Roman" w:hAnsi="Times New Roman"/>
          <w:sz w:val="20"/>
        </w:rPr>
        <w:t xml:space="preserve"> </w:t>
      </w:r>
      <w:r>
        <w:rPr>
          <w:rFonts w:ascii="Times New Roman;serif" w:hAnsi="Times New Roman;serif"/>
          <w:b w:val="false"/>
          <w:sz w:val="20"/>
        </w:rPr>
        <w:t>tax benefit has been recognized in the Company’s financial statements.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 does not have any material unrecognized tax benefits as of March 31, 2023 and December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7. Common stock and treasury stock</w:t>
      </w:r>
    </w:p>
    <w:p>
      <w:pPr>
        <w:pStyle w:val="TextBody"/>
        <w:spacing w:before="200" w:after="0"/>
        <w:jc w:val="left"/>
        <w:rPr>
          <w:rFonts w:ascii="Times New Roman" w:hAnsi="Times New Roman"/>
          <w:sz w:val="20"/>
        </w:rPr>
      </w:pPr>
      <w:r>
        <w:rPr>
          <w:rFonts w:ascii="Times New Roman;serif" w:hAnsi="Times New Roman;serif"/>
          <w:b w:val="false"/>
          <w:sz w:val="20"/>
        </w:rPr>
        <w:t>As of March 31, 2023 and December 31, 2022, the number of issued shares of common stock was 13,961,643</w:t>
      </w:r>
      <w:r>
        <w:rPr>
          <w:rFonts w:ascii="Times New Roman" w:hAnsi="Times New Roman"/>
          <w:sz w:val="20"/>
        </w:rPr>
        <w:t xml:space="preserve"> </w:t>
      </w:r>
      <w:r>
        <w:rPr>
          <w:rFonts w:ascii="Times New Roman;serif" w:hAnsi="Times New Roman;serif"/>
          <w:b w:val="false"/>
          <w:sz w:val="20"/>
        </w:rPr>
        <w:t>and 13,956,404, respectively, which included shares of treasury stock of 10,937</w:t>
      </w:r>
      <w:r>
        <w:rPr>
          <w:rFonts w:ascii="Times New Roman" w:hAnsi="Times New Roman"/>
          <w:sz w:val="20"/>
        </w:rPr>
        <w:t xml:space="preserve"> </w:t>
      </w:r>
      <w:r>
        <w:rPr>
          <w:rFonts w:ascii="Times New Roman;serif" w:hAnsi="Times New Roman;serif"/>
          <w:b w:val="false"/>
          <w:sz w:val="20"/>
        </w:rPr>
        <w:t>and 0, respectively. The changes in the number of issued shares of common stock and treasury stock were due to the following factors:</w:t>
      </w:r>
    </w:p>
    <w:p>
      <w:pPr>
        <w:pStyle w:val="TextBody"/>
        <w:spacing w:before="200" w:after="0"/>
        <w:jc w:val="left"/>
        <w:rPr/>
      </w:pPr>
      <w:r>
        <w:rPr/>
        <w:t>•</w:t>
      </w:r>
    </w:p>
    <w:p>
      <w:pPr>
        <w:pStyle w:val="TextBody"/>
        <w:spacing w:before="200" w:after="0"/>
        <w:jc w:val="left"/>
        <w:rPr>
          <w:rFonts w:ascii="Times New Roman;serif" w:hAnsi="Times New Roman;serif"/>
          <w:sz w:val="20"/>
        </w:rPr>
      </w:pPr>
      <w:r>
        <w:rPr>
          <w:rFonts w:ascii="Times New Roman;serif" w:hAnsi="Times New Roman;serif"/>
          <w:b w:val="false"/>
          <w:sz w:val="20"/>
        </w:rPr>
        <w:t>An aggregate of 6,800</w:t>
      </w:r>
      <w:r>
        <w:rPr>
          <w:rFonts w:ascii="Times New Roman;serif" w:hAnsi="Times New Roman;serif"/>
          <w:sz w:val="20"/>
        </w:rPr>
        <w:t xml:space="preserve"> </w:t>
      </w:r>
      <w:r>
        <w:rPr>
          <w:rFonts w:ascii="Times New Roman;serif" w:hAnsi="Times New Roman;serif"/>
          <w:b w:val="false"/>
          <w:sz w:val="20"/>
        </w:rPr>
        <w:t>shares of common stock were issued as a result of the vesting of RSUs, of which, 1,561</w:t>
      </w:r>
      <w:r>
        <w:rPr>
          <w:rFonts w:ascii="Times New Roman;serif" w:hAnsi="Times New Roman;serif"/>
          <w:sz w:val="20"/>
        </w:rPr>
        <w:t xml:space="preserve"> </w:t>
      </w:r>
      <w:r>
        <w:rPr>
          <w:rFonts w:ascii="Times New Roman;serif" w:hAnsi="Times New Roman;serif"/>
          <w:b w:val="false"/>
          <w:sz w:val="20"/>
        </w:rPr>
        <w:t>shares of common stock were withheld to pay withholding taxes upon such vesting, which were reflected in treasury stock, with a cost of $31. The treasury stock of 1,561</w:t>
      </w:r>
      <w:r>
        <w:rPr>
          <w:rFonts w:ascii="Times New Roman;serif" w:hAnsi="Times New Roman;serif"/>
          <w:sz w:val="20"/>
        </w:rPr>
        <w:t xml:space="preserve"> </w:t>
      </w:r>
      <w:r>
        <w:rPr>
          <w:rFonts w:ascii="Times New Roman;serif" w:hAnsi="Times New Roman;serif"/>
          <w:b w:val="false"/>
          <w:sz w:val="20"/>
        </w:rPr>
        <w:t>shares was then retired during the three months ended March 31, 2023.</w:t>
      </w:r>
    </w:p>
    <w:p>
      <w:pPr>
        <w:pStyle w:val="TextBody"/>
        <w:spacing w:before="200" w:after="0"/>
        <w:jc w:val="left"/>
        <w:rPr/>
      </w:pPr>
      <w:r>
        <w:rPr/>
        <w:t>•</w:t>
      </w:r>
    </w:p>
    <w:p>
      <w:pPr>
        <w:pStyle w:val="TextBody"/>
        <w:spacing w:before="200" w:after="283"/>
        <w:jc w:val="left"/>
        <w:rPr>
          <w:rFonts w:ascii="Times New Roman;serif" w:hAnsi="Times New Roman;serif"/>
          <w:sz w:val="20"/>
        </w:rPr>
      </w:pPr>
      <w:r>
        <w:rPr>
          <w:rFonts w:ascii="Times New Roman;serif" w:hAnsi="Times New Roman;serif"/>
          <w:b w:val="false"/>
          <w:sz w:val="20"/>
        </w:rPr>
        <w:t>On May 2, 2022, the board of directors of the Company authorized the repurchase of up to $5.0</w:t>
      </w:r>
      <w:r>
        <w:rPr>
          <w:rFonts w:ascii="Times New Roman;serif" w:hAnsi="Times New Roman;serif"/>
          <w:sz w:val="20"/>
        </w:rPr>
        <w:t xml:space="preserve"> </w:t>
      </w:r>
      <w:r>
        <w:rPr>
          <w:rFonts w:ascii="Times New Roman;serif" w:hAnsi="Times New Roman;serif"/>
          <w:b w:val="false"/>
          <w:sz w:val="20"/>
        </w:rPr>
        <w:t>million of the Company's common stock from time to time (the “Stock Repurchase Program”). The Stock Repurchase Program does not obligate the Company to repurchase any shares and may be modified, suspended or terminated at any time and for any reason at the discretion of the board of directors. During the three months ended March 31, 2023, the Company repurchased 10,937</w:t>
      </w:r>
      <w:r>
        <w:rPr>
          <w:rFonts w:ascii="Times New Roman;serif" w:hAnsi="Times New Roman;serif"/>
          <w:sz w:val="20"/>
        </w:rPr>
        <w:t xml:space="preserve"> </w:t>
      </w:r>
      <w:r>
        <w:rPr>
          <w:rFonts w:ascii="Times New Roman;serif" w:hAnsi="Times New Roman;serif"/>
          <w:b w:val="false"/>
          <w:sz w:val="20"/>
        </w:rPr>
        <w:t xml:space="preserve">shares of common stock under the Stock Repurchase Program, which was reflected in treasury stock, with a cost of $201. </w:t>
      </w:r>
    </w:p>
    <w:p>
      <w:pPr>
        <w:pStyle w:val="TextBody"/>
        <w:spacing w:before="200" w:after="0"/>
        <w:jc w:val="left"/>
        <w:rPr>
          <w:rFonts w:ascii="Times New Roman;serif" w:hAnsi="Times New Roman;serif"/>
          <w:b/>
          <w:sz w:val="20"/>
        </w:rPr>
      </w:pPr>
      <w:r>
        <w:rPr>
          <w:rFonts w:ascii="Times New Roman;serif" w:hAnsi="Times New Roman;serif"/>
          <w:b/>
          <w:sz w:val="20"/>
        </w:rPr>
        <w:t>8. Share-based compensation</w:t>
      </w:r>
    </w:p>
    <w:p>
      <w:pPr>
        <w:pStyle w:val="TextBody"/>
        <w:spacing w:before="200" w:after="0"/>
        <w:jc w:val="left"/>
        <w:rPr>
          <w:rFonts w:ascii="Times New Roman" w:hAnsi="Times New Roman"/>
          <w:sz w:val="20"/>
        </w:rPr>
      </w:pPr>
      <w:r>
        <w:rPr>
          <w:rFonts w:ascii="Times New Roman;serif" w:hAnsi="Times New Roman;serif"/>
          <w:b w:val="false"/>
          <w:sz w:val="20"/>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w:t>
      </w:r>
      <w:r>
        <w:rPr>
          <w:rFonts w:ascii="Times New Roman" w:hAnsi="Times New Roman"/>
          <w:sz w:val="20"/>
        </w:rPr>
        <w:t xml:space="preserve"> </w:t>
      </w:r>
      <w:r>
        <w:rPr>
          <w:rFonts w:ascii="Times New Roman;serif" w:hAnsi="Times New Roman;serif"/>
          <w:b w:val="false"/>
          <w:sz w:val="20"/>
        </w:rPr>
        <w:t>shares of common stock were authorized to be issued under the 2018 Plan. On June 3, 2020, the Company’s stockholders approved an amendment to the 2018 Plan to increase the number of shares of common stock authorized for issuance under the 2018 Plan from 3,000,000</w:t>
      </w:r>
      <w:r>
        <w:rPr>
          <w:rFonts w:ascii="Times New Roman" w:hAnsi="Times New Roman"/>
          <w:sz w:val="20"/>
        </w:rPr>
        <w:t xml:space="preserve"> </w:t>
      </w:r>
      <w:r>
        <w:rPr>
          <w:rFonts w:ascii="Times New Roman;serif" w:hAnsi="Times New Roman;serif"/>
          <w:b w:val="false"/>
          <w:sz w:val="20"/>
        </w:rPr>
        <w:t>shares to 4,500,000</w:t>
      </w:r>
      <w:r>
        <w:rPr>
          <w:rFonts w:ascii="Times New Roman" w:hAnsi="Times New Roman"/>
          <w:sz w:val="20"/>
        </w:rPr>
        <w:t xml:space="preserve"> </w:t>
      </w:r>
      <w:r>
        <w:rPr>
          <w:rFonts w:ascii="Times New Roman;serif" w:hAnsi="Times New Roman;serif"/>
          <w:b w:val="false"/>
          <w:sz w:val="20"/>
        </w:rPr>
        <w:t>shares, and on May 25, 2022, the Company's stockholders approved an amendment to the 2018 Plan to increase the number of shares of common stock authorized for issuance under the 2018 Plan from 4,500,000</w:t>
      </w:r>
      <w:r>
        <w:rPr>
          <w:rFonts w:ascii="Times New Roman" w:hAnsi="Times New Roman"/>
          <w:sz w:val="20"/>
        </w:rPr>
        <w:t xml:space="preserve"> </w:t>
      </w:r>
      <w:r>
        <w:rPr>
          <w:rFonts w:ascii="Times New Roman;serif" w:hAnsi="Times New Roman;serif"/>
          <w:b w:val="false"/>
          <w:sz w:val="20"/>
        </w:rPr>
        <w:t>shares to 6,500,000</w:t>
      </w:r>
      <w:r>
        <w:rPr>
          <w:rFonts w:ascii="Times New Roman" w:hAnsi="Times New Roman"/>
          <w:sz w:val="20"/>
        </w:rPr>
        <w:t xml:space="preserve"> </w:t>
      </w:r>
      <w:r>
        <w:rPr>
          <w:rFonts w:ascii="Times New Roman;serif" w:hAnsi="Times New Roman;serif"/>
          <w:b w:val="false"/>
          <w:sz w:val="20"/>
        </w:rPr>
        <w:t>shares.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pStyle w:val="TextBody"/>
        <w:spacing w:before="200" w:after="0"/>
        <w:jc w:val="left"/>
        <w:rPr>
          <w:rFonts w:ascii="Times New Roman" w:hAnsi="Times New Roman"/>
          <w:sz w:val="20"/>
        </w:rPr>
      </w:pPr>
      <w:r>
        <w:rPr>
          <w:rFonts w:ascii="Times New Roman;serif" w:hAnsi="Times New Roman;serif"/>
          <w:b w:val="false"/>
          <w:sz w:val="20"/>
        </w:rPr>
        <w:t>As of March 31, 2023, there were 2,299,607</w:t>
      </w:r>
      <w:r>
        <w:rPr>
          <w:rFonts w:ascii="Times New Roman" w:hAnsi="Times New Roman"/>
          <w:sz w:val="20"/>
        </w:rPr>
        <w:t xml:space="preserve"> </w:t>
      </w:r>
      <w:r>
        <w:rPr>
          <w:rFonts w:ascii="Times New Roman;serif" w:hAnsi="Times New Roman;serif"/>
          <w:b w:val="false"/>
          <w:sz w:val="20"/>
        </w:rPr>
        <w:t>shares of common stock available for future issuance under the 2018 Plan, as amended.</w:t>
      </w:r>
    </w:p>
    <w:p>
      <w:pPr>
        <w:pStyle w:val="TextBody"/>
        <w:spacing w:before="200" w:after="200"/>
        <w:jc w:val="left"/>
        <w:rPr>
          <w:rFonts w:ascii="Times New Roman;serif" w:hAnsi="Times New Roman;serif"/>
          <w:b w:val="false"/>
          <w:sz w:val="20"/>
        </w:rPr>
      </w:pPr>
      <w:r>
        <w:rPr>
          <w:rFonts w:ascii="Times New Roman;serif" w:hAnsi="Times New Roman;serif"/>
          <w:b w:val="false"/>
          <w:sz w:val="20"/>
        </w:rPr>
        <w:t xml:space="preserve">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three months ended March 31, 2023 were as follows: </w:t>
      </w:r>
    </w:p>
    <w:tbl>
      <w:tblPr>
        <w:tblW w:w="6485" w:type="dxa"/>
        <w:jc w:val="left"/>
        <w:tblInd w:w="0" w:type="dxa"/>
        <w:tblCellMar>
          <w:top w:w="28" w:type="dxa"/>
          <w:left w:w="28" w:type="dxa"/>
          <w:bottom w:w="28" w:type="dxa"/>
          <w:right w:w="28" w:type="dxa"/>
        </w:tblCellMar>
      </w:tblPr>
      <w:tblGrid>
        <w:gridCol w:w="2926"/>
        <w:gridCol w:w="146"/>
        <w:gridCol w:w="172"/>
        <w:gridCol w:w="1103"/>
        <w:gridCol w:w="166"/>
        <w:gridCol w:w="146"/>
        <w:gridCol w:w="441"/>
        <w:gridCol w:w="1194"/>
        <w:gridCol w:w="1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w:t>
              <w:br/>
              <w:t>grant-date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as of December 31, 2022</w:t>
            </w:r>
          </w:p>
        </w:tc>
        <w:tc>
          <w:tcPr>
            <w:tcW w:w="146" w:type="dxa"/>
            <w:tcBorders/>
            <w:shd w:fill="auto" w:val="cle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20.64</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Granted</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delivered</w:t>
            </w:r>
          </w:p>
        </w:tc>
        <w:tc>
          <w:tcPr>
            <w:tcW w:w="146" w:type="dxa"/>
            <w:tcBorders/>
            <w:shd w:fill="auto" w:val="cle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26.18</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Withheld as treasury stock</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25.08</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center"/>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as of March 31, 2023</w:t>
            </w:r>
          </w:p>
        </w:tc>
        <w:tc>
          <w:tcPr>
            <w:tcW w:w="146" w:type="dxa"/>
            <w:tcBorders/>
            <w:shd w:fill="auto" w:val="clear"/>
            <w:vAlign w:val="center"/>
          </w:tcPr>
          <w:p>
            <w:pPr>
              <w:pStyle w:val="TableContents"/>
              <w:spacing w:before="0" w:after="0"/>
              <w:ind w:left="0" w:right="0" w:hanging="0"/>
              <w:jc w:val="center"/>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1,027,082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20.59</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pPr>
      <w:r>
        <w:rPr>
          <w:rFonts w:ascii="Times New Roman;serif" w:hAnsi="Times New Roman;serif"/>
          <w:b w:val="false"/>
          <w:sz w:val="20"/>
        </w:rPr>
        <w:t>During the three months ended March 31, 2023, the Company granted an aggregate of 17,500</w:t>
      </w:r>
      <w:r>
        <w:rPr/>
        <w:t xml:space="preserve"> </w:t>
      </w:r>
      <w:r>
        <w:rPr>
          <w:rFonts w:ascii="Times New Roman;serif" w:hAnsi="Times New Roman;serif"/>
          <w:b w:val="false"/>
          <w:sz w:val="20"/>
        </w:rPr>
        <w:t>RSUs</w:t>
      </w:r>
      <w:r>
        <w:rPr/>
        <w:t xml:space="preserve"> </w:t>
      </w:r>
      <w:r>
        <w:rPr>
          <w:rFonts w:ascii="Times New Roman;serif" w:hAnsi="Times New Roman;serif"/>
          <w:b w:val="false"/>
          <w:sz w:val="20"/>
        </w:rPr>
        <w:t>to certain employees at grant date fair values ranging from $18.59</w:t>
      </w:r>
      <w:r>
        <w:rPr/>
        <w:t xml:space="preserve"> </w:t>
      </w:r>
      <w:r>
        <w:rPr>
          <w:rFonts w:ascii="Times New Roman;serif" w:hAnsi="Times New Roman;serif"/>
          <w:b w:val="false"/>
          <w:sz w:val="20"/>
        </w:rPr>
        <w:t>to $19.59</w:t>
      </w:r>
      <w:r>
        <w:rPr/>
        <w:t xml:space="preserve"> </w:t>
      </w:r>
      <w:r>
        <w:rPr>
          <w:rFonts w:ascii="Times New Roman;serif" w:hAnsi="Times New Roman;serif"/>
          <w:b w:val="false"/>
          <w:sz w:val="20"/>
        </w:rPr>
        <w:t>per share, with a vesting period of four years.</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283"/>
        <w:jc w:val="left"/>
        <w:rPr/>
      </w:pPr>
      <w:r>
        <w:rPr>
          <w:rFonts w:ascii="Times New Roman;serif" w:hAnsi="Times New Roman;serif"/>
          <w:b w:val="false"/>
          <w:sz w:val="20"/>
        </w:rPr>
        <w:t>Withheld as treasury stock represents shares withheld to pay statutory taxes upon the vesting of RSUs. Refer to Note 7, "Common stock and treasury stock," for details.</w:t>
      </w:r>
      <w:r>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As of March 31, 2023, unrecognized share-based compensation expense associated with the granted RSUs amounted to $15,809, which is expected to be recognized over a remaining weighted average period of 2.3</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Share-based compensation was allocated to the following accounts in the condensed consolidated financial statements for the three months ended March 31, 2023 and 2022:</w:t>
      </w:r>
    </w:p>
    <w:p>
      <w:pPr>
        <w:pStyle w:val="TextBody"/>
        <w:spacing w:before="0" w:after="0"/>
        <w:jc w:val="left"/>
        <w:rPr/>
      </w:pPr>
      <w:r>
        <w:rPr/>
        <w:t> </w:t>
      </w:r>
    </w:p>
    <w:tbl>
      <w:tblPr>
        <w:tblW w:w="5824" w:type="dxa"/>
        <w:jc w:val="left"/>
        <w:tblInd w:w="0" w:type="dxa"/>
        <w:tblCellMar>
          <w:top w:w="28" w:type="dxa"/>
          <w:left w:w="28" w:type="dxa"/>
          <w:bottom w:w="28" w:type="dxa"/>
          <w:right w:w="28" w:type="dxa"/>
        </w:tblCellMar>
      </w:tblPr>
      <w:tblGrid>
        <w:gridCol w:w="3091"/>
        <w:gridCol w:w="146"/>
        <w:gridCol w:w="272"/>
        <w:gridCol w:w="738"/>
        <w:gridCol w:w="188"/>
        <w:gridCol w:w="188"/>
        <w:gridCol w:w="272"/>
        <w:gridCol w:w="738"/>
        <w:gridCol w:w="1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in intangible assets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9. Leases</w:t>
      </w:r>
    </w:p>
    <w:p>
      <w:pPr>
        <w:pStyle w:val="TextBody"/>
        <w:spacing w:before="200" w:after="0"/>
        <w:jc w:val="left"/>
        <w:rPr>
          <w:rFonts w:ascii="Times New Roman" w:hAnsi="Times New Roman"/>
          <w:sz w:val="20"/>
        </w:rPr>
      </w:pPr>
      <w:r>
        <w:rPr>
          <w:rFonts w:ascii="Times New Roman;serif" w:hAnsi="Times New Roman;serif"/>
          <w:b w:val="false"/>
          <w:sz w:val="20"/>
        </w:rPr>
        <w:t>The Company leases its corporate headquarters of 21,020</w:t>
      </w:r>
      <w:r>
        <w:rPr>
          <w:rFonts w:ascii="Times New Roman" w:hAnsi="Times New Roman"/>
          <w:sz w:val="20"/>
        </w:rPr>
        <w:t xml:space="preserve"> </w:t>
      </w:r>
      <w:r>
        <w:rPr>
          <w:rFonts w:ascii="Times New Roman;serif" w:hAnsi="Times New Roman;serif"/>
          <w:b w:val="false"/>
          <w:sz w:val="20"/>
        </w:rPr>
        <w:t>rentable square feet in accordance with a non-cancelable 89-month operating lease agreement as amended and effective in January 2017, with an option to extend for an additional 60</w:t>
      </w:r>
      <w:r>
        <w:rPr>
          <w:rFonts w:ascii="Times New Roman" w:hAnsi="Times New Roman"/>
          <w:sz w:val="20"/>
        </w:rPr>
        <w:t xml:space="preserve"> </w:t>
      </w:r>
      <w:r>
        <w:rPr>
          <w:rFonts w:ascii="Times New Roman;serif" w:hAnsi="Times New Roman;serif"/>
          <w:b w:val="false"/>
          <w:sz w:val="20"/>
        </w:rPr>
        <w:t>months. The Company also leases an additional office space of 6,003</w:t>
      </w:r>
      <w:r>
        <w:rPr>
          <w:rFonts w:ascii="Times New Roman" w:hAnsi="Times New Roman"/>
          <w:sz w:val="20"/>
        </w:rPr>
        <w:t xml:space="preserve"> </w:t>
      </w:r>
      <w:r>
        <w:rPr>
          <w:rFonts w:ascii="Times New Roman;serif" w:hAnsi="Times New Roman;serif"/>
          <w:b w:val="false"/>
          <w:sz w:val="20"/>
        </w:rPr>
        <w:t>rentable square feet in accordance with a non-cancellable 90-month operating lease agreement entered into in April 2017, with an option to extend for an additional 60</w:t>
      </w:r>
      <w:r>
        <w:rPr>
          <w:rFonts w:ascii="Times New Roman" w:hAnsi="Times New Roman"/>
          <w:sz w:val="20"/>
        </w:rPr>
        <w:t xml:space="preserve"> </w:t>
      </w:r>
      <w:r>
        <w:rPr>
          <w:rFonts w:ascii="Times New Roman;serif" w:hAnsi="Times New Roman;serif"/>
          <w:b w:val="false"/>
          <w:sz w:val="20"/>
        </w:rPr>
        <w:t>months. The extension option is not included in the determination of the lease term as it is not reasonably certain to be exercised.</w:t>
      </w:r>
    </w:p>
    <w:p>
      <w:pPr>
        <w:pStyle w:val="TextBody"/>
        <w:spacing w:before="200" w:after="200"/>
        <w:jc w:val="left"/>
        <w:rPr>
          <w:rFonts w:ascii="Times New Roman;serif" w:hAnsi="Times New Roman;serif"/>
          <w:b w:val="false"/>
          <w:sz w:val="20"/>
        </w:rPr>
      </w:pPr>
      <w:r>
        <w:rPr>
          <w:rFonts w:ascii="Times New Roman;serif" w:hAnsi="Times New Roman;serif"/>
          <w:b w:val="false"/>
          <w:sz w:val="20"/>
        </w:rPr>
        <w:t>For the three months ended March 31, 2023 and 2022, a summary of the Company’s lease information is shown below:</w:t>
      </w:r>
    </w:p>
    <w:tbl>
      <w:tblPr>
        <w:tblW w:w="5286" w:type="dxa"/>
        <w:jc w:val="left"/>
        <w:tblInd w:w="0" w:type="dxa"/>
        <w:tblCellMar>
          <w:top w:w="28" w:type="dxa"/>
          <w:left w:w="28" w:type="dxa"/>
          <w:bottom w:w="28" w:type="dxa"/>
          <w:right w:w="28" w:type="dxa"/>
        </w:tblCellMar>
      </w:tblPr>
      <w:tblGrid>
        <w:gridCol w:w="2551"/>
        <w:gridCol w:w="146"/>
        <w:gridCol w:w="325"/>
        <w:gridCol w:w="649"/>
        <w:gridCol w:w="225"/>
        <w:gridCol w:w="225"/>
        <w:gridCol w:w="325"/>
        <w:gridCol w:w="649"/>
        <w:gridCol w:w="19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center"/>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Lease cost:</w:t>
            </w:r>
          </w:p>
        </w:tc>
        <w:tc>
          <w:tcPr>
            <w:tcW w:w="146" w:type="dxa"/>
            <w:tcBorders/>
            <w:shd w:fill="auto" w:val="clear"/>
            <w:vAlign w:val="center"/>
          </w:tcPr>
          <w:p>
            <w:pPr>
              <w:pStyle w:val="TableContents"/>
              <w:spacing w:before="0" w:after="0"/>
              <w:ind w:left="0" w:right="0" w:hanging="0"/>
              <w:jc w:val="left"/>
              <w:rPr/>
            </w:pPr>
            <w:r>
              <w:rPr/>
              <w:t> </w:t>
            </w:r>
          </w:p>
        </w:tc>
        <w:tc>
          <w:tcPr>
            <w:tcW w:w="974" w:type="dxa"/>
            <w:gridSpan w:val="2"/>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974"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information:</w:t>
            </w:r>
          </w:p>
        </w:tc>
        <w:tc>
          <w:tcPr>
            <w:tcW w:w="146" w:type="dxa"/>
            <w:tcBorders/>
            <w:shd w:fill="auto" w:val="clear"/>
            <w:vAlign w:val="center"/>
          </w:tcPr>
          <w:p>
            <w:pPr>
              <w:pStyle w:val="TableContents"/>
              <w:spacing w:before="0" w:after="0"/>
              <w:ind w:left="0" w:right="0" w:hanging="0"/>
              <w:jc w:val="left"/>
              <w:rPr/>
            </w:pPr>
            <w:r>
              <w:rPr/>
              <w:t> </w:t>
            </w:r>
          </w:p>
        </w:tc>
        <w:tc>
          <w:tcPr>
            <w:tcW w:w="974" w:type="dxa"/>
            <w:gridSpan w:val="2"/>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974"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leases</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the weighted average remaining operating lease term was 1.6</w:t>
      </w:r>
      <w:r>
        <w:rPr>
          <w:rFonts w:ascii="Times New Roman" w:hAnsi="Times New Roman"/>
          <w:sz w:val="20"/>
        </w:rPr>
        <w:t xml:space="preserve"> </w:t>
      </w:r>
      <w:r>
        <w:rPr>
          <w:rFonts w:ascii="Times New Roman;serif" w:hAnsi="Times New Roman;serif"/>
          <w:b w:val="false"/>
          <w:sz w:val="20"/>
        </w:rPr>
        <w:t>years.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of March 31, 2023, scheduled future maturities and present value of the operating lease liabilities are as follows:</w:t>
      </w:r>
    </w:p>
    <w:p>
      <w:pPr>
        <w:pStyle w:val="TextBody"/>
        <w:spacing w:before="0" w:after="0"/>
        <w:jc w:val="left"/>
        <w:rPr/>
      </w:pPr>
      <w:r>
        <w:rPr/>
        <w:t> </w:t>
      </w:r>
    </w:p>
    <w:tbl>
      <w:tblPr>
        <w:tblW w:w="8513" w:type="dxa"/>
        <w:jc w:val="left"/>
        <w:tblInd w:w="0" w:type="dxa"/>
        <w:tblCellMar>
          <w:top w:w="28" w:type="dxa"/>
          <w:left w:w="28" w:type="dxa"/>
          <w:bottom w:w="28" w:type="dxa"/>
          <w:right w:w="28" w:type="dxa"/>
        </w:tblCellMar>
      </w:tblPr>
      <w:tblGrid>
        <w:gridCol w:w="6916"/>
        <w:gridCol w:w="146"/>
        <w:gridCol w:w="340"/>
        <w:gridCol w:w="920"/>
        <w:gridCol w:w="191"/>
      </w:tblGrid>
      <w:tr>
        <w:trPr/>
        <w:tc>
          <w:tcPr>
            <w:tcW w:w="6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Year</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191" w:type="dxa"/>
            <w:tcBorders/>
            <w:shd w:fill="auto" w:val="clear"/>
            <w:vAlign w:val="center"/>
          </w:tcPr>
          <w:p>
            <w:pPr>
              <w:pStyle w:val="TableContents"/>
              <w:spacing w:before="0" w:after="0"/>
              <w:ind w:left="0" w:right="0" w:hanging="0"/>
              <w:jc w:val="left"/>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91" w:type="dxa"/>
            <w:tcBorders/>
            <w:shd w:fill="auto" w:val="clear"/>
            <w:vAlign w:val="center"/>
          </w:tcPr>
          <w:p>
            <w:pPr>
              <w:pStyle w:val="TableContents"/>
              <w:spacing w:before="0" w:after="0"/>
              <w:ind w:left="0" w:right="0" w:hanging="0"/>
              <w:jc w:val="left"/>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maturities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included in condensed consolidated balance sheet:</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w:t>
            </w:r>
          </w:p>
        </w:tc>
        <w:tc>
          <w:tcPr>
            <w:tcW w:w="191" w:type="dxa"/>
            <w:tcBorders/>
            <w:shd w:fill="auto" w:val="clear"/>
            <w:vAlign w:val="center"/>
          </w:tcPr>
          <w:p>
            <w:pPr>
              <w:pStyle w:val="TableContents"/>
              <w:spacing w:before="0" w:after="0"/>
              <w:ind w:left="0" w:right="0" w:hanging="0"/>
              <w:jc w:val="left"/>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Difference between the maturities and the present value of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10. Commitments and contingencies</w:t>
      </w:r>
    </w:p>
    <w:p>
      <w:pPr>
        <w:pStyle w:val="TextBody"/>
        <w:spacing w:before="200" w:after="0"/>
        <w:jc w:val="left"/>
        <w:rPr>
          <w:rFonts w:ascii="Times New Roman;serif" w:hAnsi="Times New Roman;serif"/>
          <w:b/>
          <w:i/>
          <w:sz w:val="20"/>
        </w:rPr>
      </w:pPr>
      <w:r>
        <w:rPr>
          <w:rFonts w:ascii="Times New Roman;serif" w:hAnsi="Times New Roman;serif"/>
          <w:b/>
          <w:i/>
          <w:sz w:val="20"/>
        </w:rPr>
        <w:t>(a) Capital commitment</w:t>
      </w:r>
    </w:p>
    <w:p>
      <w:pPr>
        <w:pStyle w:val="TextBody"/>
        <w:spacing w:before="200" w:after="0"/>
        <w:jc w:val="left"/>
        <w:rPr>
          <w:rFonts w:ascii="Times New Roman" w:hAnsi="Times New Roman"/>
          <w:sz w:val="20"/>
        </w:rPr>
      </w:pPr>
      <w:r>
        <w:rPr>
          <w:rFonts w:ascii="Times New Roman;serif" w:hAnsi="Times New Roman;serif"/>
          <w:b w:val="false"/>
          <w:sz w:val="20"/>
        </w:rPr>
        <w:t>The Company incurred data costs of $2,361</w:t>
      </w:r>
      <w:r>
        <w:rPr>
          <w:rFonts w:ascii="Times New Roman" w:hAnsi="Times New Roman"/>
          <w:sz w:val="20"/>
        </w:rPr>
        <w:t xml:space="preserve"> </w:t>
      </w:r>
      <w:r>
        <w:rPr>
          <w:rFonts w:ascii="Times New Roman;serif" w:hAnsi="Times New Roman;serif"/>
          <w:b w:val="false"/>
          <w:sz w:val="20"/>
        </w:rPr>
        <w:t>and $2,248</w:t>
      </w:r>
      <w:r>
        <w:rPr>
          <w:rFonts w:ascii="Times New Roman" w:hAnsi="Times New Roman"/>
          <w:sz w:val="20"/>
        </w:rPr>
        <w:t xml:space="preserve"> </w:t>
      </w:r>
      <w:r>
        <w:rPr>
          <w:rFonts w:ascii="Times New Roman;serif" w:hAnsi="Times New Roman;serif"/>
          <w:b w:val="false"/>
          <w:sz w:val="20"/>
        </w:rPr>
        <w:t>for the three months ended March 31, 2023 and 2022, respectively, under certain data licensing agreements. As of March 31, 2023, material capital commitments under certain data licensing agreements were $24,983, shown as follows:</w:t>
      </w:r>
    </w:p>
    <w:p>
      <w:pPr>
        <w:pStyle w:val="TextBody"/>
        <w:spacing w:before="0" w:after="0"/>
        <w:jc w:val="left"/>
        <w:rPr/>
      </w:pPr>
      <w:r>
        <w:rPr/>
        <w:t> </w:t>
      </w:r>
    </w:p>
    <w:tbl>
      <w:tblPr>
        <w:tblW w:w="3378" w:type="dxa"/>
        <w:jc w:val="left"/>
        <w:tblInd w:w="0" w:type="dxa"/>
        <w:tblCellMar>
          <w:top w:w="28" w:type="dxa"/>
          <w:left w:w="28" w:type="dxa"/>
          <w:bottom w:w="28" w:type="dxa"/>
          <w:right w:w="28" w:type="dxa"/>
        </w:tblCellMar>
      </w:tblPr>
      <w:tblGrid>
        <w:gridCol w:w="1781"/>
        <w:gridCol w:w="146"/>
        <w:gridCol w:w="299"/>
        <w:gridCol w:w="961"/>
        <w:gridCol w:w="191"/>
      </w:tblGrid>
      <w:tr>
        <w:trPr/>
        <w:tc>
          <w:tcPr>
            <w:tcW w:w="1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7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Year</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10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6,108</w:t>
            </w:r>
          </w:p>
        </w:tc>
        <w:tc>
          <w:tcPr>
            <w:tcW w:w="191" w:type="dxa"/>
            <w:tcBorders/>
            <w:shd w:fill="auto" w:val="clear"/>
            <w:vAlign w:val="center"/>
          </w:tcPr>
          <w:p>
            <w:pPr>
              <w:pStyle w:val="TableContents"/>
              <w:spacing w:before="0" w:after="0"/>
              <w:ind w:left="0" w:right="0" w:hanging="0"/>
              <w:jc w:val="left"/>
              <w:rPr/>
            </w:pPr>
            <w:r>
              <w:rPr/>
              <w:t> </w:t>
            </w:r>
          </w:p>
        </w:tc>
      </w:tr>
      <w:tr>
        <w:trPr/>
        <w:tc>
          <w:tcPr>
            <w:tcW w:w="178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10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7,548</w:t>
            </w:r>
          </w:p>
        </w:tc>
        <w:tc>
          <w:tcPr>
            <w:tcW w:w="191" w:type="dxa"/>
            <w:tcBorders/>
            <w:shd w:fill="auto" w:val="clear"/>
            <w:vAlign w:val="center"/>
          </w:tcPr>
          <w:p>
            <w:pPr>
              <w:pStyle w:val="TableContents"/>
              <w:spacing w:before="0" w:after="0"/>
              <w:ind w:left="0" w:right="0" w:hanging="0"/>
              <w:jc w:val="left"/>
              <w:rPr/>
            </w:pPr>
            <w:r>
              <w:rPr/>
              <w:t> </w:t>
            </w:r>
          </w:p>
        </w:tc>
      </w:tr>
      <w:tr>
        <w:trPr/>
        <w:tc>
          <w:tcPr>
            <w:tcW w:w="178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10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7,507</w:t>
            </w:r>
          </w:p>
        </w:tc>
        <w:tc>
          <w:tcPr>
            <w:tcW w:w="191" w:type="dxa"/>
            <w:tcBorders/>
            <w:shd w:fill="auto" w:val="clear"/>
            <w:vAlign w:val="center"/>
          </w:tcPr>
          <w:p>
            <w:pPr>
              <w:pStyle w:val="TableContents"/>
              <w:spacing w:before="0" w:after="0"/>
              <w:ind w:left="0" w:right="0" w:hanging="0"/>
              <w:jc w:val="left"/>
              <w:rPr/>
            </w:pPr>
            <w:r>
              <w:rPr/>
              <w:t> </w:t>
            </w:r>
          </w:p>
        </w:tc>
      </w:tr>
      <w:tr>
        <w:trPr/>
        <w:tc>
          <w:tcPr>
            <w:tcW w:w="178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10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(b) Contingencies</w:t>
      </w:r>
    </w:p>
    <w:p>
      <w:pPr>
        <w:pStyle w:val="TextBody"/>
        <w:spacing w:before="200" w:after="0"/>
        <w:jc w:val="left"/>
        <w:rPr>
          <w:rFonts w:ascii="Times New Roman" w:hAnsi="Times New Roman"/>
          <w:sz w:val="20"/>
        </w:rPr>
      </w:pPr>
      <w:r>
        <w:rPr>
          <w:rFonts w:ascii="Times New Roman;serif" w:hAnsi="Times New Roman;serif"/>
          <w:b w:val="false"/>
          <w:sz w:val="20"/>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2022 filed on March 8, 2023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References in this discussion and analysis to “we,” “us,” “our,” “red violet,” or the “Company,” refer to Red Violet, Inc. and its consolidated subsidiaries.</w:t>
      </w:r>
    </w:p>
    <w:p>
      <w:pPr>
        <w:pStyle w:val="TextBody"/>
        <w:spacing w:before="200" w:after="0"/>
        <w:jc w:val="left"/>
        <w:rPr>
          <w:rFonts w:ascii="Times New Roman;serif" w:hAnsi="Times New Roman;serif"/>
          <w:b/>
          <w:sz w:val="20"/>
        </w:rPr>
      </w:pPr>
      <w:r>
        <w:rPr>
          <w:rFonts w:ascii="Times New Roman;serif" w:hAnsi="Times New Roman;serif"/>
          <w:b/>
          <w:sz w:val="20"/>
        </w:rPr>
        <w:t>Overview</w:t>
      </w:r>
    </w:p>
    <w:p>
      <w:pPr>
        <w:pStyle w:val="TextBody"/>
        <w:spacing w:before="200" w:after="0"/>
        <w:jc w:val="left"/>
        <w:rPr>
          <w:rFonts w:ascii="Times New Roman" w:hAnsi="Times New Roman"/>
          <w:sz w:val="20"/>
        </w:rPr>
      </w:pPr>
      <w:r>
        <w:rPr>
          <w:rFonts w:ascii="Times New Roman;serif" w:hAnsi="Times New Roman;serif"/>
          <w:b w:val="false"/>
          <w:sz w:val="2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Times New Roman;serif" w:hAnsi="Times New Roman;serif"/>
          <w:b w:val="false"/>
          <w:sz w:val="13"/>
        </w:rPr>
        <w:t>TM</w:t>
      </w:r>
      <w:r>
        <w:rPr>
          <w:rFonts w:ascii="Times New Roman;serif" w:hAnsi="Times New Roman;serif"/>
          <w:b w:val="false"/>
          <w:sz w:val="20"/>
        </w:rPr>
        <w:t>, is purpose-built for the enterprise, yet flexible enough for organizations of all sizes, bringing clarity to massive datasets by transforming data into intelligence. We drive workflow efficiency and enable organizations to make better data-driven decisions.</w:t>
      </w:r>
    </w:p>
    <w:p>
      <w:pPr>
        <w:pStyle w:val="TextBody"/>
        <w:spacing w:before="200" w:after="0"/>
        <w:jc w:val="left"/>
        <w:rPr>
          <w:rFonts w:ascii="Times New Roman" w:hAnsi="Times New Roman"/>
          <w:sz w:val="20"/>
        </w:rPr>
      </w:pPr>
      <w:r>
        <w:rPr>
          <w:rFonts w:ascii="Times New Roman;serif" w:hAnsi="Times New Roman;serif"/>
          <w:b w:val="false"/>
          <w:sz w:val="20"/>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While our platform powers many diverse solutions for our customers, we presently market our solutions primarily through two brands, IDI</w:t>
      </w:r>
      <w:r>
        <w:rPr>
          <w:rFonts w:ascii="Times New Roman;serif" w:hAnsi="Times New Roman;serif"/>
          <w:b w:val="false"/>
          <w:sz w:val="13"/>
        </w:rPr>
        <w:t xml:space="preserve"> </w:t>
      </w:r>
      <w:r>
        <w:rPr>
          <w:rFonts w:ascii="Times New Roman;serif" w:hAnsi="Times New Roman;serif"/>
          <w:b w:val="false"/>
          <w:sz w:val="20"/>
        </w:rPr>
        <w:t>and FOREWARN</w:t>
      </w:r>
      <w:r>
        <w:rPr>
          <w:rFonts w:ascii="Times New Roman;serif" w:hAnsi="Times New Roman;serif"/>
          <w:b w:val="false"/>
          <w:sz w:val="13"/>
        </w:rPr>
        <w:t>®</w:t>
      </w:r>
      <w:r>
        <w:rPr>
          <w:rFonts w:ascii="Times New Roman;serif" w:hAnsi="Times New Roman;serif"/>
          <w:b w:val="false"/>
          <w:sz w:val="20"/>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March 31, 2023 and 2022, IDI had 7,256 and 6,592 billable customers and FOREWARN had 131,348 and 91,490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March 31, 2023 and 2022, 75% and 77% of total revenue was attributable to customers with pricing contracts, respectively, versus 25% and 23% attributable to transactional customers, respectively.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spacing w:before="20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For additional information, please refer to our Form 10-K. There have been no material changes to Critical Accounting Policies and Estimates disclosed in our Form 10-K.</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Recently issued accounting standards</w:t>
      </w:r>
    </w:p>
    <w:p>
      <w:pPr>
        <w:pStyle w:val="TextBody"/>
        <w:spacing w:before="200" w:after="0"/>
        <w:jc w:val="left"/>
        <w:rPr>
          <w:rFonts w:ascii="Times New Roman" w:hAnsi="Times New Roman"/>
          <w:sz w:val="20"/>
        </w:rPr>
      </w:pPr>
      <w:r>
        <w:rPr>
          <w:rFonts w:ascii="Times New Roman;serif" w:hAnsi="Times New Roman;serif"/>
          <w:b w:val="false"/>
          <w:sz w:val="20"/>
        </w:rPr>
        <w:t>See Note 1(b), “</w:t>
      </w:r>
      <w:r>
        <w:rPr>
          <w:rFonts w:ascii="Times New Roman;serif" w:hAnsi="Times New Roman;serif"/>
          <w:b w:val="false"/>
          <w:i/>
          <w:sz w:val="20"/>
        </w:rPr>
        <w:t>Recently issued accounting standards,”</w:t>
      </w:r>
      <w:r>
        <w:rPr>
          <w:rFonts w:ascii="Times New Roman" w:hAnsi="Times New Roman"/>
          <w:sz w:val="20"/>
        </w:rPr>
        <w:t xml:space="preserve"> </w:t>
      </w:r>
      <w:r>
        <w:rPr>
          <w:rFonts w:ascii="Times New Roman;serif" w:hAnsi="Times New Roman;serif"/>
          <w:b w:val="false"/>
          <w:sz w:val="20"/>
        </w:rPr>
        <w:t>in “Notes to Condensed Consolidated Financial Statements.”</w:t>
      </w:r>
    </w:p>
    <w:p>
      <w:pPr>
        <w:pStyle w:val="TextBody"/>
        <w:spacing w:before="200" w:after="0"/>
        <w:jc w:val="left"/>
        <w:rPr>
          <w:rFonts w:ascii="Times New Roman;serif" w:hAnsi="Times New Roman;serif"/>
          <w:b/>
          <w:sz w:val="20"/>
        </w:rPr>
      </w:pPr>
      <w:bookmarkStart w:id="10" w:name="gmnh874a1a8db3fe4af2a262b7d6093c0e4f"/>
      <w:bookmarkEnd w:id="10"/>
      <w:r>
        <w:rPr>
          <w:rFonts w:ascii="Times New Roman;serif" w:hAnsi="Times New Roman;serif"/>
          <w:b/>
          <w:sz w:val="20"/>
        </w:rPr>
        <w:t>First Quarter Financial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For the three months ended March 31, 2023, as compared to the three months ended March 31, 2022: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revenue increased 15% to $14.6 million.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Gross profit increased 19% to $9.6 million. Gross margin increased to 66% from 64%.</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Adjusted gross profit increased 20% to $11.4 million. Adjusted gross margin increased to 78% from 75%.</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income increased 569% to $0.7 million, which resulted in $0.05 per basic and diluted share.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Adjusted EBITDA increased 15% to $3.7 million.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Net cash from operating activities decreased 37% to $1.5 million.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Cash and cash equivalents were $30.8 million as of March 31, 2023.</w:t>
      </w:r>
    </w:p>
    <w:p>
      <w:pPr>
        <w:pStyle w:val="TextBody"/>
        <w:spacing w:before="240" w:after="0"/>
        <w:jc w:val="left"/>
        <w:rPr>
          <w:rFonts w:ascii="Times New Roman;serif" w:hAnsi="Times New Roman;serif"/>
          <w:b/>
          <w:sz w:val="20"/>
        </w:rPr>
      </w:pPr>
      <w:r>
        <w:rPr>
          <w:rFonts w:ascii="Times New Roman;serif" w:hAnsi="Times New Roman;serif"/>
          <w:b/>
          <w:sz w:val="20"/>
        </w:rPr>
        <w:t>First Quarter and Recent Business Highlights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Added 235 customers to IDI during the first quarter, ending the quarter with 7,256 customers.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Added 14,388 users to FOREWARN during the first quarter, ending the quarter with 131,348 users. Over 255 REALTOR</w:t>
      </w:r>
      <w:r>
        <w:rPr>
          <w:rFonts w:ascii="Times New Roman;serif" w:hAnsi="Times New Roman;serif"/>
          <w:b w:val="false"/>
          <w:sz w:val="13"/>
        </w:rPr>
        <w:t>®</w:t>
      </w:r>
      <w:r>
        <w:rPr/>
        <w:t xml:space="preserve"> </w:t>
      </w:r>
      <w:r>
        <w:rPr>
          <w:rFonts w:ascii="Times New Roman;serif" w:hAnsi="Times New Roman;serif"/>
          <w:b w:val="false"/>
          <w:sz w:val="20"/>
        </w:rPr>
        <w:t>Associations throughout the U.S. are now contracted to use FOREWARN.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Launched redesigned corporate websites, www.redviolet.com, www.ididata.com, and www.forewarn.com, providing a more valuable user experience with modern design, improved functionality, easier navigation, and greater detail on the breadth and applicability of our identity solutions.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Purchased 44,766 shares of the Company’s common stock year to date through May 5, 2023, at an average price of $16.88 per share pursuant to the Company’s $5.0 million Stock Repurchase Program that was authorized on May 2, 2022. The Company has $3.4 million remaining under the Stock Repurchase Program.</w:t>
      </w:r>
    </w:p>
    <w:p>
      <w:pPr>
        <w:pStyle w:val="TextBody"/>
        <w:spacing w:before="200" w:after="0"/>
        <w:jc w:val="left"/>
        <w:rPr>
          <w:rFonts w:ascii="Times New Roman;serif" w:hAnsi="Times New Roman;serif"/>
          <w:b/>
          <w:sz w:val="20"/>
        </w:rPr>
      </w:pPr>
      <w:r>
        <w:rPr>
          <w:rFonts w:ascii="Times New Roman;serif" w:hAnsi="Times New Roman;serif"/>
          <w:b/>
          <w:sz w:val="20"/>
        </w:rPr>
        <w:t>Use and Reconciliation of Non-GAAP Financial Measures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Management evaluates the financial performance of our business on a variety of key indicators, including non-GAAP metrics of adjusted EBITDA, adjusted EBITDA margin, adjusted gross profit, adjusted gross margin and free cash flow ("FCF"). Adjusted EBITDA is a financial measure equal to net income, the most directly comparable financial measure based on US GAAP, excluding interest income, net, income tax (benefit) expense, depreciation and amortization, share-based compensation expense,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spacing w:before="0" w:after="0"/>
        <w:jc w:val="left"/>
        <w:rPr/>
      </w:pPr>
      <w:r>
        <w:rPr/>
        <w:t> </w:t>
      </w:r>
    </w:p>
    <w:tbl>
      <w:tblPr>
        <w:tblW w:w="6220" w:type="dxa"/>
        <w:jc w:val="left"/>
        <w:tblInd w:w="0" w:type="dxa"/>
        <w:tblCellMar>
          <w:top w:w="28" w:type="dxa"/>
          <w:left w:w="28" w:type="dxa"/>
          <w:bottom w:w="28" w:type="dxa"/>
          <w:right w:w="28" w:type="dxa"/>
        </w:tblCellMar>
      </w:tblPr>
      <w:tblGrid>
        <w:gridCol w:w="3361"/>
        <w:gridCol w:w="146"/>
        <w:gridCol w:w="231"/>
        <w:gridCol w:w="740"/>
        <w:gridCol w:w="296"/>
        <w:gridCol w:w="159"/>
        <w:gridCol w:w="231"/>
        <w:gridCol w:w="740"/>
        <w:gridCol w:w="316"/>
      </w:tblGrid>
      <w:tr>
        <w:trPr/>
        <w:tc>
          <w:tcPr>
            <w:tcW w:w="3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 w:type="dxa"/>
            <w:tcBorders/>
            <w:shd w:fill="auto" w:val="clear"/>
            <w:vAlign w:val="center"/>
          </w:tcPr>
          <w:p>
            <w:pPr>
              <w:pStyle w:val="TableContents"/>
              <w:spacing w:before="0" w:after="0"/>
              <w:ind w:left="0" w:right="0" w:hanging="0"/>
              <w:jc w:val="center"/>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29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316" w:type="dxa"/>
            <w:tcBorders/>
            <w:shd w:fill="auto" w:val="cle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expense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316" w:type="dxa"/>
            <w:tcBorders/>
            <w:shd w:fill="auto" w:val="cle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29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316" w:type="dxa"/>
            <w:tcBorders/>
            <w:shd w:fill="auto" w:val="cle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29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316" w:type="dxa"/>
            <w:tcBorders/>
            <w:shd w:fill="auto" w:val="cle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costs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9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shd w:fill="auto" w:val="cle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 of long-lived assets and others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3,706</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14,626</w:t>
            </w:r>
          </w:p>
        </w:tc>
        <w:tc>
          <w:tcPr>
            <w:tcW w:w="29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12,729</w:t>
            </w:r>
          </w:p>
        </w:tc>
        <w:tc>
          <w:tcPr>
            <w:tcW w:w="316" w:type="dxa"/>
            <w:tcBorders/>
            <w:shd w:fill="auto" w:val="cle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righ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margin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 margin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200"/>
        <w:jc w:val="left"/>
        <w:rPr>
          <w:rFonts w:ascii="Times New Roman;serif" w:hAnsi="Times New Roman;serif"/>
          <w:b w:val="false"/>
          <w:sz w:val="20"/>
        </w:rPr>
      </w:pPr>
      <w:r>
        <w:rPr>
          <w:rFonts w:ascii="Times New Roman;serif" w:hAnsi="Times New Roman;serif"/>
          <w:b w:val="false"/>
          <w:sz w:val="20"/>
        </w:rPr>
        <w:t>The following is a reconciliation of gross profit, the most directly comparable US GAAP financial measure, to adjusted gross profit:</w:t>
      </w:r>
    </w:p>
    <w:tbl>
      <w:tblPr>
        <w:tblW w:w="7900" w:type="dxa"/>
        <w:jc w:val="left"/>
        <w:tblInd w:w="0" w:type="dxa"/>
        <w:tblCellMar>
          <w:top w:w="28" w:type="dxa"/>
          <w:left w:w="28" w:type="dxa"/>
          <w:bottom w:w="28" w:type="dxa"/>
          <w:right w:w="28" w:type="dxa"/>
        </w:tblCellMar>
      </w:tblPr>
      <w:tblGrid>
        <w:gridCol w:w="5041"/>
        <w:gridCol w:w="146"/>
        <w:gridCol w:w="231"/>
        <w:gridCol w:w="740"/>
        <w:gridCol w:w="296"/>
        <w:gridCol w:w="159"/>
        <w:gridCol w:w="231"/>
        <w:gridCol w:w="740"/>
        <w:gridCol w:w="316"/>
      </w:tblGrid>
      <w:tr>
        <w:trPr/>
        <w:tc>
          <w:tcPr>
            <w:tcW w:w="5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0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 w:type="dxa"/>
            <w:tcBorders/>
            <w:shd w:fill="auto" w:val="clear"/>
            <w:vAlign w:val="center"/>
          </w:tcPr>
          <w:p>
            <w:pPr>
              <w:pStyle w:val="TableContents"/>
              <w:spacing w:before="0" w:after="0"/>
              <w:ind w:left="0" w:right="0" w:hanging="0"/>
              <w:jc w:val="center"/>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14,626</w:t>
            </w:r>
          </w:p>
        </w:tc>
        <w:tc>
          <w:tcPr>
            <w:tcW w:w="29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12,729</w:t>
            </w:r>
          </w:p>
        </w:tc>
        <w:tc>
          <w:tcPr>
            <w:tcW w:w="316"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(exclusive of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(3,179</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(1,858</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9,589</w:t>
            </w:r>
          </w:p>
        </w:tc>
        <w:tc>
          <w:tcPr>
            <w:tcW w:w="29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8,087</w:t>
            </w:r>
          </w:p>
        </w:tc>
        <w:tc>
          <w:tcPr>
            <w:tcW w:w="316"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1,858</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gross profit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11,447</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9,559</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gross margin</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The following is a reconciliation of net cash provided by operating activities, the most directly comparable US GAAP measure, to FCF:</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tbl>
      <w:tblPr>
        <w:tblW w:w="6641" w:type="dxa"/>
        <w:jc w:val="left"/>
        <w:tblInd w:w="0" w:type="dxa"/>
        <w:tblCellMar>
          <w:top w:w="28" w:type="dxa"/>
          <w:left w:w="28" w:type="dxa"/>
          <w:bottom w:w="28" w:type="dxa"/>
          <w:right w:w="28" w:type="dxa"/>
        </w:tblCellMar>
      </w:tblPr>
      <w:tblGrid>
        <w:gridCol w:w="3886"/>
        <w:gridCol w:w="146"/>
        <w:gridCol w:w="253"/>
        <w:gridCol w:w="759"/>
        <w:gridCol w:w="199"/>
        <w:gridCol w:w="175"/>
        <w:gridCol w:w="253"/>
        <w:gridCol w:w="759"/>
        <w:gridCol w:w="211"/>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 w:type="dxa"/>
            <w:tcBorders/>
            <w:shd w:fill="auto" w:val="clear"/>
            <w:vAlign w:val="center"/>
          </w:tcPr>
          <w:p>
            <w:pPr>
              <w:pStyle w:val="TableContents"/>
              <w:spacing w:before="0" w:after="0"/>
              <w:ind w:left="0" w:right="0" w:hanging="0"/>
              <w:jc w:val="center"/>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1,531</w:t>
            </w:r>
          </w:p>
        </w:tc>
        <w:tc>
          <w:tcPr>
            <w:tcW w:w="199"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2,430</w:t>
            </w:r>
          </w:p>
        </w:tc>
        <w:tc>
          <w:tcPr>
            <w:tcW w:w="21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costs included in intangible assets</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(2,273</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Free cash flow</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believe adjusted EBITDA, adjusted EBITDA margin,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spacing w:before="200" w:after="0"/>
        <w:jc w:val="left"/>
        <w:rPr>
          <w:rFonts w:ascii="Times New Roman" w:hAnsi="Times New Roman"/>
          <w:sz w:val="20"/>
        </w:rPr>
      </w:pPr>
      <w:r>
        <w:rPr>
          <w:rFonts w:ascii="Times New Roman;serif" w:hAnsi="Times New Roman;serif"/>
          <w:b w:val="false"/>
          <w:sz w:val="20"/>
        </w:rPr>
        <w:t>Adjusted EBITDA, adjusted EBITDA margin,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gross profit, adjusted gross margin and FCF may not be comparable to similarly titled measures presented by other companies, and may not be identical to corresponding measures used in our various agreements.</w:t>
        <w:br/>
      </w:r>
      <w:r>
        <w:rPr>
          <w:rFonts w:ascii="Times New Roman" w:hAnsi="Times New Roman"/>
          <w:sz w:val="20"/>
        </w:rPr>
        <w:t> </w:t>
      </w:r>
    </w:p>
    <w:p>
      <w:pPr>
        <w:pStyle w:val="TextBody"/>
        <w:spacing w:before="200" w:after="0"/>
        <w:jc w:val="left"/>
        <w:rPr>
          <w:rFonts w:ascii="Times New Roman;serif" w:hAnsi="Times New Roman;serif"/>
          <w:b/>
          <w:sz w:val="20"/>
        </w:rPr>
      </w:pPr>
      <w:r>
        <w:rPr>
          <w:rFonts w:ascii="Times New Roman;serif" w:hAnsi="Times New Roman;serif"/>
          <w:b/>
          <w:sz w:val="20"/>
        </w:rPr>
        <w:t xml:space="preserve">Results of Operations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Three months ended March 31, 2023 compared to three months ended March 31, 2022</w:t>
      </w:r>
    </w:p>
    <w:p>
      <w:pPr>
        <w:pStyle w:val="TextBody"/>
        <w:spacing w:before="200" w:after="0"/>
        <w:jc w:val="left"/>
        <w:rPr>
          <w:rFonts w:ascii="Times New Roman" w:hAnsi="Times New Roman"/>
          <w:sz w:val="20"/>
        </w:rPr>
      </w:pPr>
      <w:r>
        <w:rPr>
          <w:rFonts w:ascii="Times New Roman;serif" w:hAnsi="Times New Roman;serif"/>
          <w:b/>
          <w:i/>
          <w:sz w:val="20"/>
        </w:rPr>
        <w:t>Revenue</w:t>
      </w:r>
      <w:r>
        <w:rPr>
          <w:rFonts w:ascii="Times New Roman;serif" w:hAnsi="Times New Roman;serif"/>
          <w:b w:val="false"/>
          <w:sz w:val="20"/>
        </w:rPr>
        <w:t>. Revenue increased $1.9 million or 15% to $14.6 million for the three months ended March 31, 2023 from $12.7 million for the three months ended March 31, 2022. Revenue from new customers increased $0.9 million or 84%, and base revenue from existing customers increased $1.4 million or 14%, while growth revenue from existing customers decreased $0.4 million or 18%. Our IDI billable customer base grew from 6,592 customers as of March 31, 2022 to 7,256 customers as of March 31, 2023, and our FOREWARN user base grew from 91,490 users to 131,348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i/>
          <w:sz w:val="20"/>
        </w:rPr>
        <w:t>Cost of revenue (exclusive of depreciation and amortization)</w:t>
      </w:r>
      <w:r>
        <w:rPr>
          <w:rFonts w:ascii="Times New Roman;serif" w:hAnsi="Times New Roman;serif"/>
          <w:b w:val="false"/>
          <w:sz w:val="20"/>
        </w:rPr>
        <w:t>. Cost of revenue remained consistent at $3.2 million for the three months ended March 31, 2023 and 2022.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48% and 47% of our total data acquisition costs for the three months ended March 31, 2023 and 2022, respectively. Other cost of revenue items include expenses related to third-party infrastructure fees.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the construct of our data costs is primarily a flat-fee, unlimited usage model, the cost of revenue as a percentage of revenue decreased to 22% for the three months ended March 31, 2023 from 25% for the three months ended March 31, 2022. We expect that cost of revenue as a percentage of revenue will continue to decrease over the coming years as our revenue increases. Historically, at scale, the industry business model’s cost of revenue will trend between 15% and 30% as a percentage of revenue.</w:t>
      </w:r>
    </w:p>
    <w:p>
      <w:pPr>
        <w:pStyle w:val="TextBody"/>
        <w:spacing w:before="200" w:after="0"/>
        <w:jc w:val="left"/>
        <w:rPr>
          <w:rFonts w:ascii="Times New Roman" w:hAnsi="Times New Roman"/>
          <w:sz w:val="20"/>
        </w:rPr>
      </w:pPr>
      <w:r>
        <w:rPr>
          <w:rFonts w:ascii="Times New Roman;serif" w:hAnsi="Times New Roman;serif"/>
          <w:b/>
          <w:i/>
          <w:sz w:val="20"/>
        </w:rPr>
        <w:t>Sales and marketing expenses</w:t>
      </w:r>
      <w:r>
        <w:rPr>
          <w:rFonts w:ascii="Times New Roman;serif" w:hAnsi="Times New Roman;serif"/>
          <w:b w:val="false"/>
          <w:sz w:val="20"/>
        </w:rPr>
        <w:t>. Sales and marketing expenses increased $1.5 million or 63% to $3.9 million for the three months ended March 31, 2023 from $2.4 million for the three months ended March 31, 2022. Sales and marketing expenses consist of salaries and benefits, advertising and marketing, travel expenses, and share-based compensation expense, incurred by our sales team, and provision for bad debts. The increase during the three months ended March 31, 2023 was primarily attributable to the increase of $0.7 million in salaries and benefits, and sales commissions, resulting from increased revenue, and $0.6 million in provision for bad debts.</w:t>
      </w:r>
    </w:p>
    <w:p>
      <w:pPr>
        <w:pStyle w:val="TextBody"/>
        <w:spacing w:before="200" w:after="0"/>
        <w:jc w:val="left"/>
        <w:rPr>
          <w:rFonts w:ascii="Times New Roman" w:hAnsi="Times New Roman"/>
          <w:sz w:val="20"/>
        </w:rPr>
      </w:pPr>
      <w:r>
        <w:rPr>
          <w:rFonts w:ascii="Times New Roman;serif" w:hAnsi="Times New Roman;serif"/>
          <w:b/>
          <w:i/>
          <w:sz w:val="20"/>
        </w:rPr>
        <w:t>General and administrative expenses</w:t>
      </w:r>
      <w:r>
        <w:rPr>
          <w:rFonts w:ascii="Times New Roman;serif" w:hAnsi="Times New Roman;serif"/>
          <w:b w:val="false"/>
          <w:sz w:val="20"/>
        </w:rPr>
        <w:t>. General and administrative expenses decreased $0.2 million or 2% to $5.2 million for the three months ended March 31, 2023 from $5.4 million for the three months ended March 31, 2022. For the three months ended March 31, 2023 and 2022, our general and administrative expenses consisted primarily of employee salaries and benefits of $2.8 million and $2.5 million, share-based compensation expense of $1.3 million and $1.3 million, and professional fees of $0.6 million and $1.0 million, respectively.</w:t>
      </w:r>
    </w:p>
    <w:p>
      <w:pPr>
        <w:pStyle w:val="TextBody"/>
        <w:spacing w:before="200" w:after="0"/>
        <w:jc w:val="left"/>
        <w:rPr>
          <w:rFonts w:ascii="Times New Roman" w:hAnsi="Times New Roman"/>
          <w:sz w:val="20"/>
        </w:rPr>
      </w:pPr>
      <w:r>
        <w:rPr>
          <w:rFonts w:ascii="Times New Roman;serif" w:hAnsi="Times New Roman;serif"/>
          <w:b/>
          <w:i/>
          <w:sz w:val="20"/>
        </w:rPr>
        <w:t>Depreciation and amortization</w:t>
      </w:r>
      <w:r>
        <w:rPr>
          <w:rFonts w:ascii="Times New Roman;serif" w:hAnsi="Times New Roman;serif"/>
          <w:b w:val="false"/>
          <w:sz w:val="20"/>
        </w:rPr>
        <w:t>. Depreciation and amortization expenses increased $0.4 million or 25% to $1.9 million for the three months ended March 31, 2023 from $1.5 million for the three months ended March 31, 2022. The increase in depreciation and amortization for the three months ended March 31, 2023 resulted primarily from the amortization of software developed for internal use that became ready for its intended use after March 31, 2022.</w:t>
      </w:r>
    </w:p>
    <w:p>
      <w:pPr>
        <w:pStyle w:val="TextBody"/>
        <w:spacing w:before="200" w:after="0"/>
        <w:jc w:val="left"/>
        <w:rPr>
          <w:rFonts w:ascii="Times New Roman" w:hAnsi="Times New Roman"/>
          <w:sz w:val="20"/>
        </w:rPr>
      </w:pPr>
      <w:r>
        <w:rPr>
          <w:rFonts w:ascii="Times New Roman;serif" w:hAnsi="Times New Roman;serif"/>
          <w:b/>
          <w:i/>
          <w:sz w:val="20"/>
        </w:rPr>
        <w:t>Interest income, net</w:t>
      </w:r>
      <w:r>
        <w:rPr>
          <w:rFonts w:ascii="Times New Roman;serif" w:hAnsi="Times New Roman;serif"/>
          <w:b w:val="false"/>
          <w:sz w:val="20"/>
        </w:rPr>
        <w:t>. Interest income of $0.3 million for the three months ended March 31, 2023 was primarily due to interest income earned on investments in certain money market funds. There was no significant interest income, net for the three months ended March 31, 2022.</w:t>
      </w:r>
    </w:p>
    <w:p>
      <w:pPr>
        <w:pStyle w:val="TextBody"/>
        <w:spacing w:before="200" w:after="0"/>
        <w:jc w:val="left"/>
        <w:rPr>
          <w:rFonts w:ascii="Times New Roman" w:hAnsi="Times New Roman"/>
          <w:sz w:val="20"/>
        </w:rPr>
      </w:pPr>
      <w:r>
        <w:rPr>
          <w:rFonts w:ascii="Times New Roman;serif" w:hAnsi="Times New Roman;serif"/>
          <w:b/>
          <w:i/>
          <w:sz w:val="20"/>
        </w:rPr>
        <w:t>Income before income taxes</w:t>
      </w:r>
      <w:r>
        <w:rPr>
          <w:rFonts w:ascii="Times New Roman;serif" w:hAnsi="Times New Roman;serif"/>
          <w:b w:val="false"/>
          <w:sz w:val="20"/>
        </w:rPr>
        <w:t>. Income before income taxes was $0.7 million and $0.3 million for the three months ended March 31, 2023 and 2022, respectively. The increase in income before income taxes for the three months ended March 31, 2023 was primarily attributable to the increase in revenue, decrease in our cost of revenue as a percentage of revenue, and increase in interest income, which was partially offset by the increase in employee salaries and benefits and sales commissions of $1.0 million, provision for bad debts of $0.6 million, and depreciation and amortization of $0.4 million.</w:t>
      </w:r>
    </w:p>
    <w:p>
      <w:pPr>
        <w:pStyle w:val="TextBody"/>
        <w:spacing w:before="200" w:after="0"/>
        <w:jc w:val="left"/>
        <w:rPr>
          <w:rFonts w:ascii="Times New Roman" w:hAnsi="Times New Roman"/>
          <w:sz w:val="20"/>
        </w:rPr>
      </w:pPr>
      <w:r>
        <w:rPr>
          <w:rFonts w:ascii="Times New Roman;serif" w:hAnsi="Times New Roman;serif"/>
          <w:b/>
          <w:i/>
          <w:sz w:val="20"/>
        </w:rPr>
        <w:t>Income taxes</w:t>
      </w:r>
      <w:r>
        <w:rPr>
          <w:rFonts w:ascii="Times New Roman;serif" w:hAnsi="Times New Roman;serif"/>
          <w:b w:val="false"/>
          <w:sz w:val="20"/>
        </w:rPr>
        <w:t>. Income tax benefit of $0.03 million and income tax expense of $0.2 million was recognized for the three months ended March 31, 2023 and 2022, respectively. A valuation allowance on the deferred tax assets was recognized as of March 31, 2023 and 2022, to reduce the deferred tax assets to the amount that is more likely than not to be realized. See Note 6, “Income Taxes,” included in “Notes to Condensed Consolidated Financial Statements.”</w:t>
      </w:r>
    </w:p>
    <w:p>
      <w:pPr>
        <w:pStyle w:val="TextBody"/>
        <w:spacing w:before="200" w:after="0"/>
        <w:jc w:val="left"/>
        <w:rPr>
          <w:rFonts w:ascii="Times New Roman" w:hAnsi="Times New Roman"/>
          <w:sz w:val="20"/>
        </w:rPr>
      </w:pPr>
      <w:r>
        <w:rPr>
          <w:rFonts w:ascii="Times New Roman;serif" w:hAnsi="Times New Roman;serif"/>
          <w:b/>
          <w:i/>
          <w:sz w:val="20"/>
        </w:rPr>
        <w:t>Net income</w:t>
      </w:r>
      <w:r>
        <w:rPr>
          <w:rFonts w:ascii="Times New Roman;serif" w:hAnsi="Times New Roman;serif"/>
          <w:b w:val="false"/>
          <w:sz w:val="20"/>
        </w:rPr>
        <w:t>. Net income was $0.7 million for the three months ended March 31, 2023 compared to $0.1 million for the three months ended March 31, 2022, as a result of the foregoing.</w:t>
      </w:r>
    </w:p>
    <w:p>
      <w:pPr>
        <w:pStyle w:val="TextBody"/>
        <w:spacing w:before="200" w:after="0"/>
        <w:jc w:val="left"/>
        <w:rPr>
          <w:rFonts w:ascii="Times New Roman;serif" w:hAnsi="Times New Roman;serif"/>
          <w:b/>
          <w:sz w:val="20"/>
        </w:rPr>
      </w:pPr>
      <w:r>
        <w:rPr>
          <w:rFonts w:ascii="Times New Roman;serif" w:hAnsi="Times New Roman;serif"/>
          <w:b/>
          <w:sz w:val="20"/>
        </w:rPr>
        <w:t>Effect of Inflation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believe that the persistent inflationary pressure throughout 2022 and up to March 31, 2023 has contributed to deteriorating macroeconomic conditions and increased recession fears, causing businesses to slow their spending over the last several months, which have resulted,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200" w:after="0"/>
        <w:jc w:val="left"/>
        <w:rPr>
          <w:rFonts w:ascii="Times New Roman" w:hAnsi="Times New Roman"/>
          <w:sz w:val="20"/>
        </w:rPr>
      </w:pPr>
      <w:r>
        <w:rPr>
          <w:rFonts w:ascii="Times New Roman;serif" w:hAnsi="Times New Roman;serif"/>
          <w:b w:val="false"/>
          <w:i/>
          <w:sz w:val="20"/>
        </w:rPr>
        <w:t>Cash flows provided by operating activities</w:t>
      </w:r>
      <w:r>
        <w:rPr>
          <w:rFonts w:ascii="Times New Roman;serif" w:hAnsi="Times New Roman;serif"/>
          <w:b w:val="false"/>
          <w:sz w:val="20"/>
        </w:rPr>
        <w:t>. For the three months ended March 31, 2022, net cash provided by operating activities was $1.5 million, primarily the result of the net income of $0.7 million, adjusted for certain non-cash items (consisting of share-based compensation expense, depreciation and amortization, write-off of long-lived assets, provision for bad debts, noncash lease expenses, and deferred income tax (benefit) expense) totaling $4.1 million, and the cash used as a result of changes in assets and liabilities of $3.3 million, primarily the result of the increase in accounts receivable, prepaid expenses and other current assets and other noncurrent assets, and the decrease in accrued expenses and other current liabilities, and operating lease liabilities. For the three months ended March 31, 2022, net cash provided by operating activities was $2.4 million, primarily the result of the net income of $0.1 million, adjusted for certain non-cash items, as mentioned above, totaling $3.3 million, and the cash used as a result of changes in assets and liabilities of $0.9 million, primarily the result of the increase in accounts receivable and prepaid expenses and other current assets, and the decrease in deferred revenue and operating lease liabilities, which was offset by the increase in accounts payable.</w:t>
      </w:r>
    </w:p>
    <w:p>
      <w:pPr>
        <w:pStyle w:val="TextBody"/>
        <w:spacing w:before="200" w:after="0"/>
        <w:jc w:val="left"/>
        <w:rPr>
          <w:rFonts w:ascii="Times New Roman" w:hAnsi="Times New Roman"/>
          <w:sz w:val="20"/>
        </w:rPr>
      </w:pPr>
      <w:r>
        <w:rPr>
          <w:rFonts w:ascii="Times New Roman;serif" w:hAnsi="Times New Roman;serif"/>
          <w:b w:val="false"/>
          <w:i/>
          <w:sz w:val="20"/>
        </w:rPr>
        <w:t>Cash flows used in investing activities</w:t>
      </w:r>
      <w:r>
        <w:rPr>
          <w:rFonts w:ascii="Times New Roman;serif" w:hAnsi="Times New Roman;serif"/>
          <w:b w:val="false"/>
          <w:sz w:val="20"/>
        </w:rPr>
        <w:t>. For the three months ended March 31, 2023 and 2022, net cash used in investing activities was $2.3 million and $1.9 million, respectively, primarily as a result of capitalized costs included in intangible assets.</w:t>
      </w:r>
    </w:p>
    <w:p>
      <w:pPr>
        <w:pStyle w:val="TextBody"/>
        <w:spacing w:before="200" w:after="0"/>
        <w:jc w:val="left"/>
        <w:rPr>
          <w:rFonts w:ascii="Times New Roman" w:hAnsi="Times New Roman"/>
          <w:sz w:val="20"/>
        </w:rPr>
      </w:pPr>
      <w:r>
        <w:rPr>
          <w:rFonts w:ascii="Times New Roman;serif" w:hAnsi="Times New Roman;serif"/>
          <w:b w:val="false"/>
          <w:i/>
          <w:sz w:val="20"/>
        </w:rPr>
        <w:t>Cash flows used in financing activities</w:t>
      </w:r>
      <w:r>
        <w:rPr>
          <w:rFonts w:ascii="Times New Roman;serif" w:hAnsi="Times New Roman;serif"/>
          <w:b w:val="false"/>
          <w:sz w:val="20"/>
        </w:rPr>
        <w:t>. For the three months ended March 31, 2023, net cash used in financing activities was $0.2 million, mainly the result of $0.2 million paid in aggregate for the repurchase of common stock pursuant to a stock repurchase program that the board of directors authorized on May 2, 2022 (the "Stock Repurchase Program"), authorizing the repurchase of up to $5.0 million of our common stock. There were no significant financing activities for the three months ended March 31, 2022.</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of March 31, 2023, we had material commitments under certain data licensing agreements of $25.0 million. We anticipate funding our operations using available cash and cash flow generated from operations within the next twelve months.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reported net income of $0.7 million and $0.1 million for the three months ended March 31, 2023 and 2022, respectively. As of March 31, 2023, we had a total shareholders’ equity balance of $73.4 million.</w:t>
      </w:r>
    </w:p>
    <w:p>
      <w:pPr>
        <w:pStyle w:val="TextBody"/>
        <w:spacing w:before="200" w:after="0"/>
        <w:jc w:val="left"/>
        <w:rPr>
          <w:rFonts w:ascii="Times New Roman" w:hAnsi="Times New Roman"/>
          <w:sz w:val="20"/>
        </w:rPr>
      </w:pPr>
      <w:r>
        <w:rPr>
          <w:rFonts w:ascii="Times New Roman;serif" w:hAnsi="Times New Roman;serif"/>
          <w:b w:val="false"/>
          <w:sz w:val="20"/>
        </w:rPr>
        <w:t>As of March 31, 2023, we had cash and cash equivalents of approximately $30.8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Off-Balance Sheet Arrangements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of March 31, 2023, we did not have any off-balance sheet arrangements, as defined in Item 303(a)(4)(ii) of Regulation S-K.</w:t>
      </w:r>
    </w:p>
    <w:p>
      <w:pPr>
        <w:pStyle w:val="TextBody"/>
        <w:spacing w:before="200" w:after="0"/>
        <w:jc w:val="left"/>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a smaller reporting company as defined in Rule 12b-2 of the Exchange Act, we are not required to include information required by this item.</w:t>
      </w:r>
    </w:p>
    <w:p>
      <w:pPr>
        <w:pStyle w:val="TextBody"/>
        <w:spacing w:before="200" w:after="0"/>
        <w:jc w:val="left"/>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20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management, with the participation of the Company’s Chief Executive Officer and Chief Financial Officer, evaluated the effectiveness of the Company’s disclosure controls and procedures (as defined in Rules 13a-15(e) and 15d–15(e) of the Exchange Act) as of March 31, 2023.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Based on the evaluation of disclosure controls and procedures (as defined in Rules 13a-15(e) and 15d-15(e) of the Exchange Act), the Company’s Chief Executive Officer and Chief Financial Officer concluded that the Company’s disclosure controls and procedures were effective as of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There were no changes in the Company’s internal control over financial reporting identified in connection with management's evaluation pursuant to Rules 13a-15(d) or 15d-15(d) of the Exchange Act during the fiscal quarter ended March 31, 2023 that materially affected, or are reasonably likely to materially affect, our internal control over financial reporting.</w:t>
      </w:r>
      <w:r>
        <w:rPr>
          <w:rFonts w:ascii="Times New Roman" w:hAnsi="Times New Roman"/>
          <w:sz w:val="20"/>
        </w:rPr>
        <w:t xml:space="preserve"> </w:t>
      </w:r>
    </w:p>
    <w:p>
      <w:pPr>
        <w:pStyle w:val="TextBody"/>
        <w:spacing w:before="200" w:after="0"/>
        <w:jc w:val="left"/>
        <w:rPr>
          <w:rFonts w:ascii="Times New Roman;serif" w:hAnsi="Times New Roman;serif"/>
          <w:b/>
          <w:sz w:val="20"/>
        </w:rPr>
      </w:pPr>
      <w:r>
        <w:rPr>
          <w:rFonts w:ascii="Times New Roman;serif" w:hAnsi="Times New Roman;serif"/>
          <w:b/>
          <w:sz w:val="20"/>
        </w:rPr>
        <w:t>Limitations on Effectiveness of Controls and Procedures and Internal Control over Financial Reporting</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3" w:name="part_ii_or_information"/>
      <w:bookmarkEnd w:id="13"/>
      <w:r>
        <w:rPr>
          <w:rFonts w:ascii="Times New Roman;serif" w:hAnsi="Times New Roman;serif"/>
          <w:b/>
          <w:sz w:val="20"/>
        </w:rPr>
        <w:t>PART II - OTHER INFORMATION</w:t>
      </w:r>
    </w:p>
    <w:p>
      <w:pPr>
        <w:pStyle w:val="TextBody"/>
        <w:spacing w:before="200" w:after="0"/>
        <w:jc w:val="left"/>
        <w:rPr>
          <w:rFonts w:ascii="Times New Roman" w:hAnsi="Times New Roman"/>
          <w:sz w:val="20"/>
        </w:rPr>
      </w:pPr>
      <w:bookmarkStart w:id="14" w:name="item_1_legal_proceedings"/>
      <w:bookmarkEnd w:id="14"/>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Accounting Standards Codification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pStyle w:val="TextBody"/>
        <w:spacing w:before="20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There have been no material changes to the risk factors previously disclosed in the Company’s Annual Report on Form 10-K for the year ended December 31, 2022 filed with the SEC on March 8, 2023.</w:t>
      </w:r>
    </w:p>
    <w:p>
      <w:pPr>
        <w:pStyle w:val="TextBody"/>
        <w:spacing w:before="200" w:after="0"/>
        <w:jc w:val="left"/>
        <w:rPr>
          <w:rFonts w:ascii="Times New Roman;serif" w:hAnsi="Times New Roman;serif"/>
          <w:b/>
          <w:sz w:val="20"/>
        </w:rPr>
      </w:pPr>
      <w:bookmarkStart w:id="16" w:name="item_2_unregistered_sales_equity_securit"/>
      <w:bookmarkEnd w:id="16"/>
      <w:r>
        <w:rPr>
          <w:rFonts w:ascii="Times New Roman;serif" w:hAnsi="Times New Roman;serif"/>
          <w:b/>
          <w:sz w:val="20"/>
        </w:rPr>
        <w:t>Item 2. Unregistered Sales of Equity Securities and Use of Proceeds.</w:t>
      </w:r>
    </w:p>
    <w:p>
      <w:pPr>
        <w:pStyle w:val="TextBody"/>
        <w:spacing w:before="200" w:after="0"/>
        <w:jc w:val="left"/>
        <w:rPr>
          <w:rFonts w:ascii="Times New Roman;serif" w:hAnsi="Times New Roman;serif"/>
          <w:b/>
          <w:sz w:val="20"/>
        </w:rPr>
      </w:pPr>
      <w:r>
        <w:rPr>
          <w:rFonts w:ascii="Times New Roman;serif" w:hAnsi="Times New Roman;serif"/>
          <w:b/>
          <w:sz w:val="20"/>
        </w:rPr>
        <w:t>Issuer Purchases of Equity Securities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following table provides information relating to the Company's repurchase of common stock during the three months ended March 31, 2023 pursuant to the Stock Repurchase Program:</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35"/>
        <w:gridCol w:w="146"/>
        <w:gridCol w:w="231"/>
        <w:gridCol w:w="1074"/>
        <w:gridCol w:w="146"/>
        <w:gridCol w:w="146"/>
        <w:gridCol w:w="323"/>
        <w:gridCol w:w="874"/>
        <w:gridCol w:w="146"/>
        <w:gridCol w:w="146"/>
        <w:gridCol w:w="407"/>
        <w:gridCol w:w="1892"/>
        <w:gridCol w:w="146"/>
        <w:gridCol w:w="146"/>
        <w:gridCol w:w="490"/>
        <w:gridCol w:w="2162"/>
        <w:gridCol w:w="195"/>
      </w:tblGrid>
      <w:tr>
        <w:trPr/>
        <w:tc>
          <w:tcPr>
            <w:tcW w:w="15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5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sz w:val="16"/>
              </w:rPr>
              <w:t>Period</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Average price paid per share</w:t>
            </w:r>
            <w:r>
              <w:rPr>
                <w:rFonts w:ascii="Times New Roman;serif" w:hAnsi="Times New Roman;serif"/>
                <w:b/>
                <w:sz w:val="11"/>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 as part of publicly announced plans 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Approximate dollar value of shares that may yet be purchased under the plans or programs</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2023 - January 31, 2023</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pPr>
            <w:r>
              <w:rPr/>
              <w:t> </w:t>
            </w:r>
          </w:p>
        </w:tc>
        <w:tc>
          <w:tcPr>
            <w:tcW w:w="1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4,123,914</w:t>
            </w:r>
          </w:p>
        </w:tc>
        <w:tc>
          <w:tcPr>
            <w:tcW w:w="195"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2023 - February 28, 2023</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pPr>
            <w:r>
              <w:rPr/>
              <w:t> </w:t>
            </w:r>
          </w:p>
        </w:tc>
        <w:tc>
          <w:tcPr>
            <w:tcW w:w="1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4,123,914</w:t>
            </w:r>
          </w:p>
        </w:tc>
        <w:tc>
          <w:tcPr>
            <w:tcW w:w="195"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1, 2023 - March 31, 2023</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3,923,311</w:t>
            </w:r>
          </w:p>
        </w:tc>
        <w:tc>
          <w:tcPr>
            <w:tcW w:w="195"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2"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r>
    </w:tbl>
    <w:p>
      <w:pPr>
        <w:pStyle w:val="TextBody"/>
        <w:spacing w:before="8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From April 1, 2023 to April 30, 2023, the Company purchased an additional 21,430 shares at an average price of $16.20 per share pursuant to the Stock Repurchase Program.</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Exclusive of commission fees incurred in relation to the repurchase of common stock.</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On May 2, 2022, the Company's board of directors authorized the repurchase of up to $5.0 million of the Company's common stock pursuant to the Stock Repurchase Program. The Stock Repurchase Program does not obligate the Company to repurchase any shares and it may be modified, suspended or terminated at any time and for any reason at the discretion of the board of directors.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pStyle w:val="TextBody"/>
        <w:spacing w:before="20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left"/>
        <w:rPr>
          <w:rFonts w:ascii="Times New Roman;serif" w:hAnsi="Times New Roman;serif"/>
          <w:b/>
          <w:sz w:val="20"/>
        </w:rPr>
      </w:pPr>
      <w:bookmarkStart w:id="18" w:name="item_4_mine_safety_disclosures"/>
      <w:bookmarkEnd w:id="18"/>
      <w:r>
        <w:rPr>
          <w:rFonts w:ascii="Times New Roman;serif" w:hAnsi="Times New Roman;serif"/>
          <w:b/>
          <w:sz w:val="20"/>
        </w:rPr>
        <w:t>Item 4. Mine Safety Disclosures.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bookmarkStart w:id="19" w:name="item_5_or_information"/>
      <w:bookmarkEnd w:id="19"/>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On May 8, 2023, the Company and each of Derek Dubner, Chief Executive Officer, James Reilly, President, Daniel MacLachlan, Chief Financial Officer, and Jeffrey Dell, Chief Information Officer, entered into an amendment to their respective employment agreements which extended the term expiration date by three years, from March 26, 2024, to March 26, 2027.</w:t>
      </w:r>
    </w:p>
    <w:p>
      <w:pPr>
        <w:pStyle w:val="TextBody"/>
        <w:spacing w:before="200" w:after="0"/>
        <w:jc w:val="left"/>
        <w:rPr>
          <w:rFonts w:ascii="Times New Roman;serif" w:hAnsi="Times New Roman;serif"/>
          <w:b/>
          <w:sz w:val="20"/>
        </w:rPr>
      </w:pPr>
      <w:bookmarkStart w:id="20" w:name="item_6_exhibits"/>
      <w:bookmarkEnd w:id="20"/>
      <w:r>
        <w:rPr>
          <w:rFonts w:ascii="Times New Roman;serif" w:hAnsi="Times New Roman;serif"/>
          <w:b/>
          <w:sz w:val="20"/>
        </w:rPr>
        <w:t>Item 6. Exhibits.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following exhibits are filed as part of, or incorporated by reference into, this Quarterly Report on Form 10-Q.</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9"/>
        <w:gridCol w:w="151"/>
        <w:gridCol w:w="6002"/>
        <w:gridCol w:w="151"/>
        <w:gridCol w:w="421"/>
        <w:gridCol w:w="151"/>
        <w:gridCol w:w="409"/>
        <w:gridCol w:w="151"/>
        <w:gridCol w:w="556"/>
        <w:gridCol w:w="151"/>
        <w:gridCol w:w="570"/>
        <w:gridCol w:w="151"/>
        <w:gridCol w:w="692"/>
      </w:tblGrid>
      <w:tr>
        <w:trPr/>
        <w:tc>
          <w:tcPr>
            <w:tcW w:w="6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00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r>
      <w:tr>
        <w:trPr/>
        <w:tc>
          <w:tcPr>
            <w:tcW w:w="649"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6002"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2409"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Incorporated by Reference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Filed</w:t>
            </w:r>
          </w:p>
        </w:tc>
      </w:tr>
      <w:tr>
        <w:trPr/>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Exhibit No.</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Exhibit Description</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Form</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File No.</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Exhibit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Filing Date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Herewith</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31.1</w:t>
            </w:r>
          </w:p>
        </w:tc>
        <w:tc>
          <w:tcPr>
            <w:tcW w:w="151" w:type="dxa"/>
            <w:tcBorders/>
            <w:shd w:fill="auto" w:val="clear"/>
            <w:vAlign w:val="center"/>
          </w:tcPr>
          <w:p>
            <w:pPr>
              <w:pStyle w:val="TableContents"/>
              <w:spacing w:before="0" w:after="0"/>
              <w:ind w:left="0" w:right="0" w:hanging="0"/>
              <w:jc w:val="left"/>
              <w:rPr>
                <w:rFonts w:cs="Tahoma;sans-serif"/>
                <w:bCs w:val="false"/>
                <w:szCs w:val="16"/>
              </w:rPr>
            </w:pPr>
            <w:r>
              <w:rPr>
                <w:rFonts w:cs="Tahoma;sans-serif"/>
                <w:bCs w:val="false"/>
                <w:szCs w:val="16"/>
              </w:rPr>
              <w:t>﻿</w:t>
            </w:r>
          </w:p>
        </w:tc>
        <w:tc>
          <w:tcPr>
            <w:tcW w:w="6002" w:type="dxa"/>
            <w:tcBorders/>
            <w:shd w:fill="auto" w:val="clear"/>
            <w:vAlign w:val="center"/>
          </w:tcPr>
          <w:p>
            <w:pPr>
              <w:pStyle w:val="TableContents"/>
              <w:spacing w:before="0" w:after="0"/>
              <w:ind w:left="0" w:right="0" w:hanging="0"/>
              <w:jc w:val="left"/>
              <w:rPr/>
            </w:pPr>
            <w:hyperlink w:anchor="rdvt-ex31_1.htm">
              <w:r>
                <w:rPr>
                  <w:rStyle w:val="InternetLink"/>
                  <w:rFonts w:ascii="Times New Roman;serif" w:hAnsi="Times New Roman;serif"/>
                  <w:b w:val="false"/>
                  <w:sz w:val="16"/>
                  <w:u w:val="single"/>
                </w:rPr>
                <w:t>Certification of Chief Executive Officer filed pursuant to Exchange Act Rules 13a-14(a) and 15d-14(a) of the Securities Exchange Act of 1934 as adopted pursuant to Section 302 of the Sarbanes-Oxley Act of 2002.</w:t>
              </w:r>
            </w:hyperlink>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2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09"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56"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70"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31.2</w:t>
            </w:r>
          </w:p>
        </w:tc>
        <w:tc>
          <w:tcPr>
            <w:tcW w:w="151"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br/>
              <w:br/>
            </w:r>
            <w:r>
              <w:rPr>
                <w:rFonts w:ascii="Times New Roman" w:hAnsi="Times New Roman"/>
                <w:sz w:val="16"/>
              </w:rPr>
              <w:t> </w:t>
            </w:r>
          </w:p>
        </w:tc>
        <w:tc>
          <w:tcPr>
            <w:tcW w:w="6002" w:type="dxa"/>
            <w:tcBorders/>
            <w:shd w:fill="auto" w:val="clear"/>
            <w:vAlign w:val="center"/>
          </w:tcPr>
          <w:p>
            <w:pPr>
              <w:pStyle w:val="TableContents"/>
              <w:spacing w:before="0" w:after="0"/>
              <w:ind w:left="0" w:right="0" w:hanging="0"/>
              <w:jc w:val="left"/>
              <w:rPr/>
            </w:pPr>
            <w:hyperlink w:anchor="rdvt-ex31_2.htm">
              <w:r>
                <w:rPr>
                  <w:rStyle w:val="InternetLink"/>
                  <w:rFonts w:ascii="Times New Roman;serif" w:hAnsi="Times New Roman;serif"/>
                  <w:b w:val="false"/>
                  <w:sz w:val="16"/>
                  <w:u w:val="single"/>
                </w:rPr>
                <w:t>Certification of Chief Financial Officer filed pursuant to Exchange Act Rules 13a-14(a) and 15d-14(a) of the Securities Exchange Act of 1934 as adopted pursuant to Section 302 of the Sarbanes-Oxley Act of 2002.</w:t>
              </w:r>
            </w:hyperlink>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2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09"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56"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70"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32.1*</w:t>
            </w:r>
          </w:p>
        </w:tc>
        <w:tc>
          <w:tcPr>
            <w:tcW w:w="151"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6002" w:type="dxa"/>
            <w:tcBorders/>
            <w:shd w:fill="auto" w:val="clear"/>
            <w:vAlign w:val="center"/>
          </w:tcPr>
          <w:p>
            <w:pPr>
              <w:pStyle w:val="TableContents"/>
              <w:spacing w:before="0" w:after="0"/>
              <w:ind w:left="0" w:right="0" w:hanging="0"/>
              <w:jc w:val="left"/>
              <w:rPr/>
            </w:pPr>
            <w:hyperlink w:anchor="rdvt-ex32_1.htm">
              <w:r>
                <w:rPr>
                  <w:rStyle w:val="InternetLink"/>
                  <w:rFonts w:ascii="Times New Roman;serif" w:hAnsi="Times New Roman;serif"/>
                  <w:b w:val="false"/>
                  <w:sz w:val="16"/>
                  <w:u w:val="single"/>
                </w:rPr>
                <w:t>Certification by Chief Executive Officer pursuant to 18 U.S.C. Section 1350, as adopted pursuant to Section 906 of the Sarbanes-Oxley Act of 2002.</w:t>
              </w:r>
            </w:hyperlink>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2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09"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56"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70"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32.2*</w:t>
            </w:r>
          </w:p>
        </w:tc>
        <w:tc>
          <w:tcPr>
            <w:tcW w:w="151"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6002" w:type="dxa"/>
            <w:tcBorders/>
            <w:shd w:fill="auto" w:val="clear"/>
            <w:vAlign w:val="center"/>
          </w:tcPr>
          <w:p>
            <w:pPr>
              <w:pStyle w:val="TableContents"/>
              <w:spacing w:before="0" w:after="0"/>
              <w:ind w:left="0" w:right="0" w:hanging="0"/>
              <w:jc w:val="left"/>
              <w:rPr/>
            </w:pPr>
            <w:hyperlink w:anchor="rdvt-ex32_2.htm">
              <w:r>
                <w:rPr>
                  <w:rStyle w:val="InternetLink"/>
                  <w:rFonts w:ascii="Times New Roman;serif" w:hAnsi="Times New Roman;serif"/>
                  <w:b w:val="false"/>
                  <w:sz w:val="16"/>
                  <w:u w:val="single"/>
                </w:rPr>
                <w:t>Certification by Chief Financial Officer pursuant to 18 U.S.C. Section 1350, as adopted pursuant to Section 906 of the Sarbanes-Oxley Act of 2002.</w:t>
              </w:r>
            </w:hyperlink>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2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09"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56"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70"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101.INS</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600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Instance Document – the instance document does not appear in the Interactive Data File because its XBRL tags are embedded within the Inline XBRL document.</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2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409"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56"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570" w:type="dxa"/>
            <w:tcBorders/>
            <w:shd w:fill="auto" w:val="clear"/>
            <w:vAlign w:val="center"/>
          </w:tcPr>
          <w:p>
            <w:pPr>
              <w:pStyle w:val="TableContents"/>
              <w:spacing w:before="0" w:after="0"/>
              <w:ind w:left="0" w:right="0" w:hanging="0"/>
              <w:jc w:val="lef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151" w:type="dxa"/>
            <w:tcBorders/>
            <w:shd w:fill="auto" w:val="clear"/>
            <w:vAlign w:val="center"/>
          </w:tcPr>
          <w:p>
            <w:pPr>
              <w:pStyle w:val="TableContents"/>
              <w:spacing w:before="0" w:after="0"/>
              <w:ind w:left="0" w:right="0" w:hanging="0"/>
              <w:jc w:val="right"/>
              <w:rPr/>
            </w:pPr>
            <w:r>
              <w:rPr>
                <w:rFonts w:cs="Tahoma;sans-serif"/>
                <w:bCs w:val="false"/>
                <w:szCs w:val="16"/>
              </w:rPr>
              <w:t>﻿</w:t>
            </w:r>
            <w:r>
              <w:rPr>
                <w:rFonts w:ascii="Times New Roman;serif" w:hAnsi="Times New Roman;serif"/>
                <w:b w:val="false"/>
                <w:sz w:val="16"/>
              </w:rPr>
              <w:br/>
              <w:br/>
            </w:r>
            <w:r>
              <w:rPr>
                <w:rFonts w:ascii="Times New Roman" w:hAnsi="Times New Roman"/>
                <w:sz w:val="16"/>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101.SCH</w:t>
            </w:r>
          </w:p>
        </w:tc>
        <w:tc>
          <w:tcPr>
            <w:tcW w:w="151" w:type="dxa"/>
            <w:tcBorders/>
            <w:shd w:fill="auto" w:val="clear"/>
            <w:vAlign w:val="center"/>
          </w:tcPr>
          <w:p>
            <w:pPr>
              <w:pStyle w:val="TableContents"/>
              <w:spacing w:before="0" w:after="0"/>
              <w:ind w:left="0" w:right="0" w:hanging="0"/>
              <w:jc w:val="right"/>
              <w:rPr/>
            </w:pPr>
            <w:r>
              <w:rPr/>
              <w:t> </w:t>
            </w:r>
          </w:p>
        </w:tc>
        <w:tc>
          <w:tcPr>
            <w:tcW w:w="600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Schema Document.</w:t>
            </w:r>
          </w:p>
        </w:tc>
        <w:tc>
          <w:tcPr>
            <w:tcW w:w="151" w:type="dxa"/>
            <w:tcBorders/>
            <w:shd w:fill="auto" w:val="clear"/>
            <w:vAlign w:val="center"/>
          </w:tcPr>
          <w:p>
            <w:pPr>
              <w:pStyle w:val="TableContents"/>
              <w:spacing w:before="0" w:after="0"/>
              <w:ind w:left="0" w:right="0" w:hanging="0"/>
              <w:jc w:val="right"/>
              <w:rPr/>
            </w:pPr>
            <w:r>
              <w:rPr/>
              <w:t> </w:t>
            </w:r>
          </w:p>
        </w:tc>
        <w:tc>
          <w:tcPr>
            <w:tcW w:w="42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101.CAL</w:t>
            </w:r>
          </w:p>
        </w:tc>
        <w:tc>
          <w:tcPr>
            <w:tcW w:w="151" w:type="dxa"/>
            <w:tcBorders/>
            <w:shd w:fill="auto" w:val="clear"/>
            <w:vAlign w:val="center"/>
          </w:tcPr>
          <w:p>
            <w:pPr>
              <w:pStyle w:val="TableContents"/>
              <w:spacing w:before="0" w:after="0"/>
              <w:ind w:left="0" w:right="0" w:hanging="0"/>
              <w:jc w:val="right"/>
              <w:rPr/>
            </w:pPr>
            <w:r>
              <w:rPr/>
              <w:t> </w:t>
            </w:r>
          </w:p>
        </w:tc>
        <w:tc>
          <w:tcPr>
            <w:tcW w:w="600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Calculation Linkbase Document.</w:t>
            </w:r>
          </w:p>
        </w:tc>
        <w:tc>
          <w:tcPr>
            <w:tcW w:w="151" w:type="dxa"/>
            <w:tcBorders/>
            <w:shd w:fill="auto" w:val="clear"/>
            <w:vAlign w:val="center"/>
          </w:tcPr>
          <w:p>
            <w:pPr>
              <w:pStyle w:val="TableContents"/>
              <w:spacing w:before="0" w:after="0"/>
              <w:ind w:left="0" w:right="0" w:hanging="0"/>
              <w:jc w:val="right"/>
              <w:rPr/>
            </w:pPr>
            <w:r>
              <w:rPr/>
              <w:t> </w:t>
            </w:r>
          </w:p>
        </w:tc>
        <w:tc>
          <w:tcPr>
            <w:tcW w:w="42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101.DEF</w:t>
            </w:r>
          </w:p>
        </w:tc>
        <w:tc>
          <w:tcPr>
            <w:tcW w:w="151" w:type="dxa"/>
            <w:tcBorders/>
            <w:shd w:fill="auto" w:val="clear"/>
            <w:vAlign w:val="center"/>
          </w:tcPr>
          <w:p>
            <w:pPr>
              <w:pStyle w:val="TableContents"/>
              <w:spacing w:before="0" w:after="0"/>
              <w:ind w:left="0" w:right="0" w:hanging="0"/>
              <w:jc w:val="right"/>
              <w:rPr/>
            </w:pPr>
            <w:r>
              <w:rPr/>
              <w:t> </w:t>
            </w:r>
          </w:p>
        </w:tc>
        <w:tc>
          <w:tcPr>
            <w:tcW w:w="600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Definition Linkbase Document.</w:t>
            </w:r>
          </w:p>
        </w:tc>
        <w:tc>
          <w:tcPr>
            <w:tcW w:w="151" w:type="dxa"/>
            <w:tcBorders/>
            <w:shd w:fill="auto" w:val="clear"/>
            <w:vAlign w:val="center"/>
          </w:tcPr>
          <w:p>
            <w:pPr>
              <w:pStyle w:val="TableContents"/>
              <w:spacing w:before="0" w:after="0"/>
              <w:ind w:left="0" w:right="0" w:hanging="0"/>
              <w:jc w:val="right"/>
              <w:rPr/>
            </w:pPr>
            <w:r>
              <w:rPr/>
              <w:t> </w:t>
            </w:r>
          </w:p>
        </w:tc>
        <w:tc>
          <w:tcPr>
            <w:tcW w:w="42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101.LAB</w:t>
            </w:r>
          </w:p>
        </w:tc>
        <w:tc>
          <w:tcPr>
            <w:tcW w:w="151" w:type="dxa"/>
            <w:tcBorders/>
            <w:shd w:fill="auto" w:val="clear"/>
            <w:vAlign w:val="center"/>
          </w:tcPr>
          <w:p>
            <w:pPr>
              <w:pStyle w:val="TableContents"/>
              <w:spacing w:before="0" w:after="0"/>
              <w:ind w:left="0" w:right="0" w:hanging="0"/>
              <w:jc w:val="right"/>
              <w:rPr/>
            </w:pPr>
            <w:r>
              <w:rPr/>
              <w:t> </w:t>
            </w:r>
          </w:p>
        </w:tc>
        <w:tc>
          <w:tcPr>
            <w:tcW w:w="600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Label Linkbase Document.</w:t>
            </w:r>
          </w:p>
        </w:tc>
        <w:tc>
          <w:tcPr>
            <w:tcW w:w="151" w:type="dxa"/>
            <w:tcBorders/>
            <w:shd w:fill="auto" w:val="clear"/>
            <w:vAlign w:val="center"/>
          </w:tcPr>
          <w:p>
            <w:pPr>
              <w:pStyle w:val="TableContents"/>
              <w:spacing w:before="0" w:after="0"/>
              <w:ind w:left="0" w:right="0" w:hanging="0"/>
              <w:jc w:val="right"/>
              <w:rPr/>
            </w:pPr>
            <w:r>
              <w:rPr/>
              <w:t> </w:t>
            </w:r>
          </w:p>
        </w:tc>
        <w:tc>
          <w:tcPr>
            <w:tcW w:w="42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101.PRE</w:t>
            </w:r>
          </w:p>
        </w:tc>
        <w:tc>
          <w:tcPr>
            <w:tcW w:w="151" w:type="dxa"/>
            <w:tcBorders/>
            <w:shd w:fill="auto" w:val="clear"/>
            <w:vAlign w:val="center"/>
          </w:tcPr>
          <w:p>
            <w:pPr>
              <w:pStyle w:val="TableContents"/>
              <w:spacing w:before="0" w:after="0"/>
              <w:ind w:left="0" w:right="0" w:hanging="0"/>
              <w:jc w:val="right"/>
              <w:rPr/>
            </w:pPr>
            <w:r>
              <w:rPr/>
              <w:t> </w:t>
            </w:r>
          </w:p>
        </w:tc>
        <w:tc>
          <w:tcPr>
            <w:tcW w:w="600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Presentation Linkbase Document.</w:t>
            </w:r>
          </w:p>
        </w:tc>
        <w:tc>
          <w:tcPr>
            <w:tcW w:w="151" w:type="dxa"/>
            <w:tcBorders/>
            <w:shd w:fill="auto" w:val="clear"/>
            <w:vAlign w:val="center"/>
          </w:tcPr>
          <w:p>
            <w:pPr>
              <w:pStyle w:val="TableContents"/>
              <w:spacing w:before="0" w:after="0"/>
              <w:ind w:left="0" w:right="0" w:hanging="0"/>
              <w:jc w:val="right"/>
              <w:rPr/>
            </w:pPr>
            <w:r>
              <w:rPr/>
              <w:t> </w:t>
            </w:r>
          </w:p>
        </w:tc>
        <w:tc>
          <w:tcPr>
            <w:tcW w:w="42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r>
        <w:trPr/>
        <w:tc>
          <w:tcPr>
            <w:tcW w:w="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104</w:t>
            </w:r>
          </w:p>
        </w:tc>
        <w:tc>
          <w:tcPr>
            <w:tcW w:w="151" w:type="dxa"/>
            <w:tcBorders/>
            <w:shd w:fill="auto" w:val="clear"/>
            <w:vAlign w:val="center"/>
          </w:tcPr>
          <w:p>
            <w:pPr>
              <w:pStyle w:val="TableContents"/>
              <w:spacing w:before="0" w:after="0"/>
              <w:ind w:left="0" w:right="0" w:hanging="0"/>
              <w:jc w:val="right"/>
              <w:rPr/>
            </w:pPr>
            <w:r>
              <w:rPr/>
              <w:t> </w:t>
            </w:r>
          </w:p>
        </w:tc>
        <w:tc>
          <w:tcPr>
            <w:tcW w:w="600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Cover Page Interactive Data File (embedded within the Inline XBRL document).</w:t>
            </w:r>
          </w:p>
        </w:tc>
        <w:tc>
          <w:tcPr>
            <w:tcW w:w="151" w:type="dxa"/>
            <w:tcBorders/>
            <w:shd w:fill="auto" w:val="clear"/>
            <w:vAlign w:val="center"/>
          </w:tcPr>
          <w:p>
            <w:pPr>
              <w:pStyle w:val="TableContents"/>
              <w:spacing w:before="0" w:after="0"/>
              <w:ind w:left="0" w:right="0" w:hanging="0"/>
              <w:jc w:val="right"/>
              <w:rPr/>
            </w:pPr>
            <w:r>
              <w:rPr/>
              <w:t> </w:t>
            </w:r>
          </w:p>
        </w:tc>
        <w:tc>
          <w:tcPr>
            <w:tcW w:w="42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5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X</w:t>
            </w:r>
          </w:p>
        </w:tc>
      </w:tr>
    </w:tbl>
    <w:p>
      <w:pPr>
        <w:pStyle w:val="TextBody"/>
        <w:spacing w:before="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val="false"/>
          <w:sz w:val="16"/>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1" w:name="signatures"/>
      <w:bookmarkEnd w:id="21"/>
      <w:r>
        <w:rPr>
          <w:rFonts w:ascii="Times New Roman;serif" w:hAnsi="Times New Roman;serif"/>
          <w:b/>
          <w:sz w:val="20"/>
        </w:rPr>
        <w:t>SIGNATURES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5620" w:type="dxa"/>
        <w:jc w:val="left"/>
        <w:tblInd w:w="0" w:type="dxa"/>
        <w:tblCellMar>
          <w:top w:w="28" w:type="dxa"/>
          <w:left w:w="28" w:type="dxa"/>
          <w:bottom w:w="28" w:type="dxa"/>
          <w:right w:w="28" w:type="dxa"/>
        </w:tblCellMar>
      </w:tblPr>
      <w:tblGrid>
        <w:gridCol w:w="1156"/>
        <w:gridCol w:w="146"/>
        <w:gridCol w:w="406"/>
        <w:gridCol w:w="146"/>
        <w:gridCol w:w="3766"/>
      </w:tblGrid>
      <w:tr>
        <w:trPr/>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vAlign w:val="center"/>
          </w:tcPr>
          <w:p>
            <w:pPr>
              <w:pStyle w:val="TableContents"/>
              <w:spacing w:before="240" w:after="0"/>
              <w:ind w:left="0" w:right="0" w:hanging="0"/>
              <w:jc w:val="left"/>
              <w:rPr>
                <w:rFonts w:ascii="Times New Roman;serif" w:hAnsi="Times New Roman;serif"/>
                <w:b w:val="false"/>
                <w:sz w:val="20"/>
              </w:rPr>
            </w:pPr>
            <w:r>
              <w:rPr>
                <w:rFonts w:ascii="Times New Roman;serif" w:hAnsi="Times New Roman;serif"/>
                <w:b w:val="false"/>
                <w:sz w:val="20"/>
              </w:rPr>
              <w:t>May 9,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firstLine="108"/>
              <w:jc w:val="left"/>
              <w:rPr>
                <w:rFonts w:ascii="Times New Roman;serif" w:hAnsi="Times New Roman;serif"/>
                <w:b/>
                <w:sz w:val="20"/>
              </w:rPr>
            </w:pPr>
            <w:r>
              <w:rPr>
                <w:rFonts w:ascii="Times New Roman;serif" w:hAnsi="Times New Roman;serif"/>
                <w:b/>
                <w:sz w:val="20"/>
              </w:rPr>
              <w:t>Red Violet, Inc.</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pPr>
            <w:r>
              <w:rPr/>
              <w:t> </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Daniel MacLachlan</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 MacLachlan</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r>
        <w:br w:type="page"/>
      </w:r>
    </w:p>
    <w:p>
      <w:pPr>
        <w:pStyle w:val="TextBody"/>
        <w:spacing w:before="0" w:after="0"/>
        <w:jc w:val="left"/>
        <w:rPr/>
      </w:pPr>
      <w:bookmarkStart w:id="22" w:name="rdvt-ex31_1.htm"/>
      <w:bookmarkStart w:id="23" w:name="ksrdvtex31_1"/>
      <w:bookmarkEnd w:id="22"/>
      <w:bookmarkEnd w:id="23"/>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Derek Dubner,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Red Violet,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184" w:type="dxa"/>
        <w:jc w:val="left"/>
        <w:tblInd w:w="0" w:type="dxa"/>
        <w:tblCellMar>
          <w:top w:w="28" w:type="dxa"/>
          <w:left w:w="28" w:type="dxa"/>
          <w:bottom w:w="28" w:type="dxa"/>
          <w:right w:w="28" w:type="dxa"/>
        </w:tblCellMar>
      </w:tblPr>
      <w:tblGrid>
        <w:gridCol w:w="1156"/>
        <w:gridCol w:w="406"/>
        <w:gridCol w:w="146"/>
        <w:gridCol w:w="2476"/>
      </w:tblGrid>
      <w:tr>
        <w:trPr/>
        <w:tc>
          <w:tcPr>
            <w:tcW w:w="115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9,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Derek Dubner</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Derek Dubner</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Chief Executive Officer</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24" w:name="rdvt-ex31_2.htm"/>
      <w:bookmarkStart w:id="25" w:name="ksrdvtex31_2"/>
      <w:bookmarkEnd w:id="24"/>
      <w:bookmarkEnd w:id="25"/>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Daniel MacLachlan,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Red Violet,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474" w:type="dxa"/>
        <w:jc w:val="left"/>
        <w:tblInd w:w="0" w:type="dxa"/>
        <w:tblCellMar>
          <w:top w:w="28" w:type="dxa"/>
          <w:left w:w="28" w:type="dxa"/>
          <w:bottom w:w="28" w:type="dxa"/>
          <w:right w:w="28" w:type="dxa"/>
        </w:tblCellMar>
      </w:tblPr>
      <w:tblGrid>
        <w:gridCol w:w="1156"/>
        <w:gridCol w:w="406"/>
        <w:gridCol w:w="146"/>
        <w:gridCol w:w="3766"/>
      </w:tblGrid>
      <w:tr>
        <w:trPr/>
        <w:tc>
          <w:tcPr>
            <w:tcW w:w="115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9,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Daniel MacLachlan</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 MacLachlan</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26" w:name="rdvt-ex32_1.htm"/>
      <w:bookmarkStart w:id="27" w:name="ksrdvtex32_1"/>
      <w:bookmarkEnd w:id="26"/>
      <w:bookmarkEnd w:id="2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w:t>
      </w:r>
    </w:p>
    <w:p>
      <w:pPr>
        <w:pStyle w:val="TextBody"/>
        <w:spacing w:before="0" w:after="0"/>
        <w:jc w:val="center"/>
        <w:rPr>
          <w:rFonts w:ascii="Times New Roman;serif" w:hAnsi="Times New Roman;serif"/>
          <w:b/>
          <w:sz w:val="20"/>
        </w:rPr>
      </w:pPr>
      <w:r>
        <w:rPr>
          <w:rFonts w:ascii="Times New Roman;serif" w:hAnsi="Times New Roman;serif"/>
          <w:b/>
          <w:sz w:val="20"/>
        </w:rPr>
        <w:t>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accompanying Quarterly Report on Form 10-Q of Red Violet, Inc. for the quarter ended March 31, 2023 (the “Report”), the undersigned hereby certifies pursuant to 18 U.S.C. Section 1350, as adopted pursuant to Section 906 of the Sarbanes-Oxley Act of 2002, to my knowledge and belief,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Red Violet, Inc.</w:t>
      </w:r>
    </w:p>
    <w:p>
      <w:pPr>
        <w:pStyle w:val="TextBody"/>
        <w:spacing w:before="0" w:after="0"/>
        <w:jc w:val="left"/>
        <w:rPr/>
      </w:pPr>
      <w:r>
        <w:rPr/>
        <w:t> </w:t>
      </w:r>
    </w:p>
    <w:tbl>
      <w:tblPr>
        <w:tblW w:w="4184" w:type="dxa"/>
        <w:jc w:val="left"/>
        <w:tblInd w:w="0" w:type="dxa"/>
        <w:tblCellMar>
          <w:top w:w="28" w:type="dxa"/>
          <w:left w:w="28" w:type="dxa"/>
          <w:bottom w:w="28" w:type="dxa"/>
          <w:right w:w="28" w:type="dxa"/>
        </w:tblCellMar>
      </w:tblPr>
      <w:tblGrid>
        <w:gridCol w:w="1156"/>
        <w:gridCol w:w="406"/>
        <w:gridCol w:w="146"/>
        <w:gridCol w:w="2476"/>
      </w:tblGrid>
      <w:tr>
        <w:trPr/>
        <w:tc>
          <w:tcPr>
            <w:tcW w:w="115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9,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Derek Dubner</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Derek Dubner</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28" w:name="rdvt-ex32_2.htm"/>
      <w:bookmarkStart w:id="29" w:name="ksrdvtex32_2"/>
      <w:bookmarkEnd w:id="28"/>
      <w:bookmarkEnd w:id="29"/>
      <w:r>
        <w:rPr/>
        <w:t> </w:t>
      </w:r>
    </w:p>
    <w:p>
      <w:pPr>
        <w:pStyle w:val="TextBody"/>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w:t>
      </w:r>
    </w:p>
    <w:p>
      <w:pPr>
        <w:pStyle w:val="TextBody"/>
        <w:spacing w:before="0" w:after="0"/>
        <w:jc w:val="center"/>
        <w:rPr>
          <w:rFonts w:ascii="Times New Roman;serif" w:hAnsi="Times New Roman;serif"/>
          <w:b/>
          <w:sz w:val="20"/>
        </w:rPr>
      </w:pPr>
      <w:r>
        <w:rPr>
          <w:rFonts w:ascii="Times New Roman;serif" w:hAnsi="Times New Roman;serif"/>
          <w:b/>
          <w:sz w:val="20"/>
        </w:rPr>
        <w:t>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accompanying Quarterly Report on Form 10-Q of Red Violet, Inc. for the quarter ended March 31, 2023 (the “Report”), the undersigned hereby certifies pursuant to 18 U.S.C. Section 1350, as adopted pursuant to Section 906 of the Sarbanes-Oxley Act of 2002, to my knowledge and belief,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Red Violet, Inc.</w:t>
      </w:r>
    </w:p>
    <w:p>
      <w:pPr>
        <w:pStyle w:val="TextBody"/>
        <w:spacing w:before="0" w:after="0"/>
        <w:jc w:val="left"/>
        <w:rPr/>
      </w:pPr>
      <w:r>
        <w:rPr/>
        <w:t> </w:t>
      </w:r>
    </w:p>
    <w:tbl>
      <w:tblPr>
        <w:tblW w:w="5474" w:type="dxa"/>
        <w:jc w:val="left"/>
        <w:tblInd w:w="0" w:type="dxa"/>
        <w:tblCellMar>
          <w:top w:w="28" w:type="dxa"/>
          <w:left w:w="28" w:type="dxa"/>
          <w:bottom w:w="28" w:type="dxa"/>
          <w:right w:w="28" w:type="dxa"/>
        </w:tblCellMar>
      </w:tblPr>
      <w:tblGrid>
        <w:gridCol w:w="1156"/>
        <w:gridCol w:w="406"/>
        <w:gridCol w:w="146"/>
        <w:gridCol w:w="3766"/>
      </w:tblGrid>
      <w:tr>
        <w:trPr/>
        <w:tc>
          <w:tcPr>
            <w:tcW w:w="115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9,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Daniel MacLachlan</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 MacLachlan</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15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spacing w:before="0" w:after="0"/>
        <w:jc w:val="left"/>
        <w:rPr/>
      </w:pPr>
      <w:r>
        <w:rPr/>
        <w:t> </w:t>
      </w:r>
    </w:p>
    <w:p>
      <w:pPr>
        <w:pStyle w:val="TextBody"/>
        <w:spacing w:before="24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11748</Words>
  <CharactersWithSpaces>75890</CharactersWithSpaces>
  <Paragraphs>2802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