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 (d) OF THE SECURITIES EXCHANGE ACT OF 1934</w:t>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Pr>
          <w:p>
            <w:pPr>
              <w:spacing w:after="0"/>
              <w:rPr>
                <w:sz w:val="16"/>
                <w:szCs w:val="16"/>
                <w:color w:val="auto"/>
              </w:rPr>
            </w:pPr>
          </w:p>
        </w:tc>
        <w:tc>
          <w:tcPr>
            <w:tcW w:w="392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r>
      <w:tr>
        <w:trPr>
          <w:trHeight w:val="271"/>
        </w:trPr>
        <w:tc>
          <w:tcPr>
            <w:tcW w:w="21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900" w:type="dxa"/>
            <w:vAlign w:val="bottom"/>
          </w:tcPr>
          <w:p>
            <w:pPr>
              <w:ind w:left="400"/>
              <w:spacing w:after="0"/>
              <w:rPr>
                <w:sz w:val="20"/>
                <w:szCs w:val="20"/>
                <w:color w:val="auto"/>
              </w:rPr>
            </w:pPr>
            <w:r>
              <w:rPr>
                <w:rFonts w:ascii="Arial" w:cs="Arial" w:eastAsia="Arial" w:hAnsi="Arial"/>
                <w:sz w:val="16"/>
                <w:szCs w:val="16"/>
                <w:b w:val="1"/>
                <w:bCs w:val="1"/>
                <w:color w:val="auto"/>
                <w:w w:val="90"/>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392"/>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20" w:type="dxa"/>
            <w:vAlign w:val="bottom"/>
            <w:gridSpan w:val="4"/>
          </w:tcPr>
          <w:p>
            <w:pPr>
              <w:jc w:val="center"/>
              <w:ind w:right="360"/>
              <w:spacing w:after="0"/>
              <w:rPr>
                <w:sz w:val="20"/>
                <w:szCs w:val="20"/>
                <w:color w:val="auto"/>
              </w:rPr>
            </w:pPr>
            <w:r>
              <w:rPr>
                <w:rFonts w:ascii="Arial" w:cs="Arial" w:eastAsia="Arial" w:hAnsi="Arial"/>
                <w:sz w:val="32"/>
                <w:szCs w:val="32"/>
                <w:b w:val="1"/>
                <w:bCs w:val="1"/>
                <w:color w:val="auto"/>
              </w:rPr>
              <w:t>RED VIOLET, INC.</w:t>
            </w: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vMerge w:val="restart"/>
          </w:tcPr>
          <w:p>
            <w:pPr>
              <w:jc w:val="center"/>
              <w:ind w:left="1785"/>
              <w:spacing w:after="0"/>
              <w:rPr>
                <w:sz w:val="20"/>
                <w:szCs w:val="20"/>
                <w:color w:val="auto"/>
              </w:rPr>
            </w:pPr>
            <w:r>
              <w:rPr>
                <w:rFonts w:ascii="Arial" w:cs="Arial" w:eastAsia="Arial" w:hAnsi="Arial"/>
                <w:sz w:val="16"/>
                <w:szCs w:val="16"/>
                <w:b w:val="1"/>
                <w:bCs w:val="1"/>
                <w:color w:val="auto"/>
                <w:w w:val="91"/>
              </w:rPr>
              <w:t>Delaware</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80" w:type="dxa"/>
            <w:vAlign w:val="bottom"/>
            <w:gridSpan w:val="2"/>
            <w:vMerge w:val="restart"/>
          </w:tcPr>
          <w:p>
            <w:pPr>
              <w:jc w:val="center"/>
              <w:ind w:right="1944"/>
              <w:spacing w:after="0"/>
              <w:rPr>
                <w:sz w:val="20"/>
                <w:szCs w:val="20"/>
                <w:color w:val="auto"/>
              </w:rPr>
            </w:pPr>
            <w:r>
              <w:rPr>
                <w:rFonts w:ascii="Arial" w:cs="Arial" w:eastAsia="Arial" w:hAnsi="Arial"/>
                <w:sz w:val="16"/>
                <w:szCs w:val="16"/>
                <w:b w:val="1"/>
                <w:bCs w:val="1"/>
                <w:color w:val="auto"/>
                <w:w w:val="91"/>
              </w:rPr>
              <w:t>82-2408531</w:t>
            </w:r>
          </w:p>
        </w:tc>
        <w:tc>
          <w:tcPr>
            <w:tcW w:w="0" w:type="dxa"/>
            <w:vAlign w:val="bottom"/>
          </w:tcPr>
          <w:p>
            <w:pPr>
              <w:spacing w:after="0"/>
              <w:rPr>
                <w:sz w:val="1"/>
                <w:szCs w:val="1"/>
                <w:color w:val="auto"/>
              </w:rPr>
            </w:pPr>
          </w:p>
        </w:tc>
      </w:tr>
      <w:tr>
        <w:trPr>
          <w:trHeight w:val="245"/>
        </w:trPr>
        <w:tc>
          <w:tcPr>
            <w:tcW w:w="3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80" w:type="dxa"/>
            <w:vAlign w:val="bottom"/>
          </w:tcPr>
          <w:p>
            <w:pPr>
              <w:jc w:val="center"/>
              <w:ind w:left="1785"/>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2"/>
          </w:tcPr>
          <w:p>
            <w:pPr>
              <w:jc w:val="center"/>
              <w:ind w:right="1944"/>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780" w:type="dxa"/>
            <w:vAlign w:val="bottom"/>
          </w:tcPr>
          <w:p>
            <w:pPr>
              <w:jc w:val="center"/>
              <w:ind w:left="1785"/>
              <w:spacing w:after="0"/>
              <w:rPr>
                <w:sz w:val="20"/>
                <w:szCs w:val="20"/>
                <w:color w:val="auto"/>
              </w:rPr>
            </w:pPr>
            <w:r>
              <w:rPr>
                <w:rFonts w:ascii="Arial" w:cs="Arial" w:eastAsia="Arial" w:hAnsi="Arial"/>
                <w:sz w:val="13"/>
                <w:szCs w:val="13"/>
                <w:b w:val="1"/>
                <w:bCs w:val="1"/>
                <w:color w:val="auto"/>
                <w:w w:val="88"/>
              </w:rPr>
              <w:t>incorporation or organization)</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2"/>
          </w:tcPr>
          <w:p>
            <w:pPr>
              <w:jc w:val="center"/>
              <w:ind w:right="1944"/>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5"/>
              </w:rPr>
              <w:t>2650 North Military Trail, Suite 300,</w:t>
            </w:r>
          </w:p>
        </w:tc>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6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1"/>
              </w:rPr>
              <w:t>Boca Raton, Florida 33431</w:t>
            </w:r>
          </w:p>
        </w:tc>
        <w:tc>
          <w:tcPr>
            <w:tcW w:w="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39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6"/>
              </w:rPr>
              <w:t>Registrant’s telephone number, including area code: (561) 757-4000</w:t>
            </w: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3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tcBorders>
          </w:tcPr>
          <w:p>
            <w:pPr>
              <w:jc w:val="center"/>
              <w:ind w:left="5"/>
              <w:spacing w:after="0" w:line="142" w:lineRule="exact"/>
              <w:rPr>
                <w:sz w:val="20"/>
                <w:szCs w:val="20"/>
                <w:color w:val="auto"/>
              </w:rPr>
            </w:pPr>
            <w:r>
              <w:rPr>
                <w:rFonts w:ascii="Arial" w:cs="Arial" w:eastAsia="Arial" w:hAnsi="Arial"/>
                <w:sz w:val="13"/>
                <w:szCs w:val="13"/>
                <w:color w:val="auto"/>
                <w:w w:val="86"/>
              </w:rPr>
              <w:t>Title of each class</w:t>
            </w:r>
          </w:p>
        </w:tc>
        <w:tc>
          <w:tcPr>
            <w:tcW w:w="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160" w:type="dxa"/>
            <w:vAlign w:val="bottom"/>
            <w:tcBorders>
              <w:bottom w:val="single" w:sz="8" w:color="auto"/>
              <w:right w:val="single" w:sz="8" w:color="auto"/>
            </w:tcBorders>
            <w:gridSpan w:val="2"/>
          </w:tcPr>
          <w:p>
            <w:pPr>
              <w:jc w:val="center"/>
              <w:ind w:right="660"/>
              <w:spacing w:after="0" w:line="142" w:lineRule="exact"/>
              <w:rPr>
                <w:sz w:val="20"/>
                <w:szCs w:val="20"/>
                <w:color w:val="auto"/>
              </w:rPr>
            </w:pPr>
            <w:r>
              <w:rPr>
                <w:rFonts w:ascii="Arial" w:cs="Arial" w:eastAsia="Arial" w:hAnsi="Arial"/>
                <w:sz w:val="13"/>
                <w:szCs w:val="13"/>
                <w:color w:val="auto"/>
                <w:w w:val="89"/>
              </w:rPr>
              <w:t>Trading Symbol (s)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3"/>
                <w:szCs w:val="13"/>
                <w:color w:val="auto"/>
              </w:rPr>
              <w:t>Name of each exchange on which registered</w:t>
            </w:r>
          </w:p>
        </w:tc>
        <w:tc>
          <w:tcPr>
            <w:tcW w:w="0" w:type="dxa"/>
            <w:vAlign w:val="bottom"/>
          </w:tcPr>
          <w:p>
            <w:pPr>
              <w:spacing w:after="0"/>
              <w:rPr>
                <w:sz w:val="1"/>
                <w:szCs w:val="1"/>
                <w:color w:val="auto"/>
              </w:rPr>
            </w:pPr>
          </w:p>
        </w:tc>
      </w:tr>
      <w:tr>
        <w:trPr>
          <w:trHeight w:val="196"/>
        </w:trPr>
        <w:tc>
          <w:tcPr>
            <w:tcW w:w="37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6"/>
                <w:szCs w:val="16"/>
                <w:color w:val="auto"/>
              </w:rPr>
              <w:t>RDVT</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44"/>
        </w:trPr>
        <w:tc>
          <w:tcPr>
            <w:tcW w:w="7760" w:type="dxa"/>
            <w:vAlign w:val="bottom"/>
            <w:gridSpan w:val="6"/>
          </w:tcPr>
          <w:p>
            <w:pPr>
              <w:jc w:val="center"/>
              <w:ind w:left="3405"/>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4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4500" w:type="dxa"/>
            <w:vAlign w:val="bottom"/>
            <w:gridSpan w:val="3"/>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20" w:type="dxa"/>
            <w:vAlign w:val="bottom"/>
            <w:gridSpan w:val="2"/>
          </w:tcPr>
          <w:p>
            <w:pPr>
              <w:spacing w:after="0"/>
              <w:rPr>
                <w:sz w:val="6"/>
                <w:szCs w:val="6"/>
                <w:color w:val="auto"/>
              </w:rPr>
            </w:pPr>
          </w:p>
        </w:tc>
        <w:tc>
          <w:tcPr>
            <w:tcW w:w="480" w:type="dxa"/>
            <w:vAlign w:val="bottom"/>
            <w:vMerge w:val="restart"/>
          </w:tcPr>
          <w:p>
            <w:pPr>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3000" w:type="dxa"/>
            <w:vAlign w:val="bottom"/>
            <w:vMerge w:val="restart"/>
          </w:tcPr>
          <w:p>
            <w:pPr>
              <w:jc w:val="center"/>
              <w:ind w:right="2184"/>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vMerge w:val="continue"/>
          </w:tcPr>
          <w:p>
            <w:pPr>
              <w:spacing w:after="0"/>
              <w:rPr>
                <w:sz w:val="20"/>
                <w:szCs w:val="20"/>
                <w:color w:val="auto"/>
              </w:rPr>
            </w:pPr>
          </w:p>
        </w:tc>
        <w:tc>
          <w:tcPr>
            <w:tcW w:w="3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3000" w:type="dxa"/>
            <w:vAlign w:val="bottom"/>
          </w:tcPr>
          <w:p>
            <w:pPr>
              <w:jc w:val="center"/>
              <w:ind w:right="220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5" w:lineRule="exact"/>
        <w:rPr>
          <w:sz w:val="24"/>
          <w:szCs w:val="24"/>
          <w:color w:val="auto"/>
        </w:rPr>
      </w:pPr>
    </w:p>
    <w:p>
      <w:pPr>
        <w:ind w:right="4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720" w:type="dxa"/>
            <w:vAlign w:val="bottom"/>
          </w:tcPr>
          <w:p>
            <w:pPr>
              <w:ind w:left="24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 w:lineRule="exact"/>
        <w:rPr>
          <w:sz w:val="24"/>
          <w:szCs w:val="24"/>
          <w:color w:val="auto"/>
        </w:rPr>
      </w:pPr>
    </w:p>
    <w:p>
      <w:pPr>
        <w:ind w:right="22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color w:val="auto"/>
        </w:rPr>
        <w:t>On June 30, 2020, the last business day of the registrant’s most recently completed second fiscal quarter, the aggregate market value (based on the closing per share sales price of its common stock on that date) of the voting stock held by non-affiliates of the registrant was $113.4 million.</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March 8, 2021, was 12,200,077.</w:t>
      </w:r>
    </w:p>
    <w:p>
      <w:pPr>
        <w:spacing w:after="0" w:line="55"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ind w:right="320"/>
        <w:spacing w:after="0" w:line="293" w:lineRule="auto"/>
        <w:rPr>
          <w:sz w:val="20"/>
          <w:szCs w:val="20"/>
          <w:color w:val="auto"/>
        </w:rPr>
      </w:pPr>
      <w:r>
        <w:rPr>
          <w:rFonts w:ascii="Arial" w:cs="Arial" w:eastAsia="Arial" w:hAnsi="Arial"/>
          <w:sz w:val="16"/>
          <w:szCs w:val="16"/>
          <w:color w:val="auto"/>
        </w:rPr>
        <w:t>Portions of the registrant’s Proxy Statement relating to its 2021 Annual Meeting of Stockholders to be filed with the SEC within 120 days after the end of the fiscal year ended December 31, 2020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8920" w:type="dxa"/>
            <w:vAlign w:val="bottom"/>
          </w:tcPr>
          <w:p>
            <w:pPr>
              <w:ind w:left="3540"/>
              <w:spacing w:after="0"/>
              <w:rPr>
                <w:sz w:val="20"/>
                <w:szCs w:val="20"/>
                <w:color w:val="auto"/>
              </w:rPr>
            </w:pPr>
            <w:r>
              <w:rPr>
                <w:rFonts w:ascii="Arial" w:cs="Arial" w:eastAsia="Arial" w:hAnsi="Arial"/>
                <w:sz w:val="18"/>
                <w:szCs w:val="18"/>
                <w:b w:val="1"/>
                <w:bCs w:val="1"/>
                <w:color w:val="auto"/>
              </w:rPr>
              <w:t>RED VIOLET, INC.</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920" w:type="dxa"/>
            <w:vAlign w:val="bottom"/>
          </w:tcPr>
          <w:p>
            <w:pPr>
              <w:ind w:left="2640"/>
              <w:spacing w:after="0"/>
              <w:rPr>
                <w:sz w:val="20"/>
                <w:szCs w:val="20"/>
                <w:color w:val="auto"/>
              </w:rPr>
            </w:pPr>
            <w:r>
              <w:rPr>
                <w:rFonts w:ascii="Arial" w:cs="Arial" w:eastAsia="Arial" w:hAnsi="Arial"/>
                <w:sz w:val="18"/>
                <w:szCs w:val="18"/>
                <w:b w:val="1"/>
                <w:bCs w:val="1"/>
                <w:color w:val="auto"/>
              </w:rPr>
              <w:t>TABLE OF CONTENTS FOR FORM 10-K</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30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8920" w:type="dxa"/>
            <w:vAlign w:val="bottom"/>
          </w:tcPr>
          <w:p>
            <w:pPr>
              <w:spacing w:after="0"/>
              <w:rPr>
                <w:sz w:val="24"/>
                <w:szCs w:val="24"/>
                <w:color w:val="auto"/>
              </w:rPr>
            </w:pPr>
          </w:p>
        </w:tc>
        <w:tc>
          <w:tcPr>
            <w:tcW w:w="1020" w:type="dxa"/>
            <w:vAlign w:val="bottom"/>
            <w:gridSpan w:val="3"/>
          </w:tcPr>
          <w:p>
            <w:pPr>
              <w:ind w:left="6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9"/>
        </w:trPr>
        <w:tc>
          <w:tcPr>
            <w:tcW w:w="1300" w:type="dxa"/>
            <w:vAlign w:val="bottom"/>
            <w:vMerge w:val="continue"/>
          </w:tcPr>
          <w:p>
            <w:pPr>
              <w:spacing w:after="0"/>
              <w:rPr>
                <w:sz w:val="19"/>
                <w:szCs w:val="19"/>
                <w:color w:val="auto"/>
              </w:rPr>
            </w:pPr>
          </w:p>
        </w:tc>
        <w:tc>
          <w:tcPr>
            <w:tcW w:w="8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Item 1.</w:t>
            </w:r>
          </w:p>
        </w:tc>
        <w:tc>
          <w:tcPr>
            <w:tcW w:w="892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920" w:type="dxa"/>
            <w:vAlign w:val="bottom"/>
          </w:tcPr>
          <w:p>
            <w:pPr>
              <w:ind w:left="2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8920" w:type="dxa"/>
            <w:vAlign w:val="bottom"/>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Unresolved Staff Comments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Properties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8920" w:type="dxa"/>
            <w:vAlign w:val="bottom"/>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920" w:type="dxa"/>
            <w:vAlign w:val="bottom"/>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PART II</w:t>
              </w:r>
            </w:hyperlink>
          </w:p>
        </w:tc>
        <w:tc>
          <w:tcPr>
            <w:tcW w:w="8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8920" w:type="dxa"/>
            <w:vAlign w:val="bottom"/>
          </w:tcPr>
          <w:p>
            <w:pPr>
              <w:ind w:left="200"/>
              <w:spacing w:after="0"/>
              <w:rPr>
                <w:rFonts w:ascii="Arial" w:cs="Arial" w:eastAsia="Arial" w:hAnsi="Arial"/>
                <w:sz w:val="18"/>
                <w:szCs w:val="18"/>
                <w:u w:val="single" w:color="auto"/>
                <w:color w:val="0000EE"/>
                <w:w w:val="97"/>
              </w:rPr>
            </w:pPr>
            <w:hyperlink w:anchor="page23">
              <w:r>
                <w:rPr>
                  <w:rFonts w:ascii="Arial" w:cs="Arial" w:eastAsia="Arial" w:hAnsi="Arial"/>
                  <w:sz w:val="18"/>
                  <w:szCs w:val="18"/>
                  <w:u w:val="single" w:color="auto"/>
                  <w:color w:val="0000EE"/>
                  <w:w w:val="97"/>
                </w:rPr>
                <w:t>Market for Registrant’s Common Equity, Related Stockholder Matters and Issuer Purchases of Equity Securities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892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Selected Financial Data</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892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892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892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Financial Statements and Supplementary Data</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892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Changes in and Disagreements with Accountants on Accounting and Financial Disclosure</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892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8920" w:type="dxa"/>
            <w:vAlign w:val="bottom"/>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Other Information</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III</w:t>
              </w:r>
            </w:hyperlink>
          </w:p>
        </w:tc>
        <w:tc>
          <w:tcPr>
            <w:tcW w:w="8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Item 10.</w:t>
            </w:r>
          </w:p>
        </w:tc>
        <w:tc>
          <w:tcPr>
            <w:tcW w:w="8920" w:type="dxa"/>
            <w:vAlign w:val="bottom"/>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Directors, Executive Officers and Corporate Governance</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8920" w:type="dxa"/>
            <w:vAlign w:val="bottom"/>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Executive Compensation</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920" w:type="dxa"/>
            <w:vAlign w:val="bottom"/>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Security Ownership of Certain Beneficial Owners and Management and Related Stockholder Matters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8920" w:type="dxa"/>
            <w:vAlign w:val="bottom"/>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Certain Relationships and Related Transactions, and Director Independence</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8920" w:type="dxa"/>
            <w:vAlign w:val="bottom"/>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Principal Accounting Fees and Services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IV</w:t>
              </w:r>
            </w:hyperlink>
          </w:p>
        </w:tc>
        <w:tc>
          <w:tcPr>
            <w:tcW w:w="8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Item 15.</w:t>
            </w:r>
          </w:p>
        </w:tc>
        <w:tc>
          <w:tcPr>
            <w:tcW w:w="8920" w:type="dxa"/>
            <w:vAlign w:val="bottom"/>
          </w:tcPr>
          <w:p>
            <w:pPr>
              <w:ind w:left="2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 Financial Statement Schedules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line="190" w:lineRule="exact"/>
              <w:rPr>
                <w:sz w:val="20"/>
                <w:szCs w:val="20"/>
                <w:color w:val="auto"/>
              </w:rPr>
            </w:pPr>
            <w:r>
              <w:rPr>
                <w:rFonts w:ascii="Arial" w:cs="Arial" w:eastAsia="Arial" w:hAnsi="Arial"/>
                <w:sz w:val="18"/>
                <w:szCs w:val="18"/>
                <w:color w:val="auto"/>
              </w:rPr>
              <w:t>Item 16.</w:t>
            </w:r>
          </w:p>
        </w:tc>
        <w:tc>
          <w:tcPr>
            <w:tcW w:w="8920" w:type="dxa"/>
            <w:vAlign w:val="bottom"/>
          </w:tcPr>
          <w:p>
            <w:pPr>
              <w:ind w:left="200"/>
              <w:spacing w:after="0" w:line="190"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Form 10-K Summary</w:t>
              </w:r>
            </w:hyperlink>
          </w:p>
        </w:tc>
        <w:tc>
          <w:tcPr>
            <w:tcW w:w="8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30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SIGNATURES</w:t>
              </w:r>
            </w:hyperlink>
          </w:p>
        </w:tc>
        <w:tc>
          <w:tcPr>
            <w:tcW w:w="8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2"/>
        </w:trPr>
        <w:tc>
          <w:tcPr>
            <w:tcW w:w="130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2020 (the “2020 Form 10-K”), which are incorporated herein by this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15"/>
          <w:szCs w:val="15"/>
          <w:color w:val="auto"/>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wokflow efficiency and enable organizations to make better data-driven decisions.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2020 and 2019, idiCORE had 5,726 and 5,064 billable customers and FOREWARN had 48,377 and 30,577 users, respectively. The Company defines a billable customer of idiCORE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4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73% and 65% of total revenue for the years ended December 31, 2020 and 2019, respectively.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 w:name="page4"/>
    <w:bookmarkEnd w:id="3"/>
    <w:p>
      <w:pPr>
        <w:spacing w:after="0" w:line="290"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March 26, 2018, Cogint, Inc. (“cogint”) (now known as Fluent, Inc.) spun off its risk management business by way of a distribution of all of the shares of common stock of its then wholly-owned subsidiary, red violet, to its stockholders as of the record date and certain warrant holders (the “Spin-off”).</w:t>
      </w:r>
    </w:p>
    <w:p>
      <w:pPr>
        <w:spacing w:after="0" w:line="8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For the years ended December 31, 2020 and 2019, we had revenue of $34.6 million and $30.3 million, net loss of $6.8 million and $11.1 million, and adjusted EBITDA of $5.9 million and $1.9 million, respectively. Adjusted EBITDA is a non-GAAP financial measure equal to net loss, the most directly comparable financial measure based on US GAAP, excluding interest expense (income), net, depreciation and amortization, share-based compensation expense, write-off of long-lived assets and others, and sales and use tax expense, as noted in the tables included in “Use and Reconciliation of Non-GAAP Financial Measures” of 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target market for our products and solutions today consists primarily of organizations within the risk management industry.</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data and analytics sector continues to grow at an accelerated pace due to the proliferation of data generated over the past two decades from both traditional and emerging sources, including e-commerce, mobile and social media. International Data Corporation, a global provider of market intelligence and advisory services, estimates that worldwide revenue for data and business analytics services is expected to reach $274.3 billion in the year 2022, representing a compound annual growth rate (“CAGR”) of 13.2% from 2018 through 2022. Continued, rapid innovation and adoption of new technologies presents enormous challenges for organizations of all types to sort through this sea of data to glean actionable intelligence and address their mission-critical business functions. These challenges serve as key drivers of the sector’s growth. Our industry-agnostic platform, solutions, and analytical capabilities are designed to solve the myriad of complex problems that organizations face on a daily basis.</w:t>
      </w:r>
    </w:p>
    <w:p>
      <w:pPr>
        <w:spacing w:after="0" w:line="13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Risk and fraud analytics has become increasingly important not only in the banking and financial services sectors but across multiple other industries and use cases. According to the market research company MarketsAndMarkets, the risk analytics market is projected to grow to $45.9 billion by 2024, representing CAGR of 14.8% from 2019 through 2024, with North America estimated to hold the largest market share in the risk analytics market. Risk and fraud analytics and the information derived therefrom is now the primary service product for risk management associated with key purchasers such as banking and financial services companies, insurance companies, healthcare companies, law enforcement and government, collection agencies, law firms, retail, telecommunications companies and investigative firms. Primary use cases include, but are not limited to, obtaining information on consumers, businesses and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Challenges Facing our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products and solutions address the challenges that the industry faces today, which include:</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Actionable Insights Through A Single Platform</w:t>
      </w:r>
      <w:r>
        <w:rPr>
          <w:rFonts w:ascii="Arial" w:cs="Arial" w:eastAsia="Arial" w:hAnsi="Arial"/>
          <w:sz w:val="16"/>
          <w:szCs w:val="16"/>
          <w:color w:val="auto"/>
        </w:rPr>
        <w:t>— As the velocity and volume of data continues to grow exponentially, enterprises have become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overwhelmed with data and their inability to glean actionable insights from such data to derive successful business decisions in real-time. Customers demand full-suite, turn-key solutions that are agile, flexible, and available on-demand in order to gain the speed, scale and insight necessary to drive their business models. As the breadth and depth of data increases, organizations will need to deploy new technologies that enable both the ingestion of data at massive scale in real-time, irrespective of structure or form, and the analytics applications necessary to function across multiple channels. The accelerating digitization of human interactions, and the corresponding generation of the data resulting therefrom, is driving demand for data capture, management and analysis software. As a result, customers are looking for flexible and efficient solutions to unify disparate and often siloed sets of not only transactional data but also demographic, ethnographic and behavioral data as well, in order to provide insights that are truly actionable.</w:t>
      </w:r>
    </w:p>
    <w:p>
      <w:pPr>
        <w:spacing w:after="0" w:line="1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Cost and Performance Pressures</w:t>
      </w:r>
      <w:r>
        <w:rPr>
          <w:rFonts w:ascii="Arial" w:cs="Arial" w:eastAsia="Arial" w:hAnsi="Arial"/>
          <w:sz w:val="16"/>
          <w:szCs w:val="16"/>
          <w:color w:val="auto"/>
        </w:rPr>
        <w:t>—As customers face constant cost pressures, they are increasingly dependent upon extracting greater value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solutions. Whether it is identity verification, managing risk, or regulatory compliance, customers are increasingly more sophisticated, requiring enhanced performance that provides fast, accurate, and cost-effective solutions to satisfy their business objectives. Improving performance can mean delivering the right information at the right time at greater scale, or providing the most intuitive information as rapidly as possible to capitalize on opportunities or reduce risk. Superior analytics with unified data assets delivers competitive advantages to our customers as they cope with these pressures.</w:t>
      </w:r>
    </w:p>
    <w:p>
      <w:pPr>
        <w:spacing w:after="0" w:line="13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i w:val="1"/>
          <w:iCs w:val="1"/>
          <w:color w:val="auto"/>
        </w:rPr>
        <w:t>Delivering Solutions for Complex Problems Using Scalable Analytics</w:t>
      </w:r>
      <w:r>
        <w:rPr>
          <w:rFonts w:ascii="Arial" w:cs="Arial" w:eastAsia="Arial" w:hAnsi="Arial"/>
          <w:sz w:val="17"/>
          <w:szCs w:val="17"/>
          <w:color w:val="auto"/>
        </w:rPr>
        <w:t>—The larger and more complex a data set, the more difficult it is to derive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sustained levels of performance and insight. The highly-fragmented nature of data across multiple mediums and often siloed within organizations, the historical proliferation of data augmented by the recent acceleration of the digital transformation, and lack of robust technology inhibits the ability to create a unified data asset. There is an inherent need for information solutions that allow organizations to leverage unified data assets for actionable intelligence in support of their operational workflows and in a more efficient manner.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8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believe our leading-edge technology platform, massive database,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Transformative and Innovative Technology Platform</w:t>
      </w:r>
      <w:r>
        <w:rPr>
          <w:rFonts w:ascii="Arial" w:cs="Arial" w:eastAsia="Arial" w:hAnsi="Arial"/>
          <w:sz w:val="18"/>
          <w:szCs w:val="18"/>
          <w:color w:val="auto"/>
        </w:rPr>
        <w:t>—Through the power of our platform, CORE, we offer a comprehensive suite of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Our cloud-native, data and industry agnostic platform enables us to assimilate, structure, and unify billions of disparate records to create comprehensive views that provide identity intelligence, and to present these insights in real-time via analytical interfaces. We believe our platform’s speed, power, extensibility and scalability are key differentiators in the marketplace.</w:t>
      </w:r>
    </w:p>
    <w:p>
      <w:pPr>
        <w:spacing w:after="0" w:line="1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Massive Unified Data Asset</w:t>
      </w:r>
      <w:r>
        <w:rPr>
          <w:rFonts w:ascii="Arial" w:cs="Arial" w:eastAsia="Arial" w:hAnsi="Arial"/>
          <w:sz w:val="16"/>
          <w:szCs w:val="16"/>
          <w:color w:val="auto"/>
        </w:rPr>
        <w:t>—Data is the lifeblood of our technology platform, and of modern society. We leverage our CORE platform to build massive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datasets and apply analytics in real-time to provide actionable insights. Our data is compiled from a myriad of online and offline sources, both structured and unstructured, including public record, publicly-available, proprietary, and self-reported data. Public record data includes personally identifiable information, as well as property, identity, bankruptcy, lien, judgment, automotive, phone and other information aggregated from companies specializing in data aggregation, public record databases, and publicly-available sources. Proprietary data is internally generated data unified by proprietary algorithms and analytic processes. Through next-generation technology and proprietary algorithms, we efficiently ingest these datasets, structure them into normalized form, and unify the data to resolve unique identities so as to create an actionable, real-time view of the information for various use cases, delivering greater intelligence to our customers and enhancing their decision-making capabilities across all markets and industries.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Platform and Solutions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Distribution and Marketing</w:t>
      </w:r>
    </w:p>
    <w:p>
      <w:pPr>
        <w:spacing w:after="0" w:line="18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Inside Sales</w:t>
      </w:r>
      <w:r>
        <w:rPr>
          <w:rFonts w:ascii="Arial" w:cs="Arial" w:eastAsia="Arial" w:hAnsi="Arial"/>
          <w:sz w:val="16"/>
          <w:szCs w:val="16"/>
          <w:i w:val="1"/>
          <w:iCs w:val="1"/>
          <w:color w:val="auto"/>
        </w:rPr>
        <w:t>—</w:t>
      </w:r>
      <w:r>
        <w:rPr>
          <w:rFonts w:ascii="Arial" w:cs="Arial" w:eastAsia="Arial" w:hAnsi="Arial"/>
          <w:sz w:val="16"/>
          <w:szCs w:val="16"/>
          <w:color w:val="auto"/>
        </w:rPr>
        <w:t>Our inside sales team cultivates relationships, and ultimately closes business, with their end-user markets. These professionals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relationship-based sellers with experience in identifying clients’ needs and clearly explaining and defining products that provide solutions to those needs.</w:t>
      </w:r>
    </w:p>
    <w:p>
      <w:pPr>
        <w:spacing w:after="0" w:line="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Strategic Sales</w:t>
      </w:r>
      <w:r>
        <w:rPr>
          <w:rFonts w:ascii="Arial" w:cs="Arial" w:eastAsia="Arial" w:hAnsi="Arial"/>
          <w:sz w:val="17"/>
          <w:szCs w:val="17"/>
          <w:i w:val="1"/>
          <w:iCs w:val="1"/>
          <w:color w:val="auto"/>
        </w:rPr>
        <w:t>—</w:t>
      </w:r>
      <w:r>
        <w:rPr>
          <w:rFonts w:ascii="Arial" w:cs="Arial" w:eastAsia="Arial" w:hAnsi="Arial"/>
          <w:sz w:val="17"/>
          <w:szCs w:val="17"/>
          <w:color w:val="auto"/>
        </w:rPr>
        <w:t>While the majority of our direct sales efforts are supported through professional inside sales staff, major accounts within certain industries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 a more personal, face-to-face strategic sales approach. We continue to expand this team to meet the demand of the markets.</w:t>
      </w:r>
    </w:p>
    <w:p>
      <w:pPr>
        <w:spacing w:after="0" w:line="10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Distributors, Resellers, and Strategic Partners</w:t>
      </w:r>
      <w:r>
        <w:rPr>
          <w:rFonts w:ascii="Arial" w:cs="Arial" w:eastAsia="Arial" w:hAnsi="Arial"/>
          <w:sz w:val="18"/>
          <w:szCs w:val="18"/>
          <w:i w:val="1"/>
          <w:iCs w:val="1"/>
          <w:color w:val="auto"/>
        </w:rPr>
        <w:t>—</w:t>
      </w:r>
      <w:r>
        <w:rPr>
          <w:rFonts w:ascii="Arial" w:cs="Arial" w:eastAsia="Arial" w:hAnsi="Arial"/>
          <w:sz w:val="18"/>
          <w:szCs w:val="18"/>
          <w:color w:val="auto"/>
        </w:rPr>
        <w:t>In conjunction with direct-to-client sales efforts, we engage value-added distributors, resellers,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4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Marketing</w:t>
      </w:r>
      <w:r>
        <w:rPr>
          <w:rFonts w:ascii="Arial" w:cs="Arial" w:eastAsia="Arial" w:hAnsi="Arial"/>
          <w:sz w:val="18"/>
          <w:szCs w:val="18"/>
          <w:i w:val="1"/>
          <w:iCs w:val="1"/>
          <w:color w:val="auto"/>
        </w:rPr>
        <w:t>—</w:t>
      </w:r>
      <w:r>
        <w:rPr>
          <w:rFonts w:ascii="Arial" w:cs="Arial" w:eastAsia="Arial" w:hAnsi="Arial"/>
          <w:sz w:val="18"/>
          <w:szCs w:val="18"/>
          <w:color w:val="auto"/>
        </w:rPr>
        <w:t>We have implemented several methods to market our products, including participation in trade shows and seminars, advertising,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 distribution of sales literature and product specifications and ongoing communication with prospective clients, distributors, resellers, strategic partners and our installed base of current clients.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committed to developing innovative technology and using our analytical capabilities to deliver solutions that transform the way organizations interact with information. We are advancing our business through the following strategic approach:</w:t>
      </w:r>
    </w:p>
    <w:p>
      <w:pPr>
        <w:spacing w:after="0" w:line="130" w:lineRule="exact"/>
        <w:rPr>
          <w:sz w:val="20"/>
          <w:szCs w:val="20"/>
          <w:color w:val="auto"/>
        </w:rPr>
      </w:pPr>
    </w:p>
    <w:p>
      <w:pPr>
        <w:ind w:left="300" w:right="20" w:hanging="292"/>
        <w:spacing w:after="0" w:line="25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Transform Data Into Intelligence</w:t>
      </w:r>
      <w:r>
        <w:rPr>
          <w:rFonts w:ascii="Arial" w:cs="Arial" w:eastAsia="Arial" w:hAnsi="Arial"/>
          <w:sz w:val="18"/>
          <w:szCs w:val="18"/>
          <w:color w:val="auto"/>
        </w:rPr>
        <w:t>—Our massive, unified data asset, integrated with our leading technology platform and solutions, delivers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to organizations across diverse industries. As the digital transformation accelerates, the data generated therefrom increases rapidly. Derived semantic insight increases exponentially with each new data asset, creating compounded additional value that can be used by supervised and unsupervised machine learning algorithms. As we identify, assimilate and unify these new data assets, our solutions expand in applicability to larger-sized customers as well as additional industries and uses cases within.</w:t>
      </w:r>
    </w:p>
    <w:p>
      <w:pPr>
        <w:spacing w:after="0" w:line="147" w:lineRule="exact"/>
        <w:rPr>
          <w:rFonts w:ascii="Arial" w:cs="Arial" w:eastAsia="Arial" w:hAnsi="Arial"/>
          <w:sz w:val="18"/>
          <w:szCs w:val="18"/>
          <w:color w:val="auto"/>
        </w:rPr>
      </w:pPr>
    </w:p>
    <w:p>
      <w:pPr>
        <w:ind w:left="300" w:right="40" w:hanging="285"/>
        <w:spacing w:after="0" w:line="275"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Widen Our Technology Lead</w:t>
      </w:r>
      <w:r>
        <w:rPr>
          <w:rFonts w:ascii="Arial" w:cs="Arial" w:eastAsia="Arial" w:hAnsi="Arial"/>
          <w:sz w:val="17"/>
          <w:szCs w:val="17"/>
          <w:color w:val="auto"/>
        </w:rPr>
        <w:t>—Unlike legacy technologies, our platform was built in the cloud from the ground up. Due to its cloud-native construct,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CORE demonstrates increased speed and scalability as compared to legacy constructs. As competitors invest millions of dollars transitioning platforms from dated infrastructures to primarily hybrid-cloud environments, we are advancing and expanding our cloud-native technology and functionality to meet customer need, as customers increasingly rely on the speed, reliability, security, scalability and efficiencies that only the cloud delivers. We will continue to invest in our technology and people to widen our lead over competitive technologies.</w:t>
      </w:r>
    </w:p>
    <w:p>
      <w:pPr>
        <w:spacing w:after="0" w:line="149" w:lineRule="exact"/>
        <w:rPr>
          <w:rFonts w:ascii="Arial" w:cs="Arial" w:eastAsia="Arial" w:hAnsi="Arial"/>
          <w:sz w:val="17"/>
          <w:szCs w:val="17"/>
          <w:color w:val="auto"/>
        </w:rPr>
      </w:pPr>
    </w:p>
    <w:p>
      <w:pPr>
        <w:ind w:left="300" w:hanging="285"/>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Enhance Functionality and Develop New Products</w:t>
      </w:r>
      <w:r>
        <w:rPr>
          <w:rFonts w:ascii="Arial" w:cs="Arial" w:eastAsia="Arial" w:hAnsi="Arial"/>
          <w:sz w:val="18"/>
          <w:szCs w:val="18"/>
          <w:color w:val="auto"/>
        </w:rPr>
        <w:t>—We operate with a relentless focus on innovation and the customer experience. Customers rely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solutions to solve complex problems, to make better data-driven decisions, and to produce greater efficiencies in their workflow. We are devoted to enhancing the functionality of our current solutions and to developing new products, to enable more intelligent interaction with information and to become further engrained in the daily workflows of our customers. As we introduce greater functionality and additional products, it will serve to expand the applications of our solutions, and increase the opportunities whereby our customers can solve for existing and evolving problems generated by disparate and siloed data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Competition</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Competition in the data and analytics sector centers on innovation, product stability, pricing and customer service. The market for our products and services is highly competitive and is subject to constant change. We compete on the basis of innovative technology, differentiated solutions, analytical capabilities, integration with our clients’ technology, client relationships, service stability, and price. We believe we are well-positioned to effectively compete on all fronts.</w:t>
      </w:r>
    </w:p>
    <w:p>
      <w:pPr>
        <w:spacing w:after="0" w:line="1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innovative technology, analytical capabilities, robust and unified database, and the intelligent design of our cloud-native infrastructure will allow us to differentiate ourselves from our competition in flexibility, capability, service and price.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Certain companies in the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Customers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2020, no individual customer accounted for more than 10% of total revenue. During the year ended December 31, 2019, one individual customer accounted for 15% of total revenue.</w:t>
      </w:r>
    </w:p>
    <w:p>
      <w:pPr>
        <w:spacing w:after="0" w:line="130" w:lineRule="exact"/>
        <w:rPr>
          <w:sz w:val="20"/>
          <w:szCs w:val="20"/>
          <w:color w:val="auto"/>
        </w:rPr>
      </w:pPr>
    </w:p>
    <w:p>
      <w:pPr>
        <w:ind w:right="1900"/>
        <w:spacing w:after="0" w:line="461" w:lineRule="auto"/>
        <w:rPr>
          <w:sz w:val="20"/>
          <w:szCs w:val="20"/>
          <w:color w:val="auto"/>
        </w:rPr>
      </w:pPr>
      <w:r>
        <w:rPr>
          <w:rFonts w:ascii="Arial" w:cs="Arial" w:eastAsia="Arial" w:hAnsi="Arial"/>
          <w:sz w:val="18"/>
          <w:szCs w:val="18"/>
          <w:color w:val="auto"/>
        </w:rPr>
        <w:t xml:space="preserve">As of December 31, 2020 and 2019, no individual customer accounted for more than 10% of the Company’s accounts receivable. </w:t>
      </w:r>
      <w:r>
        <w:rPr>
          <w:rFonts w:ascii="Arial" w:cs="Arial" w:eastAsia="Arial" w:hAnsi="Arial"/>
          <w:sz w:val="18"/>
          <w:szCs w:val="18"/>
          <w:b w:val="1"/>
          <w:bCs w:val="1"/>
          <w:color w:val="auto"/>
        </w:rPr>
        <w:t>Concentration of Suppliers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the major credit bureaus, including our largest data supplier. The Company’s other data suppliers include strategic partners, as well as various government and public record databases. Our largest data supplier, with whom we have expanded our relationship while securing what we believe to be favorable business terms over the years, accounted for 46% of our total data acquisition costs for the year ended December 31, 2020 compared to 40% for the year ended December 31, 2019. The initial term of the agreement, as amended, with this supplier ends April 30, 2022, and continues thereafter on a month-to-month basis unless and until either party provides the other with a minimum of 30 days’ written notice of termination.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150 days’ advance written notice to us and we may terminate this agreement by providing not less than 24 months’ advance written notice to this supplier. The remaining minimum purchase commitments through the end of the initial term is $5.7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Intellectual Property</w:t>
      </w:r>
    </w:p>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We have also sought protection and registration of certain brands and trademarks internationally, such as in Europe and Canada. At present, we do not hold any issued patents.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use data acquired through licensing rights from approximately 20 providers. The loss of any one of these providers could have an immediate near-term impact on our financial position, results of operations, and liquidity. Also see “Concentration of Suppliers”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business is subject to various federal, state, and local laws, rules, and regulations, including, without limitation, the Gramm-Leach-Bliley Act (15 U.S.C. §§ 6801- 6809) (“GLBA”), the Driver’s Privacy Protection Act (18 U.S.C. §§ 2721- 2725) (“DPPA”) and the Federal Trade Commission Act (“FTC Act”).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clients’ requirements and our profitability and cash flow targets.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results are subject to seasonal fluctuation. Historically, certain products experience seasonal pressure during the fourth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employ a total of 126 employees, all full-time, as of December 31, 2020. None of our employees are represented by a labor organization, and none are party to any collective bargaining agreement. We have not experienced any work stoppages and consider our relations with our employees to be good. Competition in the recruiting of personnel in the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Our principal executive offices are located at 2650 North Military Trail, Suite 300, Boca Raton, Florida 33431 and our telephone number is (561) 757-4000. Our corporate website is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The website address provided in this 2020 Form 10-K is not intended to function as a hyperlink and information obtained on the website is not and should not be considered part of this 2020 Form 10-K and is not incorporated by reference in this 2020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as soon as reasonably practicable after we electronically file such material with, or furnish it to, the SEC. The SEC maintains an internet website located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that contains the information we file or furnish electronically with the SEC.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12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392"/>
        </w:trPr>
        <w:tc>
          <w:tcPr>
            <w:tcW w:w="4720" w:type="dxa"/>
            <w:vAlign w:val="bottom"/>
          </w:tcPr>
          <w:p>
            <w:pPr>
              <w:spacing w:after="0"/>
              <w:rPr>
                <w:sz w:val="20"/>
                <w:szCs w:val="20"/>
                <w:color w:val="auto"/>
              </w:rPr>
            </w:pPr>
            <w:r>
              <w:rPr>
                <w:rFonts w:ascii="Arial" w:cs="Arial" w:eastAsia="Arial" w:hAnsi="Arial"/>
                <w:sz w:val="18"/>
                <w:szCs w:val="18"/>
                <w:color w:val="auto"/>
              </w:rPr>
              <w:t>Our executive officers are as follows:</w:t>
            </w:r>
          </w:p>
        </w:tc>
        <w:tc>
          <w:tcPr>
            <w:tcW w:w="122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2"/>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tcPr>
          <w:p>
            <w:pPr>
              <w:spacing w:after="0"/>
              <w:rPr>
                <w:sz w:val="24"/>
                <w:szCs w:val="24"/>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4720" w:type="dxa"/>
            <w:vAlign w:val="bottom"/>
          </w:tcPr>
          <w:p>
            <w:pPr>
              <w:spacing w:after="0" w:line="195" w:lineRule="exact"/>
              <w:rPr>
                <w:sz w:val="20"/>
                <w:szCs w:val="20"/>
                <w:color w:val="auto"/>
              </w:rPr>
            </w:pPr>
            <w:r>
              <w:rPr>
                <w:rFonts w:ascii="Arial" w:cs="Arial" w:eastAsia="Arial" w:hAnsi="Arial"/>
                <w:sz w:val="18"/>
                <w:szCs w:val="18"/>
                <w:color w:val="auto"/>
              </w:rPr>
              <w:t>Derek Dubner</w:t>
            </w:r>
          </w:p>
        </w:tc>
        <w:tc>
          <w:tcPr>
            <w:tcW w:w="122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Chief Executive Officer and Chairman</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James Reilly</w:t>
            </w:r>
          </w:p>
        </w:tc>
        <w:tc>
          <w:tcPr>
            <w:tcW w:w="12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Daniel MacLachlan</w:t>
            </w:r>
          </w:p>
        </w:tc>
        <w:tc>
          <w:tcPr>
            <w:tcW w:w="12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Jeff Dell</w:t>
            </w:r>
          </w:p>
        </w:tc>
        <w:tc>
          <w:tcPr>
            <w:tcW w:w="12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Information Officer</w:t>
            </w:r>
          </w:p>
        </w:tc>
      </w:tr>
    </w:tbl>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Mr. Derek Dubner</w:t>
      </w:r>
      <w:r>
        <w:rPr>
          <w:rFonts w:ascii="Arial" w:cs="Arial" w:eastAsia="Arial" w:hAnsi="Arial"/>
          <w:sz w:val="16"/>
          <w:szCs w:val="16"/>
          <w:color w:val="auto"/>
        </w:rPr>
        <w:t>, 49, has served as the Chief Executive Officer and a director of the Company since its formation in August 2017 and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spin-off from cogint on March 26, 2018. Mr. Dubner was appointed as Interim Chairman of our board of directors in September 2018 and as Chairman of our board of directors in April 2020. Mr. Dubner served as the Chief Executive Officer and a director of cogint, from March 2016 until the Spin-off. Mr. Dubner served as cogint’s Co-Chief Executive Officer from March 2015 until March 2016.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Mr. James Reilly</w:t>
      </w:r>
      <w:r>
        <w:rPr>
          <w:rFonts w:ascii="Arial" w:cs="Arial" w:eastAsia="Arial" w:hAnsi="Arial"/>
          <w:sz w:val="18"/>
          <w:szCs w:val="18"/>
          <w:color w:val="auto"/>
        </w:rPr>
        <w:t>, 46, has served as President of the Company since its formation in August 2017 and continuing through its Spin-off from cogint. Mr.</w:t>
      </w:r>
      <w:r>
        <w:rPr>
          <w:rFonts w:ascii="Arial" w:cs="Arial" w:eastAsia="Arial" w:hAnsi="Arial"/>
          <w:sz w:val="18"/>
          <w:szCs w:val="18"/>
          <w:b w:val="1"/>
          <w:bCs w:val="1"/>
          <w:color w:val="auto"/>
        </w:rPr>
        <w:t xml:space="preserve"> </w:t>
      </w:r>
      <w:r>
        <w:rPr>
          <w:rFonts w:ascii="Arial" w:cs="Arial" w:eastAsia="Arial" w:hAnsi="Arial"/>
          <w:sz w:val="18"/>
          <w:szCs w:val="18"/>
          <w:color w:val="auto"/>
        </w:rPr>
        <w:t>Reilly served as President of cogint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Mr. Daniel MacLachlan</w:t>
      </w:r>
      <w:r>
        <w:rPr>
          <w:rFonts w:ascii="Arial" w:cs="Arial" w:eastAsia="Arial" w:hAnsi="Arial"/>
          <w:sz w:val="17"/>
          <w:szCs w:val="17"/>
          <w:color w:val="auto"/>
        </w:rPr>
        <w:t>, 42, has served as the Chief Financial Officer of the Company since its formation in August 2017 and continuing through its</w:t>
      </w:r>
      <w:r>
        <w:rPr>
          <w:rFonts w:ascii="Arial" w:cs="Arial" w:eastAsia="Arial" w:hAnsi="Arial"/>
          <w:sz w:val="17"/>
          <w:szCs w:val="17"/>
          <w:b w:val="1"/>
          <w:bCs w:val="1"/>
          <w:color w:val="auto"/>
        </w:rPr>
        <w:t xml:space="preserve"> </w:t>
      </w:r>
      <w:r>
        <w:rPr>
          <w:rFonts w:ascii="Arial" w:cs="Arial" w:eastAsia="Arial" w:hAnsi="Arial"/>
          <w:sz w:val="17"/>
          <w:szCs w:val="17"/>
          <w:color w:val="auto"/>
        </w:rPr>
        <w:t>Spin-off from cogint. Mr. MacLachlan served as Chief Financial Officer of cogint from March 2016 until the Spin-off and brings over a decade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substantially all of the assets of TLO, through a 363 sale process in December 2013. Mr. MacLachlan was the Chief Financial Officer of TLO from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 w:name="page10"/>
    <w:bookmarkEnd w:id="9"/>
    <w:p>
      <w:pPr>
        <w:ind w:right="20"/>
        <w:spacing w:after="0" w:line="254" w:lineRule="auto"/>
        <w:rPr>
          <w:sz w:val="20"/>
          <w:szCs w:val="20"/>
          <w:color w:val="auto"/>
        </w:rPr>
      </w:pPr>
      <w:r>
        <w:rPr>
          <w:rFonts w:ascii="Arial" w:cs="Arial" w:eastAsia="Arial" w:hAnsi="Arial"/>
          <w:sz w:val="18"/>
          <w:szCs w:val="18"/>
          <w:b w:val="1"/>
          <w:bCs w:val="1"/>
          <w:color w:val="auto"/>
        </w:rPr>
        <w:t>Mr. Jeff Dell</w:t>
      </w:r>
      <w:r>
        <w:rPr>
          <w:rFonts w:ascii="Arial" w:cs="Arial" w:eastAsia="Arial" w:hAnsi="Arial"/>
          <w:sz w:val="18"/>
          <w:szCs w:val="18"/>
          <w:color w:val="auto"/>
        </w:rPr>
        <w:t>, 49, has served as the Chief Information Officer of the Company since its formation in August 2017 and continuing through its Spin-off from</w:t>
      </w:r>
      <w:r>
        <w:rPr>
          <w:rFonts w:ascii="Arial" w:cs="Arial" w:eastAsia="Arial" w:hAnsi="Arial"/>
          <w:sz w:val="18"/>
          <w:szCs w:val="18"/>
          <w:b w:val="1"/>
          <w:bCs w:val="1"/>
          <w:color w:val="auto"/>
        </w:rPr>
        <w:t xml:space="preserve"> </w:t>
      </w:r>
      <w:r>
        <w:rPr>
          <w:rFonts w:ascii="Arial" w:cs="Arial" w:eastAsia="Arial" w:hAnsi="Arial"/>
          <w:sz w:val="18"/>
          <w:szCs w:val="18"/>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business, financial condition, operating results, and cash flows may be impacted by a number of factors, many of which are beyond our control, including those set forth below and elsewhere in this Form 10-K, the occurrence of any one of which could have a material adverse effect on our actual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 Risks</w:t>
      </w:r>
    </w:p>
    <w:p>
      <w:pPr>
        <w:spacing w:after="0" w:line="1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ongoing and developing Covid-19 pandemic and the global attempt to contain it may adversely impact our business, our future results of operations and our overall financial performance.</w:t>
      </w:r>
    </w:p>
    <w:p>
      <w:pPr>
        <w:spacing w:after="0" w:line="13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global spread of a novel strain of coronavirus, known as Covid-19, and the various attempts to contain it have created significant volatility, uncertainty and economic disruption. In response to government mandates and health care advisories, we have altered certain aspects of our operations. A certain segment of our employee base continues to work from home, which may impact productivity. We have curtailed company travel to ensure the safety of our employees, customers, vendors, and shareholders. The economic disruption has adversely impacted many of our customers and vendors.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and cost to access the capital markets; the effect on our customers and customer demand for and ability to pay for our services; and disruptions or restrictions on our employees’ ability to work and travel. In addition, any preventative or protective actions that governments implement or that we take in respect of Covid-19, such as travel restrictions or stay-at-home orders, may interfere with the ability of our employees and vendors to perform their respective responsibilities and obligations relative to the conduct of our business. Such results could have a material adverse effect on our operations, business, financial condition, results of operations, or cash flows.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closely monitoring the ongoing and developing impact of the Covid-19 pandemic, continually assessing its potential effects on our business. The extent to which our results are affected by Covid-19 will largely depend on future developments which cannot be accurately predicted and are uncertain, but the Covid-19 pandemic or the perception of its effects could have a material adverse effect on our business,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Technology Risks</w:t>
      </w:r>
    </w:p>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personally identifiable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0" w:name="page11"/>
    <w:bookmarkEnd w:id="10"/>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respond to rapid technological changes in the data and analytics sector, we may lose customers and/or our products and/or services may become obsolete.</w:t>
      </w:r>
    </w:p>
    <w:p>
      <w:pPr>
        <w:spacing w:after="0" w:line="1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3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Arial" w:cs="Arial" w:eastAsia="Arial" w:hAnsi="Arial"/>
          <w:sz w:val="18"/>
          <w:szCs w:val="18"/>
          <w:b w:val="1"/>
          <w:bCs w:val="1"/>
          <w:color w:val="auto"/>
        </w:rPr>
        <w:t>.</w:t>
      </w:r>
    </w:p>
    <w:p>
      <w:pPr>
        <w:spacing w:after="0" w:line="14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also rely heavily on large information technology databases and the ability to provide services using that information from those databases.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throughout the United States. If we grow and obtain more visibility, we may be more vulnerable to hacking or other attempts to gain unauthorized access to our system. Moreover, the increased use of mobile devices also increases the risk of intentional and unintentional theft or disclosure of data including personal information. We may be unable to anticipate all of these vulnerabilities and implement adequate preventative measures and, in some cases, we may not be able to immediately detect a security incident. Any security incident may also result in a misappropriation of our proprietary information or that of our users, clients, and third-party vendors, which could result in legal and financial liability, as well as harm to our reputation.</w:t>
      </w:r>
    </w:p>
    <w:p>
      <w:pPr>
        <w:spacing w:after="0" w:line="14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3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Privacy concerns relating to the collection, use, accuracy, correction and sharing of personal information and any perceived or actual unauthorized disclosure of personally identifiable information, whether through breach of our network by an unauthorized party, employee theft, misuse, or error could harm our reputation, impair our ability to attract website visitors and to attract and retain clients, result in a loss of confidence in the security of our products and services, or subject us to claims or litigation arising from damages suffered by consumers, and thereby harm our business and results of operations. In addition, we could incur significant costs which our insurance policies may not adequately cover and we may need to expend significant resources to protect against security breaches and comply with the multitude of state and federal laws regarding data privacy and data breach notification obligations.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11" w:name="page12"/>
    <w:bookmarkEnd w:id="11"/>
    <w:p>
      <w:pPr>
        <w:ind w:right="260"/>
        <w:spacing w:after="0" w:line="286" w:lineRule="auto"/>
        <w:rPr>
          <w:sz w:val="20"/>
          <w:szCs w:val="20"/>
          <w:color w:val="auto"/>
        </w:rPr>
      </w:pPr>
      <w:r>
        <w:rPr>
          <w:rFonts w:ascii="Arial" w:cs="Arial" w:eastAsia="Arial" w:hAnsi="Arial"/>
          <w:sz w:val="17"/>
          <w:szCs w:val="17"/>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own and host a large amount of sensitive and confidential consumer information including financial information and personally identifiable information. This data is often accessed through secure transmissions over public and private networks, including the internet. Despite our physical security, implementation of technical controls and contractual precautions to identify, detect and prevent the unauthorized access to and alteration and disclosure of our data,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We must continually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a nationwide provider of risk and information solutions, we collect, store and transmit files on millions of consumers. These files may contain non-public personal information and other information, and we have implemented technical and physical security policies, procedures and systems we believe are reasonably designed to protect this information from unauthorized access. However, due to the sensitive nature of the information we collect, store and transmit, it is not unusual for efforts to occur (coordinated or otherwise) by unauthorized persons to attempt to obtain access to our systems or data, or to inhibit our ability to deliver products or services to a customer.</w:t>
      </w:r>
    </w:p>
    <w:p>
      <w:pPr>
        <w:spacing w:after="0" w:line="13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1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breadth and complexity of our operations and the high volume of transactions that we process;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large number of customers, counterparties and third-party service providers with which we do business;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proliferation and increasing sophistication of cyberattacks; and</w:t>
      </w:r>
    </w:p>
    <w:p>
      <w:pPr>
        <w:spacing w:after="0" w:line="117"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a third party, after establishing a foothold on an internal network without being detected, might obtain access to other networks and systems.</w:t>
      </w:r>
    </w:p>
    <w:p>
      <w:pPr>
        <w:spacing w:after="0" w:line="14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concerns about data security and integrity, a growing number of legislative and regulatory bodies have adopted consumer notification and other requirements in the event that consumer information is accessed by unauthorized persons and additional regulations regarding the use, access, accuracy and security of such data are possible. In the United States, federal and state laws provide for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maintain and improve our systems, our technology, and our interfaces with data sources and customers, demand for our services could be adversely affected.</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our industry, there are continuous improvements in computer hardware, network operating systems, programming tools, programming languages, operating systems, data matching, data filtering and other database technologies and the use of the internet.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respond to changing customer needs and regulatory requirements, including being able to bring our new products to the market quickly; and</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customers and data sources successfully to new interfaces or other technologies.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20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is subject to regulation under the GLBA, the DPPA, the FTC Act, and various other federal, state and local laws and regulations. These laws and regulations, which generally are designed to protect the privacy of the public and to prevent the misuse of personal information are complex, change frequently and have tended to become more stringent over time. We have already incurred significant expenses in our endeavors to ensure compliance with these laws.</w:t>
      </w:r>
    </w:p>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Currently, public concern is high with regard to the collection, use, accuracy, correction and sharing of personal information, including Social Security numbers, dates of birth, financial information, department of motor vehicle data and other behavioral data. In addition, many consumer advocates, privacy advocates, legislatures and government regulators believe that existing laws and regulations do not adequately protect privacy and have become increasingly concerned with the collection and use of this type of personal information. As a result, several U.S. states have recently introduced and passed legislation to expand data security breach notification rules and to provide consumers with greater transparency and control over their personal data. For example, the California Consumer Privacy Act of 2018 (the "CCPA"), which became effective on January 1, 2020, applies to certain businesses that collect personal information from California residents and establishes several consumer rights, including a right to know what personal information is being collected about them and whether and to whom it is sold, a right to access their personal information and have it deleted, a right to opt out of the sale of their personal information, and a right to equal service and price regardless of exercise of these rights. The CCPA exempts much of the data covered by the GLBA and DPPA, and therefore much of our data is not subject to the CCPA. On November 3, 2020, California adopted the California Privacy Rights Act (the “CPRA”), which amends and expands the CCPA. It is anticipated that most of the substantive provisions of the CPRA will go into effect in 2023.</w:t>
      </w:r>
    </w:p>
    <w:p>
      <w:pPr>
        <w:spacing w:after="0" w:line="1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number of data incidents announced recently by companies in various industries has resulted in significantly increased legislative and regulatory activity at the federal and state levels as lawmakers and regulators continue to propose a wide range of further restrictions on the collection, dissemination or commercial use of personal information, information security standards, and data security incident disclosure standards. This and additional legislative or regulatory efforts in the United States, or action by Executive Order of the President of the United States, could further regulate the collection, use, communication, access, accuracy, obsolescence, sharing, correction and security of this personal information. In addition, any perception that our practices or products are an invasion of privacy, whether or not consistent with current or future regulations and industry practices, may subject us to public criticism, private class actions, reputational harm, or claims by regulators, which could disrupt our business and expose us to increased liability.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clients could affect the activities or strategies of such clients and, therefore, lead to reductions in their level of business with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legal and regulatory developments also could have a material adverse effect on our business, financial condition or results of operations:</w:t>
      </w:r>
    </w:p>
    <w:p>
      <w:pPr>
        <w:spacing w:after="0" w:line="140" w:lineRule="exact"/>
        <w:rPr>
          <w:sz w:val="20"/>
          <w:szCs w:val="20"/>
          <w:color w:val="auto"/>
        </w:rPr>
      </w:pPr>
    </w:p>
    <w:p>
      <w:pPr>
        <w:ind w:left="560" w:right="140" w:hanging="498"/>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62" w:lineRule="exact"/>
        <w:rPr>
          <w:rFonts w:ascii="Arial" w:cs="Arial" w:eastAsia="Arial" w:hAnsi="Arial"/>
          <w:sz w:val="18"/>
          <w:szCs w:val="18"/>
          <w:color w:val="auto"/>
        </w:rPr>
      </w:pPr>
    </w:p>
    <w:p>
      <w:pPr>
        <w:ind w:left="560" w:right="60" w:hanging="498"/>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cultural and consumer attitudes in favor of further restrictions on information collection and sharing, which may lead to regulations that prevent full utilization of our solutions;</w:t>
      </w:r>
    </w:p>
    <w:p>
      <w:pPr>
        <w:spacing w:after="0" w:line="62" w:lineRule="exact"/>
        <w:rPr>
          <w:rFonts w:ascii="Arial" w:cs="Arial" w:eastAsia="Arial" w:hAnsi="Arial"/>
          <w:sz w:val="18"/>
          <w:szCs w:val="18"/>
          <w:color w:val="auto"/>
        </w:rPr>
      </w:pPr>
    </w:p>
    <w:p>
      <w:pPr>
        <w:ind w:left="560" w:hanging="49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data suppliers or customers to comply with laws or regulations, where mutual compliance is required;</w:t>
      </w:r>
    </w:p>
    <w:p>
      <w:pPr>
        <w:spacing w:after="0" w:line="117" w:lineRule="exact"/>
        <w:rPr>
          <w:rFonts w:ascii="Arial" w:cs="Arial" w:eastAsia="Arial" w:hAnsi="Arial"/>
          <w:sz w:val="18"/>
          <w:szCs w:val="18"/>
          <w:color w:val="auto"/>
        </w:rPr>
      </w:pPr>
    </w:p>
    <w:p>
      <w:pPr>
        <w:ind w:left="560" w:hanging="49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solutions to comply with current laws and regulations; and</w:t>
      </w:r>
    </w:p>
    <w:p>
      <w:pPr>
        <w:spacing w:after="0" w:line="117" w:lineRule="exact"/>
        <w:rPr>
          <w:rFonts w:ascii="Arial" w:cs="Arial" w:eastAsia="Arial" w:hAnsi="Arial"/>
          <w:sz w:val="18"/>
          <w:szCs w:val="18"/>
          <w:color w:val="auto"/>
        </w:rPr>
      </w:pPr>
    </w:p>
    <w:p>
      <w:pPr>
        <w:ind w:left="560" w:hanging="498"/>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solutions to adapt to changes in the regulatory environment in an efficient, cost-effective manner.</w:t>
      </w:r>
    </w:p>
    <w:p>
      <w:pPr>
        <w:spacing w:after="0" w:line="18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2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Arial" w:cs="Arial" w:eastAsia="Arial" w:hAnsi="Arial"/>
          <w:sz w:val="18"/>
          <w:szCs w:val="18"/>
          <w:b w:val="1"/>
          <w:bCs w:val="1"/>
          <w:color w:val="auto"/>
        </w:rPr>
        <w:t>.</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Legal proceedings arise frequently as part of the normal course of our business. These may include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14" w:name="page15"/>
    <w:bookmarkEnd w:id="14"/>
    <w:p>
      <w:pPr>
        <w:ind w:right="40"/>
        <w:spacing w:after="0" w:line="253" w:lineRule="auto"/>
        <w:rPr>
          <w:sz w:val="20"/>
          <w:szCs w:val="20"/>
          <w:color w:val="auto"/>
        </w:rPr>
      </w:pPr>
      <w:r>
        <w:rPr>
          <w:rFonts w:ascii="Arial" w:cs="Arial" w:eastAsia="Arial" w:hAnsi="Arial"/>
          <w:sz w:val="18"/>
          <w:szCs w:val="18"/>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CARES Act Loan may be subject to regulatory review resulting from unclear subjective and objective eligibility requirements for the loan.</w:t>
      </w: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5, 2020, we received funding of $2,152,000 under the Coronavirus Aid, Relief, and Economic Security Act (“CARES Act”) (the “Loan”). The Loan application required us to certify, among other things, that the current economic uncertainty made the Loan request necessary to support our ongoing operations. While we made this certification in good faith after analyzing, among other things, our financial situation and access to alternative forms of capital, and believe that we satisfied all eligibility criteria for the Loan, the certification described above does not contain any objective criteria and is subject to interpretation. If, despite our good faith belief that we satisfied all eligibility requirements for the Loan, we are found to have been ineligible to receive the Loan or in violation of any of the laws or governmental regulations that apply to us in connection with the Loan, we may be subject to penalties, including significant civil, criminal and administrative penalties and could be required to repay the Loan. We submitted an application for forgiveness of the Loan in November 2020. As a result, we were required to make certain certifications which are subject to audit and review by governmental entities and could subject us to significant penalties and liabilities if found to be inaccurate. In addition, review or audit by a governmental entity could consume significant financial and management resources. Any of these events could harm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6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5" w:name="page16"/>
    <w:bookmarkEnd w:id="15"/>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6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Since the Spin-off and through December 31, 2020, we issued an aggregate of 1,444,468 shares of our common stock in connection with vesting of awards made under the Red Violet, Inc. 2018 Stock Incentive Plan, as amended (the “2018 Plan”). Also, as of December 31, 2020, 20,667 shares underlying awards made under the 2018 Plan have vested but have not been delivered, and an additional 1,764,450 shares underlying awards made under the 2018 Plan are scheduled to vest and be delivered through 2024. Pursuant to the 2018 Plan, our board of directors may grant stock options, restricted stock units (“RSUs”), or other equity awards to our directors and employees. Future acquisitions may involve the issuance of our common stock as payment, in part or in full, for the business or assets acquired. The benefits derived by us from an acquisition might not exceed the dilutive effect of the shares issued as part of the acquisition. Pursuant to the potential plans, our board of directors may grant stock options, RSUs, or other equity awards to our directors and employees. When these awards vest or are exercised, the issuance of shares of common stock underlying these awards will have a dilutive effect on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of our stock ownership may limit individual stockholder ability to influence corporate matters.</w:t>
      </w:r>
    </w:p>
    <w:p>
      <w:pPr>
        <w:spacing w:after="0" w:line="18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As of December 31, 2020, officers and directors of the Company owned 8% of our common stock (13% on a fully diluted basis). In addition, two other significant stockholders of the Company owned 38% of our common stock (35% on a fully diluted basis).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available to emerging growth companies will make our shares of common stock less attractive to investors.</w:t>
      </w:r>
    </w:p>
    <w:p>
      <w:pPr>
        <w:spacing w:after="0" w:line="14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right="120"/>
        <w:spacing w:after="0" w:line="286" w:lineRule="auto"/>
        <w:rPr>
          <w:sz w:val="20"/>
          <w:szCs w:val="20"/>
          <w:color w:val="auto"/>
        </w:rPr>
      </w:pPr>
      <w:r>
        <w:rPr>
          <w:rFonts w:ascii="Arial" w:cs="Arial" w:eastAsia="Arial" w:hAnsi="Arial"/>
          <w:sz w:val="17"/>
          <w:szCs w:val="17"/>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expect that we may need additional capital in the future, we cannot be certain that it will be available to us on acceptable terms when required, or at all. Disruptions in the global equity and credit markets may limit our ability to access capital. Since the Spin-off and through December 31, 2020, we issued an aggregate of 681,000 shares of our common stock in connection with a registered direct offering.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Operations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makes our future results uncertain.</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Since inception, we have incurred operating losses. We need to generate greater revenue from the sale of our products and services if we are to achieve and sustain profitability. If we are unable to generate greater revenue, we may not be able to achieve profitability or continue to generate positive cash flow from operations in the future.</w:t>
      </w:r>
    </w:p>
    <w:p>
      <w:pPr>
        <w:spacing w:after="0" w:line="14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0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 important focus of our business is to identify business partners who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consummate any future acquisitions, we will be subject to the risks inherent in identifying, acquiring and operating a newly acquired business</w:t>
      </w:r>
      <w:r>
        <w:rPr>
          <w:rFonts w:ascii="Arial" w:cs="Arial" w:eastAsia="Arial" w:hAnsi="Arial"/>
          <w:sz w:val="15"/>
          <w:szCs w:val="15"/>
          <w:i w:val="1"/>
          <w:iCs w:val="1"/>
          <w:color w:val="auto"/>
        </w:rPr>
        <w:t>.</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8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disruption of our existing businesses, including the diversion of management attention and the redeployment of resources;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new markets or industries in which we have limited prior experience;</w:t>
      </w:r>
    </w:p>
    <w:p>
      <w:pPr>
        <w:spacing w:after="0" w:line="117" w:lineRule="exact"/>
        <w:rPr>
          <w:rFonts w:ascii="Arial" w:cs="Arial" w:eastAsia="Arial" w:hAnsi="Arial"/>
          <w:sz w:val="18"/>
          <w:szCs w:val="18"/>
          <w:color w:val="auto"/>
        </w:rPr>
      </w:pPr>
    </w:p>
    <w:p>
      <w:pPr>
        <w:ind w:left="380" w:right="24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hidden or fraudulent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7" w:name="page18"/>
    <w:bookmarkEnd w:id="17"/>
    <w:p>
      <w:pPr>
        <w:ind w:left="380" w:right="40" w:hanging="372"/>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difficulties in integrating, aligning and coordinating organizations which will likely be geographically separated and may involve diverse business operations and corporate cultures;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difficulties in integrating and retaining key management, sales, research and development, production and other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key employees, customers or distribution partners of the acquired business;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difficulties in incorporating the acquired business into our organization;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customers, distributors or suppliers;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difficulties in integrating or expanding information technology systems and other business processes to accommodate the acquired business;</w:t>
      </w:r>
    </w:p>
    <w:p>
      <w:pPr>
        <w:spacing w:after="0" w:line="140" w:lineRule="exact"/>
        <w:rPr>
          <w:rFonts w:ascii="Arial" w:cs="Arial" w:eastAsia="Arial" w:hAnsi="Arial"/>
          <w:sz w:val="16"/>
          <w:szCs w:val="16"/>
          <w:color w:val="auto"/>
        </w:rPr>
      </w:pPr>
    </w:p>
    <w:p>
      <w:pPr>
        <w:ind w:left="380" w:right="620" w:hanging="372"/>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future impairments of goodwill and other intangible assets if the acquired business does not perform as expected;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obtain necessary government approvals for the acquisition, if any;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successfully operating the acquired business.</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relationships with key customers may be materially diminished or terminated.</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it could adversely affect our business.</w:t>
      </w:r>
    </w:p>
    <w:p>
      <w:pPr>
        <w:spacing w:after="0" w:line="19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future success depends, in part, on our ability to attract and retain key personnel. Our future also depends on the continued services of Derek Dubner, our Chief Executive Officer and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customers, and therefore our business and revenue, sometimes depend on favorable macroeconomic conditions and are impacted by the availability of credit, the level and volatility of interest rates, inflation, employment levels, consumer confidence and housing demand. In addition, a significant amount of our revenue is concentrated among certain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For example, the banking and financial market downturn that began to affect U.S. businesses in 2008 caused a greater focus on expense reduction by customers of businesses similar to ours. If businesses in these industries experience economic hardship, we cannot assure you that we will be able to generate future revenue growth. These types of disruptions could lead to a decline in the volumes of services we provide our customers and could negatively impact our revenue and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could lose our access to data sources which could prevent us from providing our services.</w:t>
      </w:r>
    </w:p>
    <w:p>
      <w:pPr>
        <w:spacing w:after="0" w:line="19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strategic partners and various government and public record databases. In some cases, we compete with our data providers. Our data providers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adequately protect our intellectual property in order to prevent loss of valuable proprietary information.</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 In addition, others may independently discover trade secrets and proprietary information, and in such cases we could not assert any trade secret rights against such parties.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from both start-up and established companies that may have significant advantages over us and our products.</w:t>
      </w:r>
    </w:p>
    <w:p>
      <w:pPr>
        <w:spacing w:after="0" w:line="20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market for our products and services is intensely competitive. There are numerous companies competing with us in various segments of the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principal competitors in the data and analytics sector include Palantir, RELX Group (LexisNexis), TransUnion, and Thomson Reuters. Current and potential competitors may have one or more of the following significant advantages:</w:t>
      </w:r>
    </w:p>
    <w:p>
      <w:pPr>
        <w:spacing w:after="0" w:line="6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financial, technical and marketing resources;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name recognition;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19" w:name="page20"/>
    <w:bookmarkEnd w:id="19"/>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comprehensive solutions;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better or more extensive cooperative relationships;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customer base.</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further consolidation in our end-customer markets, which may adversely affect our revenue.</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newer products do not achieve market acceptance, revenue growth may suffer.</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products have been in the market 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0" w:name="page21"/>
    <w:bookmarkEnd w:id="20"/>
    <w:p>
      <w:pPr>
        <w:ind w:right="360"/>
        <w:spacing w:after="0" w:line="277" w:lineRule="auto"/>
        <w:rPr>
          <w:sz w:val="20"/>
          <w:szCs w:val="20"/>
          <w:color w:val="auto"/>
        </w:rPr>
      </w:pPr>
      <w:r>
        <w:rPr>
          <w:rFonts w:ascii="Arial" w:cs="Arial" w:eastAsia="Arial" w:hAnsi="Arial"/>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data and analytics sector may limit market acceptance of our products and services.</w:t>
      </w:r>
    </w:p>
    <w:p>
      <w:pPr>
        <w:spacing w:after="0" w:line="18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Further, business combinations are creating companies with larger market shares, customer bases, sales forces, product offerings and technology and marketing expertise, which may make it more difficult for us to compete.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expenses defending the Company against claims of infringement.</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headquarters are located at 2650 North Military Trail, Suite 300, Boca Raton, Florida 33431, where we lease 21,020 rentable square feet of office space in accordance with an 89-month lease agreement as amended and effective in January 2017. Our Seattle office is located at 1111 Third Avenue, Seattle, Washington 98101, where we lease 6,003 rentable square feet of office space in accordance with a 90-month lease agreement entered into in April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21" w:name="page22"/>
    <w:bookmarkEnd w:id="21"/>
    <w:p>
      <w:pPr>
        <w:spacing w:after="0" w:line="279" w:lineRule="auto"/>
        <w:rPr>
          <w:sz w:val="20"/>
          <w:szCs w:val="20"/>
          <w:color w:val="auto"/>
        </w:rPr>
      </w:pPr>
      <w:r>
        <w:rPr>
          <w:rFonts w:ascii="Arial" w:cs="Arial" w:eastAsia="Arial" w:hAnsi="Arial"/>
          <w:sz w:val="17"/>
          <w:szCs w:val="17"/>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common stock is listed on The NASDAQ Capital Market (“NASDAQ”) under the symbol “RDVT,” and began regular-way trading on March 27, 2018. We paid no dividends or made any other distributions in respect of our common stock since March 27, 2018, and we have no plans to pay any dividends or make any other distributions in the future.</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8, 2021, there were 12,200,077 shares of our common stock issued and outstanding. As of March 8, 2021, there were 31 record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You should read the following discussion in conjunction with our consolidated financial statements and related notes included in this Annual Report on Form 10-K (“2020 Form 10-K”). This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Form 10-K. We do not undertake any obligation to update forward-looking statements, except as required by law. We intend that all forward-looking statements be subject to the safe harbor provisions of the PSLRA. These forward-looking statements are only predictions and reflect our views as of the date they are made with respect to future events and financial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15"/>
          <w:szCs w:val="15"/>
          <w:color w:val="auto"/>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wokflow efficiency and enable organizations to make better data-driven decisions.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2020 and 2019, idiCORE had 5,726 and 5,064 billable customers and FOREWARN had 48,377 and 30,577 users, respectively. The Company defines a billable customer of idiCORE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4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73% and 65% of total revenue for the years ended December 31, 2020 and 2019,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4" w:name="page25"/>
    <w:bookmarkEnd w:id="24"/>
    <w:p>
      <w:pPr>
        <w:ind w:right="40"/>
        <w:spacing w:after="0" w:line="290"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3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We have taken numerous steps, and will continue to take further actions as appropriate, to minimize the impact of the Covid-19 pandemic on our business, results of operations and financial performance. To ensure the health and well-being of our employees, beginning in March 2020, we instructed employees at our offices to work from home on a temporary basis. Starting in the second quarter of 2020, we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we experienced reduced transaction volume in the second and third quarters of 2020. Transaction volume returned to pre-Covid levels by the end of the third quarter 2020, except for collection customer volume. Collection customer transaction volume remained below pre-Covid levels during the fourth quarter of 2020, down $0.9 million, primarily attributable to our idiVERIFIED service, which is an ancillary collections market offering that is purely transactional and of a lower margin profile, for the three months ended December 31, 2020, compared to the three months ended March 31, 2020. We expect collection customer transaction volume, including that of our idiVERIFIED service, to return to pre-Covid levels in the second half of 2021. Beginning the second quarter of 2020, we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we provided concessions to a total of 152 customers, representing a $342 thousand reduction in minimum committed spend. During the third quarter of 2020, we provided concessions to a total of 22 customers, representing a $94 thousand reduction in minimum committed spend. During the fourth quarter of 2020, we provided concessions to a total of 7 customers, representing a $32 thousand reduction in minimum committed spend. We continue to take precautionary measures intended to minimize the risk of the Covid-19 pandemic to our employees, our customers, and the communities in which we operate. These measures may result in inefficiencies, delays and additional costs to our business. The Covid-19 pandemic and its impact on us and the economy has significantly limited our ability to forecast our future operating results, including our ability to predict revenue and expense levels, and plan for and model future operating results. We will continue to evaluate the nature and extent of the impact of the COVID-19 pandemic to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5" w:name="page26"/>
    <w:bookmarkEnd w:id="25"/>
    <w:p>
      <w:pPr>
        <w:ind w:right="60"/>
        <w:spacing w:after="0" w:line="269" w:lineRule="auto"/>
        <w:rPr>
          <w:sz w:val="20"/>
          <w:szCs w:val="20"/>
          <w:color w:val="auto"/>
        </w:rPr>
      </w:pPr>
      <w:r>
        <w:rPr>
          <w:rFonts w:ascii="Arial" w:cs="Arial" w:eastAsia="Arial" w:hAnsi="Arial"/>
          <w:sz w:val="17"/>
          <w:szCs w:val="17"/>
          <w:color w:val="auto"/>
        </w:rPr>
        <w:t>To further support our liquidity, beginning April 1, 2020, we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we received funding under a promissory note dated May 5, 2020 evidencing an unsecured non-recourse loan in the principal amount of $2.2 million under the CARES Act (the “Loan”). We submitted an application for forgiveness of the Loan in November 2020. We will continue to assess the CARES Act and other applicable government legislation aimed at assisting businesses during the Covid-19 pandemic. In accordance with best practices and guidance from the Centers for Disease Control and Prevention, we implemented protective safeguards, including daily temperature checks, mandatory wearing of masks, social distancing, plexiglass protective barriers, and an entire office HVAC UV-C system. We began our first phase of employees returning to the Boca Raton, Florida office in June 2020. We will continue to assess the need and timing of additional employees returning to the office. Given the dynamic nature of this health emergency, the full impact of the Covid-19 pandemic on our ongoing business, results of operations and overall financial performance cannot be reasonably estimated at this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 and Uncertainties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affected by the following factors that impact the data and analytics sector in the United States:</w:t>
      </w:r>
    </w:p>
    <w:p>
      <w:pPr>
        <w:spacing w:after="0" w:line="185" w:lineRule="exact"/>
        <w:rPr>
          <w:sz w:val="20"/>
          <w:szCs w:val="20"/>
          <w:color w:val="auto"/>
        </w:rPr>
      </w:pPr>
    </w:p>
    <w:p>
      <w:pPr>
        <w:ind w:left="380" w:right="120" w:hanging="318"/>
        <w:spacing w:after="0" w:line="25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clients serve could reduce the technology and marketing expenditures of our clients and prospective customers.</w:t>
      </w:r>
    </w:p>
    <w:p>
      <w:pPr>
        <w:spacing w:after="0" w:line="147" w:lineRule="exact"/>
        <w:rPr>
          <w:rFonts w:ascii="Arial" w:cs="Arial" w:eastAsia="Arial" w:hAnsi="Arial"/>
          <w:sz w:val="18"/>
          <w:szCs w:val="18"/>
          <w:color w:val="auto"/>
        </w:rPr>
      </w:pPr>
    </w:p>
    <w:p>
      <w:pPr>
        <w:ind w:left="380" w:right="120" w:hanging="318"/>
        <w:spacing w:after="0" w:line="29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revenue is also significantly influenced by industry trends, including the demand for business analytics services in the industries we serve. Companies are increasingly relying on business analytics and related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data and analytic sector more challenging.</w:t>
      </w:r>
    </w:p>
    <w:p>
      <w:pPr>
        <w:spacing w:after="0" w:line="120" w:lineRule="exact"/>
        <w:rPr>
          <w:rFonts w:ascii="Arial" w:cs="Arial" w:eastAsia="Arial" w:hAnsi="Arial"/>
          <w:sz w:val="16"/>
          <w:szCs w:val="16"/>
          <w:color w:val="auto"/>
        </w:rPr>
      </w:pPr>
    </w:p>
    <w:p>
      <w:pPr>
        <w:ind w:left="380" w:right="20" w:hanging="318"/>
        <w:spacing w:after="0" w:line="29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clients’ requirements and our profitability and cash flow targets.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Specific Trends and Uncertainties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also directly affected by company-specific factors, including the following:</w:t>
      </w:r>
    </w:p>
    <w:p>
      <w:pPr>
        <w:spacing w:after="0" w:line="185" w:lineRule="exact"/>
        <w:rPr>
          <w:sz w:val="20"/>
          <w:szCs w:val="20"/>
          <w:color w:val="auto"/>
        </w:rPr>
      </w:pPr>
    </w:p>
    <w:p>
      <w:pPr>
        <w:ind w:left="380" w:right="120" w:hanging="372"/>
        <w:spacing w:after="0" w:line="26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43" w:lineRule="exact"/>
        <w:rPr>
          <w:rFonts w:ascii="Arial" w:cs="Arial" w:eastAsia="Arial" w:hAnsi="Arial"/>
          <w:sz w:val="18"/>
          <w:szCs w:val="18"/>
          <w:color w:val="auto"/>
        </w:rPr>
      </w:pPr>
    </w:p>
    <w:p>
      <w:pPr>
        <w:ind w:left="380" w:hanging="372"/>
        <w:spacing w:after="0" w:line="255"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companies in the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the following critical accounting policies govern our more significant judgments and estimates used in the preparation of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Our performance obligation is to provide on demand solutions to our customers by leveraging our proprietary technology and applying machine learning and advanced analytics to our massive data assets. The pricing for the customer contracts is based on usage, a monthly fee, or a combination of both.</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Our revenue is recorded net of applicable sales taxes billed to customers.</w:t>
      </w:r>
    </w:p>
    <w:p>
      <w:pPr>
        <w:spacing w:after="0" w:line="1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2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 is recognized over a period of time since the performance obligation is delivered in a series. Our customers simultaneously receive and consume the benefits provided by our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Our revenue arrangements do not contain significant financing components.</w:t>
      </w:r>
    </w:p>
    <w:p>
      <w:pPr>
        <w:spacing w:after="0" w:line="13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the years ended December 31, 2020 and 2019, 73% and 65% of total revenue was attributable to customers with pricing contracts, respectively, versus 27% and 35% attributable to transactional customers, respectively. Pricing contracts are generally annual contracts or longer, with auto renewal.</w:t>
      </w:r>
    </w:p>
    <w:p>
      <w:pPr>
        <w:spacing w:after="0" w:line="83"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If a customer pays consideration before we transfer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December 31, 2020 and 2019, the balance of deferred revenue was $0.5 million and $0.1 million, respectively, all of which is expected to be realized in the next 12 months. In relation to the deferred revenue balance as of December 31, 2019, $0.1 million was recognized into revenue during the year ended December 31, 2020.</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2020, $1.3 million of revenue is expected to be recognized in the future for performance obligations that are unsatisfied or partially unsatisfied, related to pricing contracts that have a term of more than 12 months. $1.0 million of revenue will be recognized in 2021, $0.3 million in 2022, $18 thousand in 2023, and $7 thousand in 2024. The actual timing of recognition may vary due to factors outside of our control. We exclude variable consideration related entirely to wholly unsatisfied performance obligations and contracts and recognizes such variable consideration based upon the right to invoice the customer.</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7" w:name="page28"/>
    <w:bookmarkEnd w:id="27"/>
    <w:p>
      <w:pPr>
        <w:jc w:val="both"/>
        <w:ind w:right="300"/>
        <w:spacing w:after="0" w:line="223" w:lineRule="exact"/>
        <w:rPr>
          <w:sz w:val="20"/>
          <w:szCs w:val="20"/>
          <w:color w:val="auto"/>
        </w:rPr>
      </w:pPr>
      <w:r>
        <w:rPr>
          <w:rFonts w:ascii="Arial" w:cs="Arial" w:eastAsia="Arial" w:hAnsi="Arial"/>
          <w:sz w:val="16"/>
          <w:szCs w:val="16"/>
          <w:color w:val="auto"/>
        </w:rPr>
        <w:t>In addition, we elected the practical expedient to not disclose the value of unsatis</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performance obligations for (i) contracts with an original expected length of one year or less and (ii) contracts for which we recognize revenue at the amount to which we have the right to invoice for services performed.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doubtful accounts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$0.04 million as of December 31, 2020 and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As of December 31, 2020 and 2019, we had a valuation allowance of $7.6 million and $5.1 million, respectively. Future changes in such valuation allowance are included in the provision for deferred income taxes in the period of change.</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46"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we capitalize eligible costs, including salaries and staff benefits, share-based compensation,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October 1, 2020 and 2019, we performed qualitative assessments on the reporting unit and, based on this assessment, no events have occurred to indicate that it is more likely than not that the fair value of the reporting unit is less than its carry amount. We concluded that goodwill was not impaired as of December 31, 2020 and 2019.</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 of the reporting unit, including market multiples, discount rates, etc.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there was no impairment as of December 31,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8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 xml:space="preserve">We account for share-based compensation to employees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fair value of restricted stock units (“RSUs”) is determined based on the number of shares granted and the quoted price of our common stock. 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2020, we have deemed the achievement of the performance-based criteria to be probable for all share-based awards with performance-based vesting criteria.</w:t>
      </w:r>
    </w:p>
    <w:p>
      <w:pPr>
        <w:spacing w:after="0" w:line="15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apply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which generally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and supersedes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previously included the accounting for nonemployee awards.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See Item 8 of Part II, “Financial Statements and Supplementary Data – Note 2. Summary of significant accounting policies - </w:t>
      </w:r>
      <w:r>
        <w:rPr>
          <w:rFonts w:ascii="Arial" w:cs="Arial" w:eastAsia="Arial" w:hAnsi="Arial"/>
          <w:sz w:val="18"/>
          <w:szCs w:val="18"/>
          <w:i w:val="1"/>
          <w:iCs w:val="1"/>
          <w:color w:val="auto"/>
        </w:rPr>
        <w:t>(t) Recently issued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2020 as compared to the three months ended December 31, 2019:</w:t>
      </w:r>
    </w:p>
    <w:p>
      <w:pPr>
        <w:spacing w:after="0" w:line="185"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Total revenue decreased 1% to $9.0 million. Platform revenue increased 12% to $8.6 million. Services revenue decreased 74% to $0.4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narrowed 61% to $1.9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increased 49% to $1.2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profit increased 5% to $5.1 million. Gross margin increased to 57% from 54%.</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gross profit increased 11% to $6.3 million. Adjusted gross margin increased to 70% from 62%.</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Generated $1.8 million in cash from operating activities in the fourth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and cash equivalents were $13.0 million as of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98"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revenue increased 14% to $34.6 million. Platform revenue increased 26% to $32.5 million. Services revenue decreased 54% to $2.0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narrowed 38% to $6.8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increased 213% to $5.9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increased 26% to $19.3 million. Gross margin increased to 56% from 51%.</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gross profit increased 29% to $23.3 million. Adjusted gross margin increased to 67% from 60%.</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Generated $6.5 million in cash from operating activities in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expense (income), net, depreciation and amortization, share-based compensation expense, write-off of long-lived assets and others, and sales and use tax expense, as noted in the tables below. We define adjusted gross profit as revenue less cost of revenue (exclusive of depreciation and amortization), and adjusted gross margin as adjusted gross profit as a percentage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29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and use tax expense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4"/>
                <w:szCs w:val="14"/>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360" w:type="dxa"/>
            <w:vAlign w:val="bottom"/>
            <w:tcBorders>
              <w:bottom w:val="single" w:sz="8" w:color="CFF0FC"/>
            </w:tcBorders>
            <w:vMerge w:val="continue"/>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Cost of revenue (exclusive of depreciation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00"/>
              <w:spacing w:after="0"/>
              <w:rPr>
                <w:sz w:val="20"/>
                <w:szCs w:val="20"/>
                <w:color w:val="auto"/>
              </w:rPr>
            </w:pPr>
            <w:r>
              <w:rPr>
                <w:rFonts w:ascii="Arial" w:cs="Arial" w:eastAsia="Arial" w:hAnsi="Arial"/>
                <w:sz w:val="18"/>
                <w:szCs w:val="18"/>
                <w:color w:val="auto"/>
              </w:rPr>
              <w:t>and amortization)</w:t>
            </w:r>
          </w:p>
        </w:tc>
        <w:tc>
          <w:tcPr>
            <w:tcW w:w="3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3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(11,276)</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(777)</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(3,990)</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19,320</w:t>
            </w: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w:t>
            </w:r>
          </w:p>
        </w:tc>
        <w:tc>
          <w:tcPr>
            <w:tcW w:w="3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23,310</w:t>
            </w:r>
          </w:p>
        </w:tc>
        <w:tc>
          <w:tcPr>
            <w:tcW w:w="3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18,029</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8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$4.3 million or 14% to $34.6 million for the year ended December 31, 2020 from $30.3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2019. This increase was driven by strong growth in usage from existing customers, with base revenue from existing customers increasing $3.8 million or 19% and growth revenue from existing customers increasing $1.9 million or 40%. This growth was partially offset by a decrease in revenue from new customers of $1.4 million or 26%, as a result of Covid-19 related factors. During the second and third quarters of 2020, we experienced reduced transaction volume as a result of government mandated stay-at-home orders and certain moratoria on our customer’s business activities as a result of Covid-19. During this time, we continued to take a proactive customer 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As government mandated stay-at-home orders were lifted and our customers adapted and became more efficient transacting in the Covid-19 environment, our transaction volume returned to pre-Covid levels by the end of the third quarter with the exception of collection customer volume. As a result of certain government mandated collections moratoria remaining in place during the period, collection customer volume was down $1.6 million for the year ended December 31, 2020. This was primarily attributable to our idiVERIFIED service, which is an ancillary collections market offering that is purely transactional and of a lower margin profile. Our idiCORE billable customer base grew from 5,064 customers as of December 31, 2019 to 5,726 customers as of December 31, 2020. Our FOREWARN user base grew from 30,577 users as of December 31, 2019 to 48,377 users as of December 31, 2020.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3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decreased $1.0 million or 8% to $11.3 million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$12.3 million for the year ended December 31, 2019.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46% of our total data acquisition costs for the year ended December 31, 2020 compared to 40% for the year ended December 31, 2019. Other cost of revenue items include expenses related to third-party infrastructure fees.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33% for the year ended December 31, 2020 from 40% for the year ended December 31, 2019.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i w:val="1"/>
          <w:iCs w:val="1"/>
          <w:color w:val="auto"/>
        </w:rPr>
        <w:t>Sales and marketing expenses</w:t>
      </w:r>
      <w:r>
        <w:rPr>
          <w:rFonts w:ascii="Arial" w:cs="Arial" w:eastAsia="Arial" w:hAnsi="Arial"/>
          <w:sz w:val="16"/>
          <w:szCs w:val="16"/>
          <w:color w:val="auto"/>
        </w:rPr>
        <w:t>. Sales and marketing expenses increased $0.6 million or 8% to $8.1 million for the year ended December 31,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$7.5 million for the year ended December 31, 2019. Sales and marketing expenses consist of salaries and benefits, advertising and marketing, travel expenses, and share-based compensation expense, incurred by our sales team, and provision for bad debts. The increase during the year ended December 31, 2020 was primarily attributable to the $0.6 million increase in salaries and benefits and sales commissions from increased revenue.</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color w:val="auto"/>
        </w:rPr>
        <w:t>. General and administrative expenses decreased $1.0 million or 5% to $17.8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from $18.8 million for the year ended December 31, 2019. The decrease during the year ended December 31, 2020 was primarily attributable to the $2.0 million decrease in share-based compensation expense, which was partially offset by the increase in employee salaries and benefits of $0.6 million.</w:t>
      </w:r>
    </w:p>
    <w:p>
      <w:pPr>
        <w:spacing w:after="0" w:line="12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years ended December 31, 2020 and 2019, our general and administrative expenses consisted primarily of employee salaries and benefits of $5.3 million and $4.7 million, share-based compensation expense of $7.5 million and $9.5 million, and professional fees of $2.8 million and $2.6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2" w:name="page33"/>
    <w:bookmarkEnd w:id="32"/>
    <w:p>
      <w:pPr>
        <w:ind w:right="20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$1.3 million or 46% to $4.2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from $2.9 million for the year ended December 31, 2019. The increase in depreciation and amortization for the year ended December 31, 2020 resulted primarily from the amortization of software developed for internal use that became ready for its intended use after December 31, 2019.</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Loss before income taxes</w:t>
      </w:r>
      <w:r>
        <w:rPr>
          <w:rFonts w:ascii="Arial" w:cs="Arial" w:eastAsia="Arial" w:hAnsi="Arial"/>
          <w:sz w:val="17"/>
          <w:szCs w:val="17"/>
          <w:color w:val="auto"/>
        </w:rPr>
        <w:t>. We had a loss before income taxes of $6.8 million for the year ended December 31, 2020 as compared to $11.1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2019. The decrease in loss before income taxes was primarily attributable to the increase in revenue of $4.3 million, the decrease in our cost of revenue of $1.0 million and share-based compensation expense of $1.8 million, which was partially offset by the increase in depreciation and amortization of $1.3 million, and salaries and benefits and sales commission of $1.2 million.</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years ended December 31, 2020 and 2019.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December 31, 2020 and 2019. See Note 8, “Income Taxes,” included in “Notes to Consolidated Financial Statements,” for details.</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$6.8 million was recognized for the year ended December 31, 2020 as compared to $11.1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as a result of the foregoing.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Cash flows provided by operating activities</w:t>
      </w:r>
      <w:r>
        <w:rPr>
          <w:rFonts w:ascii="Arial" w:cs="Arial" w:eastAsia="Arial" w:hAnsi="Arial"/>
          <w:sz w:val="18"/>
          <w:szCs w:val="18"/>
          <w:color w:val="auto"/>
        </w:rPr>
        <w:t>. For the year ended December 31, 2020, net cash provided by operating activities was $6.5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the net loss of $6.8 million, adjusted for certain non-cash items (consisting of share-based compensation expense, depreciation and amortization, write-off of long-lived assets, provision for bad debts, and noncash lease expenses) totaling $13.5 million, and the cash used as a result of changes in assets and liabilities of $0.2 million, primarily the result of the decrease in accrued expenses and other current liabilities and operating lease liabilities. For the year ended December 31, 2019, net cash provided by operating activities was $1.6 million, primarily the result of the net loss of $11.1 million, adjusted for certain non-cash items, as mentioned above, totaling $13.8 million, and the cash used as a result of changes in assets and liabilities of $1.1 million, primarily the result of the increase in accounts receivable following the increase in revenue, partially offset by the increase in accrued expenses and other current assets.</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Net cash used in investing activities for the years ended December 31, 2020 and 2019 was $5.7 million and $6.0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primarily as a result of capitalized costs included in intangible assets of $5.5 million and $5.9 million for the years ended December 31, 2020 and 2019, respectively.</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Cash flows provided by financing activities</w:t>
      </w:r>
      <w:r>
        <w:rPr>
          <w:rFonts w:ascii="Arial" w:cs="Arial" w:eastAsia="Arial" w:hAnsi="Arial"/>
          <w:sz w:val="18"/>
          <w:szCs w:val="18"/>
          <w:color w:val="auto"/>
        </w:rPr>
        <w:t>. For the year ended December 31, 2020, net cash provided by financing activities was $0.3 million. On May 5,</w:t>
      </w:r>
      <w:r>
        <w:rPr>
          <w:rFonts w:ascii="Arial" w:cs="Arial" w:eastAsia="Arial" w:hAnsi="Arial"/>
          <w:sz w:val="18"/>
          <w:szCs w:val="18"/>
          <w:i w:val="1"/>
          <w:iCs w:val="1"/>
          <w:color w:val="auto"/>
        </w:rPr>
        <w:t xml:space="preserve"> </w:t>
      </w:r>
      <w:r>
        <w:rPr>
          <w:rFonts w:ascii="Arial" w:cs="Arial" w:eastAsia="Arial" w:hAnsi="Arial"/>
          <w:sz w:val="18"/>
          <w:szCs w:val="18"/>
          <w:color w:val="auto"/>
        </w:rPr>
        <w:t>2020, we received funding under a promissory note dated May 5, 2020 evidencing the Loan in the principal amount of $2.2 million under the CARES Act. The Loan has a two-year term and matures on May 5, 2022. The interest rate on the Loan is 1.0% per annum. Payments can be deferred until loan forgiveness is determined, or if we do not apply for forgiveness, then 10 months after the covered period ends. We applied for forgiveness of the Loan in November 2020. In addition, we paid taxes of $1.8 million related to the net share settlement of vesting of restricted stock units during the year ended December 31, 2020. Net cash provided by financing activities for the year ended December 31, 2019 was $6.2 million as a result of $7.4 million raised through a registered direct offering in August 2019, which was partially offset by the taxes paid related to net share settlement of vesting of restricted stock units of $1.3 million.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2020, we had material commitments under certain data licensing agreements of $10.9 million. We anticipate funding our operations using available cash and cash flow generated from operations within the next twelve months.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reported net loss of $6.8 million and $11.1 million for the years ended December 31, 2020 and 2019, respectively. As of December 31, 2020, we had a total shareholders’ equity balance of $43.3 million.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2020, we had cash and cash equivalents of $13.0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3" w:right="399" w:bottom="1440" w:gutter="0" w:footer="0" w:header="0"/>
        </w:sectPr>
      </w:pPr>
    </w:p>
    <w:bookmarkStart w:id="33" w:name="page34"/>
    <w:bookmarkEnd w:id="33"/>
    <w:p>
      <w:pPr>
        <w:ind w:right="200"/>
        <w:spacing w:after="0" w:line="259"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This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Many factors could cause our actual activities or results to differ materially from the activities and results anticipated in forward-looking statements. These factors include the following:</w:t>
      </w:r>
    </w:p>
    <w:p>
      <w:pPr>
        <w:spacing w:after="0" w:line="130" w:lineRule="exact"/>
        <w:rPr>
          <w:sz w:val="20"/>
          <w:szCs w:val="20"/>
          <w:color w:val="auto"/>
        </w:rPr>
      </w:pPr>
    </w:p>
    <w:p>
      <w:pPr>
        <w:ind w:left="560" w:right="500" w:hanging="498"/>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ongoing and developing Covid-19 pandemic and the global attempt to contain it may adversely impact our business, our future results of operations and our overall financial performance.</w:t>
      </w:r>
    </w:p>
    <w:p>
      <w:pPr>
        <w:spacing w:after="0" w:line="129" w:lineRule="exact"/>
        <w:rPr>
          <w:rFonts w:ascii="Arial" w:cs="Arial" w:eastAsia="Arial" w:hAnsi="Arial"/>
          <w:sz w:val="18"/>
          <w:szCs w:val="18"/>
          <w:color w:val="auto"/>
        </w:rPr>
      </w:pPr>
    </w:p>
    <w:p>
      <w:pPr>
        <w:ind w:left="560" w:right="160" w:hanging="498"/>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29" w:lineRule="exact"/>
        <w:rPr>
          <w:rFonts w:ascii="Arial" w:cs="Arial" w:eastAsia="Arial" w:hAnsi="Arial"/>
          <w:sz w:val="18"/>
          <w:szCs w:val="18"/>
          <w:color w:val="auto"/>
        </w:rPr>
      </w:pPr>
    </w:p>
    <w:p>
      <w:pPr>
        <w:ind w:left="560" w:hanging="498"/>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respond to rapid technological changes in the data and analytics sector, we may lose customers and/or our products and/or services may become obsolete.</w:t>
      </w:r>
    </w:p>
    <w:p>
      <w:pPr>
        <w:spacing w:after="0" w:line="129" w:lineRule="exact"/>
        <w:rPr>
          <w:rFonts w:ascii="Arial" w:cs="Arial" w:eastAsia="Arial" w:hAnsi="Arial"/>
          <w:sz w:val="18"/>
          <w:szCs w:val="18"/>
          <w:color w:val="auto"/>
        </w:rPr>
      </w:pPr>
    </w:p>
    <w:p>
      <w:pPr>
        <w:ind w:left="560" w:right="80" w:hanging="498"/>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143" w:lineRule="exact"/>
        <w:rPr>
          <w:rFonts w:ascii="Arial" w:cs="Arial" w:eastAsia="Arial" w:hAnsi="Arial"/>
          <w:sz w:val="18"/>
          <w:szCs w:val="18"/>
          <w:color w:val="auto"/>
        </w:rPr>
      </w:pPr>
    </w:p>
    <w:p>
      <w:pPr>
        <w:ind w:left="560" w:right="40" w:hanging="498"/>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43" w:lineRule="exact"/>
        <w:rPr>
          <w:rFonts w:ascii="Arial" w:cs="Arial" w:eastAsia="Arial" w:hAnsi="Arial"/>
          <w:sz w:val="18"/>
          <w:szCs w:val="18"/>
          <w:color w:val="auto"/>
        </w:rPr>
      </w:pPr>
    </w:p>
    <w:p>
      <w:pPr>
        <w:ind w:left="560" w:right="100" w:hanging="498"/>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maintain and improve our systems, our technology, and our interfaces with data sources and customers, demand for our services could be adversely affected.</w:t>
      </w:r>
    </w:p>
    <w:p>
      <w:pPr>
        <w:spacing w:after="0" w:line="129" w:lineRule="exact"/>
        <w:rPr>
          <w:rFonts w:ascii="Arial" w:cs="Arial" w:eastAsia="Arial" w:hAnsi="Arial"/>
          <w:sz w:val="18"/>
          <w:szCs w:val="18"/>
          <w:color w:val="auto"/>
        </w:rPr>
      </w:pPr>
    </w:p>
    <w:p>
      <w:pPr>
        <w:jc w:val="both"/>
        <w:ind w:left="560" w:right="80" w:hanging="498"/>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43" w:lineRule="exact"/>
        <w:rPr>
          <w:rFonts w:ascii="Arial" w:cs="Arial" w:eastAsia="Arial" w:hAnsi="Arial"/>
          <w:sz w:val="18"/>
          <w:szCs w:val="18"/>
          <w:color w:val="auto"/>
        </w:rPr>
      </w:pPr>
    </w:p>
    <w:p>
      <w:pPr>
        <w:jc w:val="both"/>
        <w:ind w:left="560" w:right="200" w:hanging="498"/>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34" w:name="page35"/>
    <w:bookmarkEnd w:id="34"/>
    <w:p>
      <w:pPr>
        <w:ind w:left="500" w:right="220" w:hanging="498"/>
        <w:spacing w:after="0" w:line="31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08" w:lineRule="exact"/>
        <w:rPr>
          <w:rFonts w:ascii="Arial" w:cs="Arial" w:eastAsia="Arial" w:hAnsi="Arial"/>
          <w:sz w:val="16"/>
          <w:szCs w:val="16"/>
          <w:color w:val="auto"/>
        </w:rPr>
      </w:pPr>
    </w:p>
    <w:p>
      <w:pPr>
        <w:ind w:left="500" w:hanging="498"/>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CARES Act Loan may be subject to regulatory review resulting from unclear subjective and objective eligibility requirements for the loan.</w:t>
      </w:r>
    </w:p>
    <w:p>
      <w:pPr>
        <w:spacing w:after="0" w:line="196" w:lineRule="exact"/>
        <w:rPr>
          <w:rFonts w:ascii="Arial" w:cs="Arial" w:eastAsia="Arial" w:hAnsi="Arial"/>
          <w:sz w:val="17"/>
          <w:szCs w:val="17"/>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and the value of an investment in our common stock may decline.</w:t>
      </w:r>
    </w:p>
    <w:p>
      <w:pPr>
        <w:spacing w:after="0" w:line="184" w:lineRule="exact"/>
        <w:rPr>
          <w:rFonts w:ascii="Arial" w:cs="Arial" w:eastAsia="Arial" w:hAnsi="Arial"/>
          <w:sz w:val="18"/>
          <w:szCs w:val="18"/>
          <w:color w:val="auto"/>
        </w:rPr>
      </w:pPr>
    </w:p>
    <w:p>
      <w:pPr>
        <w:ind w:left="500" w:right="10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issuances of shares of our common stock in connection with acquisitions or pursuant to our stock incentive plan could have a dilutive effect on your investment.</w:t>
      </w:r>
    </w:p>
    <w:p>
      <w:pPr>
        <w:spacing w:after="0" w:line="129"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concentration of our stock ownership may limit individual stockholder ability to influence corporate matters.</w:t>
      </w:r>
    </w:p>
    <w:p>
      <w:pPr>
        <w:spacing w:after="0" w:line="184" w:lineRule="exact"/>
        <w:rPr>
          <w:rFonts w:ascii="Arial" w:cs="Arial" w:eastAsia="Arial" w:hAnsi="Arial"/>
          <w:sz w:val="18"/>
          <w:szCs w:val="18"/>
          <w:color w:val="auto"/>
        </w:rPr>
      </w:pPr>
    </w:p>
    <w:p>
      <w:pPr>
        <w:ind w:left="500" w:right="24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an “emerging growth company,” and we cannot be certain if the reduced reporting requirements available to emerging growth companies will make our shares of common stock less attractive to investors.</w:t>
      </w:r>
    </w:p>
    <w:p>
      <w:pPr>
        <w:spacing w:after="0" w:line="129" w:lineRule="exact"/>
        <w:rPr>
          <w:rFonts w:ascii="Arial" w:cs="Arial" w:eastAsia="Arial" w:hAnsi="Arial"/>
          <w:sz w:val="18"/>
          <w:szCs w:val="18"/>
          <w:color w:val="auto"/>
        </w:rPr>
      </w:pPr>
    </w:p>
    <w:p>
      <w:pPr>
        <w:ind w:left="500" w:right="40" w:hanging="498"/>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43"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history of losses which makes our future results uncertain.</w:t>
      </w:r>
    </w:p>
    <w:p>
      <w:pPr>
        <w:spacing w:after="0" w:line="184" w:lineRule="exact"/>
        <w:rPr>
          <w:rFonts w:ascii="Arial" w:cs="Arial" w:eastAsia="Arial" w:hAnsi="Arial"/>
          <w:sz w:val="18"/>
          <w:szCs w:val="18"/>
          <w:color w:val="auto"/>
        </w:rPr>
      </w:pPr>
    </w:p>
    <w:p>
      <w:pPr>
        <w:ind w:left="500" w:right="14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29"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consummate any future acquisitions, we will be subject to the risks inherent in identifying, acquiring and operating a newly acquired business.</w:t>
      </w:r>
    </w:p>
    <w:p>
      <w:pPr>
        <w:spacing w:after="0" w:line="207" w:lineRule="exact"/>
        <w:rPr>
          <w:rFonts w:ascii="Arial" w:cs="Arial" w:eastAsia="Arial" w:hAnsi="Arial"/>
          <w:sz w:val="16"/>
          <w:szCs w:val="16"/>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relationships with key customers may be materially diminished or terminated.</w:t>
      </w:r>
    </w:p>
    <w:p>
      <w:pPr>
        <w:spacing w:after="0" w:line="184"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lose the services of key personnel, it could adversely affect our business.</w:t>
      </w:r>
    </w:p>
    <w:p>
      <w:pPr>
        <w:spacing w:after="0" w:line="184" w:lineRule="exact"/>
        <w:rPr>
          <w:rFonts w:ascii="Arial" w:cs="Arial" w:eastAsia="Arial" w:hAnsi="Arial"/>
          <w:sz w:val="18"/>
          <w:szCs w:val="18"/>
          <w:color w:val="auto"/>
        </w:rPr>
      </w:pPr>
    </w:p>
    <w:p>
      <w:pPr>
        <w:ind w:left="500" w:right="80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29"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lose our access to data sources which could prevent us from providing our services.</w:t>
      </w:r>
    </w:p>
    <w:p>
      <w:pPr>
        <w:spacing w:after="0" w:line="184"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adequately protect our intellectual property in order to prevent loss of valuable proprietary information.</w:t>
      </w:r>
    </w:p>
    <w:p>
      <w:pPr>
        <w:spacing w:after="0" w:line="184"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face intense competition from both start-up and established companies that may have significant advantages over us and our products.</w:t>
      </w:r>
    </w:p>
    <w:p>
      <w:pPr>
        <w:spacing w:after="0" w:line="196" w:lineRule="exact"/>
        <w:rPr>
          <w:rFonts w:ascii="Arial" w:cs="Arial" w:eastAsia="Arial" w:hAnsi="Arial"/>
          <w:sz w:val="17"/>
          <w:szCs w:val="17"/>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further consolidation in our end-customer markets, which may adversely affect our revenue.</w:t>
      </w:r>
    </w:p>
    <w:p>
      <w:pPr>
        <w:spacing w:after="0" w:line="184" w:lineRule="exact"/>
        <w:rPr>
          <w:rFonts w:ascii="Arial" w:cs="Arial" w:eastAsia="Arial" w:hAnsi="Arial"/>
          <w:sz w:val="18"/>
          <w:szCs w:val="18"/>
          <w:color w:val="auto"/>
        </w:rPr>
      </w:pPr>
    </w:p>
    <w:p>
      <w:pPr>
        <w:ind w:left="500" w:right="4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the availability of free or relatively inexpensive consumer and/or business information increases, the demand for some of our services may decrease.</w:t>
      </w:r>
    </w:p>
    <w:p>
      <w:pPr>
        <w:spacing w:after="0" w:line="129" w:lineRule="exact"/>
        <w:rPr>
          <w:rFonts w:ascii="Arial" w:cs="Arial" w:eastAsia="Arial" w:hAnsi="Arial"/>
          <w:sz w:val="18"/>
          <w:szCs w:val="18"/>
          <w:color w:val="auto"/>
        </w:rPr>
      </w:pPr>
    </w:p>
    <w:p>
      <w:pPr>
        <w:ind w:left="500" w:hanging="49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newer products do not achieve market acceptance, revenue growth may suffer.</w:t>
      </w:r>
    </w:p>
    <w:p>
      <w:pPr>
        <w:spacing w:after="0" w:line="184" w:lineRule="exact"/>
        <w:rPr>
          <w:rFonts w:ascii="Arial" w:cs="Arial" w:eastAsia="Arial" w:hAnsi="Arial"/>
          <w:sz w:val="18"/>
          <w:szCs w:val="18"/>
          <w:color w:val="auto"/>
        </w:rPr>
      </w:pPr>
    </w:p>
    <w:p>
      <w:pPr>
        <w:ind w:left="500" w:right="8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services can have long sales and implementation cycles, which may result in substantial expenses before realizing any associated revenue.</w:t>
      </w:r>
    </w:p>
    <w:p>
      <w:pPr>
        <w:spacing w:after="0" w:line="129" w:lineRule="exact"/>
        <w:rPr>
          <w:rFonts w:ascii="Arial" w:cs="Arial" w:eastAsia="Arial" w:hAnsi="Arial"/>
          <w:sz w:val="18"/>
          <w:szCs w:val="18"/>
          <w:color w:val="auto"/>
        </w:rPr>
      </w:pPr>
    </w:p>
    <w:p>
      <w:pPr>
        <w:ind w:left="500" w:right="100" w:hanging="49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outside service providers and key vendors are not able to or do not fulfill their service obligations, our operations could be disrupted and our operating results could be harmed.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220345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733" w:right="359" w:bottom="1440" w:gutter="0" w:footer="0" w:header="0"/>
        </w:sectPr>
      </w:pPr>
    </w:p>
    <w:bookmarkStart w:id="35" w:name="page36"/>
    <w:bookmarkEnd w:id="35"/>
    <w:p>
      <w:pPr>
        <w:ind w:left="560" w:hanging="498"/>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in the data and analytics sector may limit market acceptance of our products and services.</w:t>
      </w:r>
    </w:p>
    <w:p>
      <w:pPr>
        <w:spacing w:after="0" w:line="184" w:lineRule="exact"/>
        <w:rPr>
          <w:rFonts w:ascii="Arial" w:cs="Arial" w:eastAsia="Arial" w:hAnsi="Arial"/>
          <w:sz w:val="18"/>
          <w:szCs w:val="18"/>
          <w:color w:val="auto"/>
        </w:rPr>
      </w:pPr>
    </w:p>
    <w:p>
      <w:pPr>
        <w:ind w:left="560" w:hanging="498"/>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incur substantial expenses defending against claims of infringement.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2020.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(COSO) of the Treadway Commission in Internal Control-Integrated Framework (2013).</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Management concluded that the Company’s internal control over financial reporting (as defined in Rules 13a-15(f) and 15d-15(f) of the Exchange Act) was effective as of December 31, 2020, based on criteria in Internal Control-Integrated Framework (2013) issued by the COSO.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last fiscal quarter of 2020 that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7" w:name="page38"/>
    <w:bookmarkEnd w:id="37"/>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to be filed with the SEC within 120 days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to be filed with the SEC within 120 days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to be filed with the SEC within 120 days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to be filed with the SEC within 120 days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to be filed with the SEC within 120 days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77" w:right="6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9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Statements: The information required by this item is contained in Item 8 of this Form 10-K.</w:t>
      </w:r>
    </w:p>
    <w:p>
      <w:pPr>
        <w:spacing w:after="0" w:line="184" w:lineRule="exact"/>
        <w:rPr>
          <w:rFonts w:ascii="Arial" w:cs="Arial" w:eastAsia="Arial" w:hAnsi="Arial"/>
          <w:sz w:val="18"/>
          <w:szCs w:val="18"/>
          <w:color w:val="auto"/>
        </w:rPr>
      </w:pPr>
    </w:p>
    <w:p>
      <w:pPr>
        <w:ind w:right="38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Schedules: The information required by this item is included in the consolidated financial statements contained in Item 8 of this Form 10-K.</w:t>
      </w:r>
    </w:p>
    <w:p>
      <w:pPr>
        <w:spacing w:after="0" w:line="129"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The following exhibits are filed as part of, or incorporated by reference into, this Form 10-K.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Incorporated by Reference</w:t>
            </w:r>
          </w:p>
        </w:tc>
        <w:tc>
          <w:tcPr>
            <w:tcW w:w="1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Filed</w:t>
            </w:r>
          </w:p>
        </w:tc>
        <w:tc>
          <w:tcPr>
            <w:tcW w:w="0" w:type="dxa"/>
            <w:vAlign w:val="bottom"/>
          </w:tcPr>
          <w:p>
            <w:pPr>
              <w:spacing w:after="0"/>
              <w:rPr>
                <w:sz w:val="1"/>
                <w:szCs w:val="1"/>
                <w:color w:val="auto"/>
              </w:rPr>
            </w:pPr>
          </w:p>
        </w:tc>
      </w:tr>
      <w:tr>
        <w:trPr>
          <w:trHeight w:val="142"/>
        </w:trPr>
        <w:tc>
          <w:tcPr>
            <w:tcW w:w="9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Exhibit No.</w:t>
            </w:r>
          </w:p>
        </w:tc>
        <w:tc>
          <w:tcPr>
            <w:tcW w:w="4860" w:type="dxa"/>
            <w:vAlign w:val="bottom"/>
            <w:gridSpan w:val="32"/>
          </w:tcPr>
          <w:p>
            <w:pPr>
              <w:spacing w:after="0" w:line="142" w:lineRule="exact"/>
              <w:rPr>
                <w:sz w:val="20"/>
                <w:szCs w:val="20"/>
                <w:color w:val="auto"/>
              </w:rPr>
            </w:pPr>
            <w:r>
              <w:rPr>
                <w:rFonts w:ascii="Arial" w:cs="Arial" w:eastAsia="Arial" w:hAnsi="Arial"/>
                <w:sz w:val="13"/>
                <w:szCs w:val="13"/>
                <w:b w:val="1"/>
                <w:bCs w:val="1"/>
                <w:color w:val="auto"/>
              </w:rPr>
              <w:t>Exhibit Description</w:t>
            </w:r>
          </w:p>
        </w:tc>
        <w:tc>
          <w:tcPr>
            <w:tcW w:w="11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Form</w:t>
            </w:r>
          </w:p>
        </w:tc>
        <w:tc>
          <w:tcPr>
            <w:tcW w:w="1020" w:type="dxa"/>
            <w:vAlign w:val="bottom"/>
          </w:tcPr>
          <w:p>
            <w:pPr>
              <w:spacing w:after="0" w:line="142" w:lineRule="exact"/>
              <w:rPr>
                <w:sz w:val="20"/>
                <w:szCs w:val="20"/>
                <w:color w:val="auto"/>
              </w:rPr>
            </w:pPr>
            <w:r>
              <w:rPr>
                <w:rFonts w:ascii="Arial" w:cs="Arial" w:eastAsia="Arial" w:hAnsi="Arial"/>
                <w:sz w:val="13"/>
                <w:szCs w:val="13"/>
                <w:b w:val="1"/>
                <w:bCs w:val="1"/>
                <w:color w:val="auto"/>
              </w:rPr>
              <w:t>File No.</w:t>
            </w:r>
          </w:p>
        </w:tc>
        <w:tc>
          <w:tcPr>
            <w:tcW w:w="1220" w:type="dxa"/>
            <w:vAlign w:val="bottom"/>
            <w:gridSpan w:val="3"/>
          </w:tcPr>
          <w:p>
            <w:pPr>
              <w:ind w:left="100"/>
              <w:spacing w:after="0" w:line="142" w:lineRule="exact"/>
              <w:rPr>
                <w:sz w:val="20"/>
                <w:szCs w:val="20"/>
                <w:color w:val="auto"/>
              </w:rPr>
            </w:pPr>
            <w:r>
              <w:rPr>
                <w:rFonts w:ascii="Arial" w:cs="Arial" w:eastAsia="Arial" w:hAnsi="Arial"/>
                <w:sz w:val="13"/>
                <w:szCs w:val="13"/>
                <w:b w:val="1"/>
                <w:bCs w:val="1"/>
                <w:color w:val="auto"/>
              </w:rPr>
              <w:t>Exhibit</w:t>
            </w:r>
          </w:p>
        </w:tc>
        <w:tc>
          <w:tcPr>
            <w:tcW w:w="1300" w:type="dxa"/>
            <w:vAlign w:val="bottom"/>
          </w:tcPr>
          <w:p>
            <w:pPr>
              <w:spacing w:after="0" w:line="142" w:lineRule="exact"/>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4760" w:type="dxa"/>
            <w:vAlign w:val="bottom"/>
            <w:tcBorders>
              <w:top w:val="single" w:sz="8" w:color="auto"/>
            </w:tcBorders>
            <w:gridSpan w:val="31"/>
          </w:tcPr>
          <w:p>
            <w:pPr>
              <w:spacing w:after="0" w:line="142" w:lineRule="exact"/>
              <w:rPr>
                <w:rFonts w:ascii="Arial" w:cs="Arial" w:eastAsia="Arial" w:hAnsi="Arial"/>
                <w:sz w:val="14"/>
                <w:szCs w:val="14"/>
                <w:color w:val="0000EE"/>
                <w:w w:val="99"/>
              </w:rPr>
            </w:pPr>
            <w:hyperlink r:id="rId55">
              <w:r>
                <w:rPr>
                  <w:rFonts w:ascii="Arial" w:cs="Arial" w:eastAsia="Arial" w:hAnsi="Arial"/>
                  <w:sz w:val="14"/>
                  <w:szCs w:val="14"/>
                  <w:color w:val="0000EE"/>
                  <w:w w:val="99"/>
                </w:rPr>
                <w:t>Separation and Distribution Agreement by and between Cogint, Inc. and Red</w:t>
              </w:r>
            </w:hyperlink>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Form 10</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001-38407</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February 28, 2018</w:t>
            </w: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444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55">
              <w:r>
                <w:rPr>
                  <w:rFonts w:ascii="Arial" w:cs="Arial" w:eastAsia="Arial" w:hAnsi="Arial"/>
                  <w:sz w:val="14"/>
                  <w:szCs w:val="14"/>
                  <w:color w:val="0000EE"/>
                </w:rPr>
                <w:t>Violet, Inc., dated February 27,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top w:val="single" w:sz="8" w:color="0000EE"/>
            </w:tcBorders>
            <w:gridSpan w:val="11"/>
          </w:tcPr>
          <w:p>
            <w:pPr>
              <w:spacing w:after="0" w:line="151" w:lineRule="exact"/>
              <w:rPr>
                <w:rFonts w:ascii="Arial" w:cs="Arial" w:eastAsia="Arial" w:hAnsi="Arial"/>
                <w:sz w:val="14"/>
                <w:szCs w:val="14"/>
                <w:u w:val="single" w:color="auto"/>
                <w:color w:val="0000EE"/>
                <w:w w:val="93"/>
              </w:rPr>
            </w:pPr>
            <w:hyperlink r:id="rId56">
              <w:r>
                <w:rPr>
                  <w:rFonts w:ascii="Arial" w:cs="Arial" w:eastAsia="Arial" w:hAnsi="Arial"/>
                  <w:sz w:val="14"/>
                  <w:szCs w:val="14"/>
                  <w:u w:val="single" w:color="auto"/>
                  <w:color w:val="0000EE"/>
                  <w:w w:val="93"/>
                </w:rPr>
                <w:t>Amended and Restated Certificate of</w:t>
              </w:r>
            </w:hyperlink>
          </w:p>
        </w:tc>
        <w:tc>
          <w:tcPr>
            <w:tcW w:w="2700" w:type="dxa"/>
            <w:vAlign w:val="bottom"/>
            <w:gridSpan w:val="21"/>
          </w:tcPr>
          <w:p>
            <w:pPr>
              <w:spacing w:after="0" w:line="151" w:lineRule="exact"/>
              <w:rPr>
                <w:rFonts w:ascii="Arial" w:cs="Arial" w:eastAsia="Arial" w:hAnsi="Arial"/>
                <w:sz w:val="14"/>
                <w:szCs w:val="14"/>
                <w:color w:val="0000EE"/>
              </w:rPr>
            </w:pPr>
            <w:hyperlink r:id="rId56">
              <w:r>
                <w:rPr>
                  <w:rFonts w:ascii="Arial" w:cs="Arial" w:eastAsia="Arial" w:hAnsi="Arial"/>
                  <w:sz w:val="14"/>
                  <w:szCs w:val="14"/>
                  <w:u w:val="single" w:color="auto"/>
                  <w:color w:val="0000EE"/>
                </w:rPr>
                <w:t>Incorporation of Red Violet, Inc</w:t>
              </w:r>
            </w:hyperlink>
            <w:r>
              <w:rPr>
                <w:rFonts w:ascii="Arial" w:cs="Arial" w:eastAsia="Arial" w:hAnsi="Arial"/>
                <w:sz w:val="14"/>
                <w:szCs w:val="14"/>
                <w:color w:val="000000"/>
              </w:rPr>
              <w:t>.</w:t>
            </w:r>
          </w:p>
        </w:tc>
        <w:tc>
          <w:tcPr>
            <w:tcW w:w="11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4860" w:type="dxa"/>
            <w:vAlign w:val="bottom"/>
            <w:gridSpan w:val="32"/>
          </w:tcPr>
          <w:p>
            <w:pPr>
              <w:spacing w:after="0"/>
              <w:rPr>
                <w:rFonts w:ascii="Arial" w:cs="Arial" w:eastAsia="Arial" w:hAnsi="Arial"/>
                <w:sz w:val="14"/>
                <w:szCs w:val="14"/>
                <w:color w:val="0000EE"/>
              </w:rPr>
            </w:pPr>
            <w:hyperlink r:id="rId57">
              <w:r>
                <w:rPr>
                  <w:rFonts w:ascii="Arial" w:cs="Arial" w:eastAsia="Arial" w:hAnsi="Arial"/>
                  <w:sz w:val="14"/>
                  <w:szCs w:val="14"/>
                  <w:u w:val="single" w:color="auto"/>
                  <w:color w:val="0000EE"/>
                </w:rPr>
                <w:t>Amended and Restated Bylaws of Red Violet, Inc</w:t>
              </w:r>
            </w:hyperlink>
            <w:r>
              <w:rPr>
                <w:rFonts w:ascii="Arial" w:cs="Arial" w:eastAsia="Arial" w:hAnsi="Arial"/>
                <w:sz w:val="14"/>
                <w:szCs w:val="14"/>
                <w:color w:val="000000"/>
              </w:rPr>
              <w:t>.</w:t>
            </w:r>
          </w:p>
        </w:tc>
        <w:tc>
          <w:tcPr>
            <w:tcW w:w="1100" w:type="dxa"/>
            <w:vAlign w:val="bottom"/>
            <w:gridSpan w:val="2"/>
          </w:tcPr>
          <w:p>
            <w:pPr>
              <w:spacing w:after="0"/>
              <w:rPr>
                <w:sz w:val="20"/>
                <w:szCs w:val="20"/>
                <w:color w:val="auto"/>
              </w:rPr>
            </w:pPr>
            <w:r>
              <w:rPr>
                <w:rFonts w:ascii="Arial" w:cs="Arial" w:eastAsia="Arial" w:hAnsi="Arial"/>
                <w:sz w:val="14"/>
                <w:szCs w:val="14"/>
                <w:color w:val="auto"/>
              </w:rPr>
              <w:t>8-K</w:t>
            </w:r>
          </w:p>
        </w:tc>
        <w:tc>
          <w:tcPr>
            <w:tcW w:w="1020" w:type="dxa"/>
            <w:vAlign w:val="bottom"/>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4860" w:type="dxa"/>
            <w:vAlign w:val="bottom"/>
            <w:gridSpan w:val="32"/>
          </w:tcPr>
          <w:p>
            <w:pPr>
              <w:spacing w:after="0" w:line="154" w:lineRule="exact"/>
              <w:rPr>
                <w:sz w:val="20"/>
                <w:szCs w:val="20"/>
                <w:color w:val="auto"/>
              </w:rPr>
            </w:pPr>
            <w:r>
              <w:rPr>
                <w:rFonts w:ascii="Arial" w:cs="Arial" w:eastAsia="Arial" w:hAnsi="Arial"/>
                <w:sz w:val="14"/>
                <w:szCs w:val="14"/>
                <w:color w:val="0000EE"/>
              </w:rPr>
              <w:t>Description of Registrant's Securities</w:t>
            </w:r>
            <w:r>
              <w:rPr>
                <w:rFonts w:ascii="Arial" w:cs="Arial" w:eastAsia="Arial" w:hAnsi="Arial"/>
                <w:sz w:val="14"/>
                <w:szCs w:val="14"/>
                <w:color w:val="000000"/>
              </w:rPr>
              <w:t>.</w:t>
            </w:r>
          </w:p>
        </w:tc>
        <w:tc>
          <w:tcPr>
            <w:tcW w:w="1100" w:type="dxa"/>
            <w:vAlign w:val="bottom"/>
            <w:gridSpan w:val="2"/>
          </w:tcPr>
          <w:p>
            <w:pPr>
              <w:spacing w:after="0" w:line="154" w:lineRule="exact"/>
              <w:rPr>
                <w:sz w:val="20"/>
                <w:szCs w:val="20"/>
                <w:color w:val="auto"/>
              </w:rPr>
            </w:pPr>
            <w:r>
              <w:rPr>
                <w:rFonts w:ascii="Arial" w:cs="Arial" w:eastAsia="Arial" w:hAnsi="Arial"/>
                <w:sz w:val="14"/>
                <w:szCs w:val="14"/>
                <w:color w:val="auto"/>
              </w:rPr>
              <w:t>10-K</w:t>
            </w:r>
          </w:p>
        </w:tc>
        <w:tc>
          <w:tcPr>
            <w:tcW w:w="1020" w:type="dxa"/>
            <w:vAlign w:val="bottom"/>
          </w:tcPr>
          <w:p>
            <w:pPr>
              <w:spacing w:after="0" w:line="154"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1420" w:type="dxa"/>
            <w:vAlign w:val="bottom"/>
            <w:gridSpan w:val="2"/>
          </w:tcPr>
          <w:p>
            <w:pPr>
              <w:spacing w:after="0" w:line="154" w:lineRule="exact"/>
              <w:rPr>
                <w:sz w:val="20"/>
                <w:szCs w:val="20"/>
                <w:color w:val="auto"/>
              </w:rPr>
            </w:pPr>
            <w:r>
              <w:rPr>
                <w:rFonts w:ascii="Arial" w:cs="Arial" w:eastAsia="Arial" w:hAnsi="Arial"/>
                <w:sz w:val="14"/>
                <w:szCs w:val="14"/>
                <w:color w:val="auto"/>
              </w:rPr>
              <w:t>March 12, 2020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Form 10</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line="20" w:lineRule="exact"/>
              <w:rPr>
                <w:sz w:val="1"/>
                <w:szCs w:val="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February 28, 2018</w:t>
            </w: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4"/>
                <w:szCs w:val="14"/>
                <w:color w:val="0000EE"/>
                <w:w w:val="99"/>
              </w:rPr>
            </w:pPr>
            <w:hyperlink r:id="rId58">
              <w:r>
                <w:rPr>
                  <w:rFonts w:ascii="Arial" w:cs="Arial" w:eastAsia="Arial" w:hAnsi="Arial"/>
                  <w:sz w:val="14"/>
                  <w:szCs w:val="14"/>
                  <w:color w:val="0000EE"/>
                  <w:w w:val="99"/>
                </w:rPr>
                <w:t>Form of Restricted Stock Unit Agreement Pursuant to the Red Violet, Inc. 2018</w:t>
              </w:r>
            </w:hyperlink>
          </w:p>
        </w:tc>
        <w:tc>
          <w:tcPr>
            <w:tcW w:w="11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1"/>
                <w:szCs w:val="11"/>
                <w:color w:val="auto"/>
              </w:rPr>
            </w:pPr>
          </w:p>
        </w:tc>
        <w:tc>
          <w:tcPr>
            <w:tcW w:w="458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r:id="rId58">
              <w:r>
                <w:rPr>
                  <w:rFonts w:ascii="Arial" w:cs="Arial" w:eastAsia="Arial" w:hAnsi="Arial"/>
                  <w:sz w:val="14"/>
                  <w:szCs w:val="14"/>
                  <w:color w:val="0000EE"/>
                </w:rPr>
                <w:t>Stock Incentive Plan</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4"/>
                <w:szCs w:val="14"/>
                <w:color w:val="0000EE"/>
                <w:w w:val="97"/>
              </w:rPr>
            </w:pPr>
            <w:hyperlink r:id="rId59">
              <w:r>
                <w:rPr>
                  <w:rFonts w:ascii="Arial" w:cs="Arial" w:eastAsia="Arial" w:hAnsi="Arial"/>
                  <w:sz w:val="14"/>
                  <w:szCs w:val="14"/>
                  <w:color w:val="0000EE"/>
                  <w:w w:val="97"/>
                </w:rPr>
                <w:t>Employment Agreement, dated March 26, 2018, by and between Red Violet and</w:t>
              </w:r>
            </w:hyperlink>
          </w:p>
        </w:tc>
        <w:tc>
          <w:tcPr>
            <w:tcW w:w="11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1"/>
                <w:szCs w:val="11"/>
                <w:color w:val="auto"/>
              </w:rPr>
            </w:pPr>
          </w:p>
        </w:tc>
        <w:tc>
          <w:tcPr>
            <w:tcW w:w="466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59">
              <w:r>
                <w:rPr>
                  <w:rFonts w:ascii="Arial" w:cs="Arial" w:eastAsia="Arial" w:hAnsi="Arial"/>
                  <w:sz w:val="14"/>
                  <w:szCs w:val="14"/>
                  <w:color w:val="0000EE"/>
                </w:rPr>
                <w:t>Derek Dubner</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0000EE"/>
            </w:tcBorders>
            <w:gridSpan w:val="5"/>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Employment</w:t>
              </w:r>
            </w:hyperlink>
          </w:p>
        </w:tc>
        <w:tc>
          <w:tcPr>
            <w:tcW w:w="4040" w:type="dxa"/>
            <w:vAlign w:val="bottom"/>
            <w:gridSpan w:val="27"/>
          </w:tcPr>
          <w:p>
            <w:pPr>
              <w:spacing w:after="0" w:line="142" w:lineRule="exact"/>
              <w:rPr>
                <w:rFonts w:ascii="Arial" w:cs="Arial" w:eastAsia="Arial" w:hAnsi="Arial"/>
                <w:sz w:val="14"/>
                <w:szCs w:val="14"/>
                <w:color w:val="0000EE"/>
                <w:w w:val="96"/>
              </w:rPr>
            </w:pPr>
            <w:hyperlink r:id="rId60">
              <w:r>
                <w:rPr>
                  <w:rFonts w:ascii="Arial" w:cs="Arial" w:eastAsia="Arial" w:hAnsi="Arial"/>
                  <w:sz w:val="14"/>
                  <w:szCs w:val="14"/>
                  <w:color w:val="0000EE"/>
                  <w:w w:val="96"/>
                </w:rPr>
                <w:t>Agreement, dated March 26, 2018, by and between Red Violet and</w:t>
              </w:r>
            </w:hyperlink>
          </w:p>
        </w:tc>
        <w:tc>
          <w:tcPr>
            <w:tcW w:w="11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6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60">
              <w:r>
                <w:rPr>
                  <w:rFonts w:ascii="Arial" w:cs="Arial" w:eastAsia="Arial" w:hAnsi="Arial"/>
                  <w:sz w:val="14"/>
                  <w:szCs w:val="14"/>
                  <w:color w:val="0000EE"/>
                </w:rPr>
                <w:t>James Reilly</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740" w:type="dxa"/>
            <w:vAlign w:val="bottom"/>
            <w:tcBorders>
              <w:top w:val="single" w:sz="8" w:color="0000EE"/>
            </w:tcBorders>
            <w:gridSpan w:val="3"/>
          </w:tcPr>
          <w:p>
            <w:pPr>
              <w:spacing w:after="0" w:line="142" w:lineRule="exact"/>
              <w:rPr>
                <w:rFonts w:ascii="Arial" w:cs="Arial" w:eastAsia="Arial" w:hAnsi="Arial"/>
                <w:sz w:val="14"/>
                <w:szCs w:val="14"/>
                <w:color w:val="0000EE"/>
                <w:w w:val="92"/>
              </w:rPr>
            </w:pPr>
            <w:hyperlink r:id="rId61">
              <w:r>
                <w:rPr>
                  <w:rFonts w:ascii="Arial" w:cs="Arial" w:eastAsia="Arial" w:hAnsi="Arial"/>
                  <w:sz w:val="14"/>
                  <w:szCs w:val="14"/>
                  <w:color w:val="0000EE"/>
                  <w:w w:val="92"/>
                </w:rPr>
                <w:t>Employment</w:t>
              </w:r>
            </w:hyperlink>
          </w:p>
        </w:tc>
        <w:tc>
          <w:tcPr>
            <w:tcW w:w="40" w:type="dxa"/>
            <w:vAlign w:val="bottom"/>
          </w:tcPr>
          <w:p>
            <w:pPr>
              <w:spacing w:after="0"/>
              <w:rPr>
                <w:sz w:val="12"/>
                <w:szCs w:val="12"/>
                <w:color w:val="auto"/>
              </w:rPr>
            </w:pPr>
          </w:p>
        </w:tc>
        <w:tc>
          <w:tcPr>
            <w:tcW w:w="4080" w:type="dxa"/>
            <w:vAlign w:val="bottom"/>
            <w:gridSpan w:val="28"/>
          </w:tcPr>
          <w:p>
            <w:pPr>
              <w:spacing w:after="0" w:line="142" w:lineRule="exact"/>
              <w:rPr>
                <w:rFonts w:ascii="Arial" w:cs="Arial" w:eastAsia="Arial" w:hAnsi="Arial"/>
                <w:sz w:val="14"/>
                <w:szCs w:val="14"/>
                <w:color w:val="0000EE"/>
                <w:w w:val="97"/>
              </w:rPr>
            </w:pPr>
            <w:hyperlink r:id="rId61">
              <w:r>
                <w:rPr>
                  <w:rFonts w:ascii="Arial" w:cs="Arial" w:eastAsia="Arial" w:hAnsi="Arial"/>
                  <w:sz w:val="14"/>
                  <w:szCs w:val="14"/>
                  <w:color w:val="0000EE"/>
                  <w:w w:val="97"/>
                </w:rPr>
                <w:t>Agreement, dated March 26, 2018, by and between Red Violet and</w:t>
              </w:r>
            </w:hyperlink>
          </w:p>
        </w:tc>
        <w:tc>
          <w:tcPr>
            <w:tcW w:w="1100" w:type="dxa"/>
            <w:vAlign w:val="bottom"/>
            <w:gridSpan w:val="2"/>
          </w:tcPr>
          <w:p>
            <w:pPr>
              <w:spacing w:after="0" w:line="142" w:lineRule="exact"/>
              <w:rPr>
                <w:sz w:val="20"/>
                <w:szCs w:val="20"/>
                <w:color w:val="auto"/>
              </w:rPr>
            </w:pPr>
            <w:r>
              <w:rPr>
                <w:rFonts w:ascii="Arial" w:cs="Arial" w:eastAsia="Arial" w:hAnsi="Arial"/>
                <w:sz w:val="14"/>
                <w:szCs w:val="14"/>
                <w:color w:val="auto"/>
              </w:rPr>
              <w:t>8-K</w:t>
            </w:r>
          </w:p>
        </w:tc>
        <w:tc>
          <w:tcPr>
            <w:tcW w:w="1020" w:type="dxa"/>
            <w:vAlign w:val="bottom"/>
          </w:tcPr>
          <w:p>
            <w:pPr>
              <w:spacing w:after="0" w:line="142"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1"/>
                <w:szCs w:val="11"/>
                <w:color w:val="auto"/>
              </w:rPr>
            </w:pPr>
          </w:p>
        </w:tc>
        <w:tc>
          <w:tcPr>
            <w:tcW w:w="466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61">
              <w:r>
                <w:rPr>
                  <w:rFonts w:ascii="Arial" w:cs="Arial" w:eastAsia="Arial" w:hAnsi="Arial"/>
                  <w:sz w:val="14"/>
                  <w:szCs w:val="14"/>
                  <w:color w:val="0000EE"/>
                </w:rPr>
                <w:t>Dan MacLachlan</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0000EE"/>
            </w:tcBorders>
            <w:gridSpan w:val="7"/>
          </w:tcPr>
          <w:p>
            <w:pPr>
              <w:spacing w:after="0" w:line="151" w:lineRule="exact"/>
              <w:rPr>
                <w:rFonts w:ascii="Arial" w:cs="Arial" w:eastAsia="Arial" w:hAnsi="Arial"/>
                <w:sz w:val="14"/>
                <w:szCs w:val="14"/>
                <w:u w:val="single" w:color="auto"/>
                <w:color w:val="0000EE"/>
              </w:rPr>
            </w:pPr>
            <w:hyperlink r:id="rId62">
              <w:r>
                <w:rPr>
                  <w:rFonts w:ascii="Arial" w:cs="Arial" w:eastAsia="Arial" w:hAnsi="Arial"/>
                  <w:sz w:val="14"/>
                  <w:szCs w:val="14"/>
                  <w:u w:val="single" w:color="auto"/>
                  <w:color w:val="0000EE"/>
                </w:rPr>
                <w:t>Red Violet, Inc.</w:t>
              </w:r>
            </w:hyperlink>
          </w:p>
        </w:tc>
        <w:tc>
          <w:tcPr>
            <w:tcW w:w="3860" w:type="dxa"/>
            <w:vAlign w:val="bottom"/>
            <w:gridSpan w:val="25"/>
          </w:tcPr>
          <w:p>
            <w:pPr>
              <w:spacing w:after="0" w:line="151" w:lineRule="exact"/>
              <w:rPr>
                <w:rFonts w:ascii="Arial" w:cs="Arial" w:eastAsia="Arial" w:hAnsi="Arial"/>
                <w:sz w:val="14"/>
                <w:szCs w:val="14"/>
                <w:color w:val="0000EE"/>
              </w:rPr>
            </w:pPr>
            <w:hyperlink r:id="rId62">
              <w:r>
                <w:rPr>
                  <w:rFonts w:ascii="Arial" w:cs="Arial" w:eastAsia="Arial" w:hAnsi="Arial"/>
                  <w:sz w:val="14"/>
                  <w:szCs w:val="14"/>
                  <w:u w:val="single" w:color="auto"/>
                  <w:color w:val="0000EE"/>
                </w:rPr>
                <w:t>2018 Stock Incentive Plan</w:t>
              </w:r>
            </w:hyperlink>
            <w:r>
              <w:rPr>
                <w:rFonts w:ascii="Arial" w:cs="Arial" w:eastAsia="Arial" w:hAnsi="Arial"/>
                <w:sz w:val="14"/>
                <w:szCs w:val="14"/>
                <w:color w:val="000000"/>
              </w:rPr>
              <w:t>.</w:t>
            </w:r>
          </w:p>
        </w:tc>
        <w:tc>
          <w:tcPr>
            <w:tcW w:w="11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4860" w:type="dxa"/>
            <w:vAlign w:val="bottom"/>
            <w:gridSpan w:val="32"/>
          </w:tcPr>
          <w:p>
            <w:pPr>
              <w:spacing w:after="0"/>
              <w:rPr>
                <w:rFonts w:ascii="Arial" w:cs="Arial" w:eastAsia="Arial" w:hAnsi="Arial"/>
                <w:sz w:val="14"/>
                <w:szCs w:val="14"/>
                <w:color w:val="0000EE"/>
              </w:rPr>
            </w:pPr>
            <w:hyperlink r:id="rId63">
              <w:r>
                <w:rPr>
                  <w:rFonts w:ascii="Arial" w:cs="Arial" w:eastAsia="Arial" w:hAnsi="Arial"/>
                  <w:sz w:val="14"/>
                  <w:szCs w:val="14"/>
                  <w:u w:val="single" w:color="auto"/>
                  <w:color w:val="0000EE"/>
                </w:rPr>
                <w:t>Form of Indemnification Agreement</w:t>
              </w:r>
            </w:hyperlink>
            <w:r>
              <w:rPr>
                <w:rFonts w:ascii="Arial" w:cs="Arial" w:eastAsia="Arial" w:hAnsi="Arial"/>
                <w:sz w:val="14"/>
                <w:szCs w:val="14"/>
                <w:color w:val="000000"/>
              </w:rPr>
              <w:t>.</w:t>
            </w:r>
          </w:p>
        </w:tc>
        <w:tc>
          <w:tcPr>
            <w:tcW w:w="1100" w:type="dxa"/>
            <w:vAlign w:val="bottom"/>
            <w:gridSpan w:val="2"/>
          </w:tcPr>
          <w:p>
            <w:pPr>
              <w:spacing w:after="0"/>
              <w:rPr>
                <w:sz w:val="20"/>
                <w:szCs w:val="20"/>
                <w:color w:val="auto"/>
              </w:rPr>
            </w:pPr>
            <w:r>
              <w:rPr>
                <w:rFonts w:ascii="Arial" w:cs="Arial" w:eastAsia="Arial" w:hAnsi="Arial"/>
                <w:sz w:val="14"/>
                <w:szCs w:val="14"/>
                <w:color w:val="auto"/>
              </w:rPr>
              <w:t>8-K</w:t>
            </w:r>
          </w:p>
        </w:tc>
        <w:tc>
          <w:tcPr>
            <w:tcW w:w="1020" w:type="dxa"/>
            <w:vAlign w:val="bottom"/>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March 27, 2018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3"/>
                <w:szCs w:val="13"/>
                <w:color w:val="auto"/>
              </w:rPr>
            </w:pPr>
          </w:p>
        </w:tc>
        <w:tc>
          <w:tcPr>
            <w:tcW w:w="4860" w:type="dxa"/>
            <w:vAlign w:val="bottom"/>
            <w:gridSpan w:val="32"/>
          </w:tcPr>
          <w:p>
            <w:pPr>
              <w:spacing w:after="0" w:line="154" w:lineRule="exact"/>
              <w:rPr>
                <w:rFonts w:ascii="Arial" w:cs="Arial" w:eastAsia="Arial" w:hAnsi="Arial"/>
                <w:sz w:val="14"/>
                <w:szCs w:val="14"/>
                <w:color w:val="0000EE"/>
                <w:w w:val="97"/>
              </w:rPr>
            </w:pPr>
            <w:hyperlink r:id="rId64">
              <w:r>
                <w:rPr>
                  <w:rFonts w:ascii="Arial" w:cs="Arial" w:eastAsia="Arial" w:hAnsi="Arial"/>
                  <w:sz w:val="14"/>
                  <w:szCs w:val="14"/>
                  <w:color w:val="0000EE"/>
                  <w:w w:val="97"/>
                </w:rPr>
                <w:t>Executive Chairman Services Agreement, effective as of August 7, 2018, by and</w:t>
              </w:r>
            </w:hyperlink>
          </w:p>
        </w:tc>
        <w:tc>
          <w:tcPr>
            <w:tcW w:w="1100" w:type="dxa"/>
            <w:vAlign w:val="bottom"/>
            <w:gridSpan w:val="2"/>
          </w:tcPr>
          <w:p>
            <w:pPr>
              <w:spacing w:after="0" w:line="154" w:lineRule="exact"/>
              <w:rPr>
                <w:sz w:val="20"/>
                <w:szCs w:val="20"/>
                <w:color w:val="auto"/>
              </w:rPr>
            </w:pPr>
            <w:r>
              <w:rPr>
                <w:rFonts w:ascii="Arial" w:cs="Arial" w:eastAsia="Arial" w:hAnsi="Arial"/>
                <w:sz w:val="14"/>
                <w:szCs w:val="14"/>
                <w:color w:val="auto"/>
              </w:rPr>
              <w:t>10-Q</w:t>
            </w:r>
          </w:p>
        </w:tc>
        <w:tc>
          <w:tcPr>
            <w:tcW w:w="1020" w:type="dxa"/>
            <w:vAlign w:val="bottom"/>
          </w:tcPr>
          <w:p>
            <w:pPr>
              <w:spacing w:after="0" w:line="154"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1420" w:type="dxa"/>
            <w:vAlign w:val="bottom"/>
            <w:gridSpan w:val="2"/>
          </w:tcPr>
          <w:p>
            <w:pPr>
              <w:spacing w:after="0" w:line="154" w:lineRule="exact"/>
              <w:rPr>
                <w:sz w:val="20"/>
                <w:szCs w:val="20"/>
                <w:color w:val="auto"/>
              </w:rPr>
            </w:pPr>
            <w:r>
              <w:rPr>
                <w:rFonts w:ascii="Arial" w:cs="Arial" w:eastAsia="Arial" w:hAnsi="Arial"/>
                <w:sz w:val="14"/>
                <w:szCs w:val="14"/>
                <w:color w:val="auto"/>
              </w:rPr>
              <w:t>August 8, 2018</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1"/>
                <w:szCs w:val="11"/>
                <w:color w:val="auto"/>
              </w:rPr>
            </w:pPr>
          </w:p>
        </w:tc>
        <w:tc>
          <w:tcPr>
            <w:tcW w:w="4680" w:type="dxa"/>
            <w:vAlign w:val="bottom"/>
            <w:tcBorders>
              <w:top w:val="single" w:sz="8" w:color="0000EE"/>
            </w:tcBorders>
            <w:gridSpan w:val="28"/>
          </w:tcPr>
          <w:p>
            <w:pPr>
              <w:spacing w:after="0" w:line="129" w:lineRule="exact"/>
              <w:rPr>
                <w:rFonts w:ascii="Arial" w:cs="Arial" w:eastAsia="Arial" w:hAnsi="Arial"/>
                <w:sz w:val="14"/>
                <w:szCs w:val="14"/>
                <w:color w:val="0000EE"/>
              </w:rPr>
            </w:pPr>
            <w:hyperlink r:id="rId64">
              <w:r>
                <w:rPr>
                  <w:rFonts w:ascii="Arial" w:cs="Arial" w:eastAsia="Arial" w:hAnsi="Arial"/>
                  <w:sz w:val="14"/>
                  <w:szCs w:val="14"/>
                  <w:color w:val="0000EE"/>
                </w:rPr>
                <w:t>between Red Violet, Inc. and Michael Brauser</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10-Q</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November 7, 2018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Borders>
              <w:top w:val="single" w:sz="8" w:color="0000EE"/>
            </w:tcBorders>
            <w:gridSpan w:val="14"/>
          </w:tcPr>
          <w:p>
            <w:pPr>
              <w:spacing w:after="0" w:line="142" w:lineRule="exact"/>
              <w:rPr>
                <w:rFonts w:ascii="Arial" w:cs="Arial" w:eastAsia="Arial" w:hAnsi="Arial"/>
                <w:sz w:val="14"/>
                <w:szCs w:val="14"/>
                <w:color w:val="0000EE"/>
                <w:w w:val="94"/>
              </w:rPr>
            </w:pPr>
            <w:hyperlink r:id="rId65">
              <w:r>
                <w:rPr>
                  <w:rFonts w:ascii="Arial" w:cs="Arial" w:eastAsia="Arial" w:hAnsi="Arial"/>
                  <w:sz w:val="14"/>
                  <w:szCs w:val="14"/>
                  <w:color w:val="0000EE"/>
                  <w:w w:val="94"/>
                </w:rPr>
                <w:t>Form of 2018 Time- and Performance-Based</w:t>
              </w:r>
            </w:hyperlink>
          </w:p>
        </w:tc>
        <w:tc>
          <w:tcPr>
            <w:tcW w:w="2200" w:type="dxa"/>
            <w:vAlign w:val="bottom"/>
            <w:gridSpan w:val="18"/>
          </w:tcPr>
          <w:p>
            <w:pPr>
              <w:spacing w:after="0" w:line="142" w:lineRule="exact"/>
              <w:rPr>
                <w:rFonts w:ascii="Arial" w:cs="Arial" w:eastAsia="Arial" w:hAnsi="Arial"/>
                <w:sz w:val="14"/>
                <w:szCs w:val="14"/>
                <w:color w:val="0000EE"/>
              </w:rPr>
            </w:pPr>
            <w:hyperlink r:id="rId65">
              <w:r>
                <w:rPr>
                  <w:rFonts w:ascii="Arial" w:cs="Arial" w:eastAsia="Arial" w:hAnsi="Arial"/>
                  <w:sz w:val="14"/>
                  <w:szCs w:val="14"/>
                  <w:color w:val="0000EE"/>
                </w:rPr>
                <w:t>Restricted Stock Unit Award</w:t>
              </w:r>
            </w:hyperlink>
          </w:p>
        </w:tc>
        <w:tc>
          <w:tcPr>
            <w:tcW w:w="11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8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r:id="rId65">
              <w:r>
                <w:rPr>
                  <w:rFonts w:ascii="Arial" w:cs="Arial" w:eastAsia="Arial" w:hAnsi="Arial"/>
                  <w:sz w:val="14"/>
                  <w:szCs w:val="14"/>
                  <w:color w:val="0000EE"/>
                </w:rPr>
                <w:t>Agreement.</w:t>
              </w:r>
            </w:hyperlink>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700" w:type="dxa"/>
            <w:vAlign w:val="bottom"/>
            <w:tcBorders>
              <w:top w:val="single" w:sz="8" w:color="0000EE"/>
            </w:tcBorders>
            <w:gridSpan w:val="2"/>
          </w:tcPr>
          <w:p>
            <w:pPr>
              <w:spacing w:after="0" w:line="142" w:lineRule="exact"/>
              <w:rPr>
                <w:rFonts w:ascii="Arial" w:cs="Arial" w:eastAsia="Arial" w:hAnsi="Arial"/>
                <w:sz w:val="14"/>
                <w:szCs w:val="14"/>
                <w:color w:val="0000EE"/>
                <w:w w:val="87"/>
              </w:rPr>
            </w:pPr>
            <w:hyperlink r:id="rId66">
              <w:r>
                <w:rPr>
                  <w:rFonts w:ascii="Arial" w:cs="Arial" w:eastAsia="Arial" w:hAnsi="Arial"/>
                  <w:sz w:val="14"/>
                  <w:szCs w:val="14"/>
                  <w:color w:val="0000EE"/>
                  <w:w w:val="87"/>
                </w:rPr>
                <w:t>Employment</w:t>
              </w:r>
            </w:hyperlink>
          </w:p>
        </w:tc>
        <w:tc>
          <w:tcPr>
            <w:tcW w:w="80" w:type="dxa"/>
            <w:vAlign w:val="bottom"/>
            <w:gridSpan w:val="2"/>
          </w:tcPr>
          <w:p>
            <w:pPr>
              <w:spacing w:after="0"/>
              <w:rPr>
                <w:sz w:val="12"/>
                <w:szCs w:val="12"/>
                <w:color w:val="auto"/>
              </w:rPr>
            </w:pPr>
          </w:p>
        </w:tc>
        <w:tc>
          <w:tcPr>
            <w:tcW w:w="4080" w:type="dxa"/>
            <w:vAlign w:val="bottom"/>
            <w:gridSpan w:val="28"/>
          </w:tcPr>
          <w:p>
            <w:pPr>
              <w:spacing w:after="0" w:line="142" w:lineRule="exact"/>
              <w:rPr>
                <w:rFonts w:ascii="Arial" w:cs="Arial" w:eastAsia="Arial" w:hAnsi="Arial"/>
                <w:sz w:val="14"/>
                <w:szCs w:val="14"/>
                <w:color w:val="0000EE"/>
                <w:w w:val="96"/>
              </w:rPr>
            </w:pPr>
            <w:hyperlink r:id="rId66">
              <w:r>
                <w:rPr>
                  <w:rFonts w:ascii="Arial" w:cs="Arial" w:eastAsia="Arial" w:hAnsi="Arial"/>
                  <w:sz w:val="14"/>
                  <w:szCs w:val="14"/>
                  <w:color w:val="0000EE"/>
                  <w:w w:val="96"/>
                </w:rPr>
                <w:t>Agreement between Red Violet, Inc. and Jeffrey Dell entered into on</w:t>
              </w:r>
            </w:hyperlink>
          </w:p>
        </w:tc>
        <w:tc>
          <w:tcPr>
            <w:tcW w:w="1100" w:type="dxa"/>
            <w:vAlign w:val="bottom"/>
            <w:gridSpan w:val="2"/>
          </w:tcPr>
          <w:p>
            <w:pPr>
              <w:spacing w:after="0" w:line="142" w:lineRule="exact"/>
              <w:rPr>
                <w:sz w:val="20"/>
                <w:szCs w:val="20"/>
                <w:color w:val="auto"/>
              </w:rPr>
            </w:pPr>
            <w:r>
              <w:rPr>
                <w:rFonts w:ascii="Arial" w:cs="Arial" w:eastAsia="Arial" w:hAnsi="Arial"/>
                <w:sz w:val="14"/>
                <w:szCs w:val="14"/>
                <w:color w:val="auto"/>
              </w:rPr>
              <w:t>10-Q</w:t>
            </w:r>
          </w:p>
        </w:tc>
        <w:tc>
          <w:tcPr>
            <w:tcW w:w="1020" w:type="dxa"/>
            <w:vAlign w:val="bottom"/>
          </w:tcPr>
          <w:p>
            <w:pPr>
              <w:spacing w:after="0" w:line="142"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color w:val="auto"/>
              </w:rPr>
              <w:t>August 5, 2019</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1"/>
                <w:szCs w:val="11"/>
                <w:color w:val="auto"/>
              </w:rPr>
            </w:pPr>
          </w:p>
        </w:tc>
        <w:tc>
          <w:tcPr>
            <w:tcW w:w="4740" w:type="dxa"/>
            <w:vAlign w:val="bottom"/>
            <w:tcBorders>
              <w:top w:val="single" w:sz="8" w:color="0000EE"/>
            </w:tcBorders>
            <w:gridSpan w:val="30"/>
          </w:tcPr>
          <w:p>
            <w:pPr>
              <w:spacing w:after="0" w:line="129" w:lineRule="exact"/>
              <w:rPr>
                <w:rFonts w:ascii="Arial" w:cs="Arial" w:eastAsia="Arial" w:hAnsi="Arial"/>
                <w:sz w:val="14"/>
                <w:szCs w:val="14"/>
                <w:color w:val="0000EE"/>
              </w:rPr>
            </w:pPr>
            <w:hyperlink r:id="rId66">
              <w:r>
                <w:rPr>
                  <w:rFonts w:ascii="Arial" w:cs="Arial" w:eastAsia="Arial" w:hAnsi="Arial"/>
                  <w:sz w:val="14"/>
                  <w:szCs w:val="14"/>
                  <w:color w:val="0000EE"/>
                </w:rPr>
                <w:t>April 9, 2019</w:t>
              </w:r>
              <w:r>
                <w:rPr>
                  <w:rFonts w:ascii="Arial" w:cs="Arial" w:eastAsia="Arial" w:hAnsi="Arial"/>
                  <w:sz w:val="14"/>
                  <w:szCs w:val="14"/>
                  <w:color w:val="000000"/>
                </w:rPr>
                <w:t>.</w:t>
              </w:r>
            </w:hyperlink>
          </w:p>
        </w:tc>
        <w:tc>
          <w:tcPr>
            <w:tcW w:w="120" w:type="dxa"/>
            <w:vAlign w:val="bottom"/>
            <w:gridSpan w:val="2"/>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August 28, 2019</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60" w:type="dxa"/>
            <w:vAlign w:val="bottom"/>
            <w:gridSpan w:val="32"/>
          </w:tcPr>
          <w:p>
            <w:pPr>
              <w:spacing w:after="0" w:line="151" w:lineRule="exact"/>
              <w:rPr>
                <w:rFonts w:ascii="Arial" w:cs="Arial" w:eastAsia="Arial" w:hAnsi="Arial"/>
                <w:sz w:val="14"/>
                <w:szCs w:val="14"/>
                <w:color w:val="0000EE"/>
              </w:rPr>
            </w:pPr>
            <w:hyperlink r:id="rId67">
              <w:r>
                <w:rPr>
                  <w:rFonts w:ascii="Arial" w:cs="Arial" w:eastAsia="Arial" w:hAnsi="Arial"/>
                  <w:sz w:val="14"/>
                  <w:szCs w:val="14"/>
                  <w:u w:val="single" w:color="auto"/>
                  <w:color w:val="0000EE"/>
                </w:rPr>
                <w:t>Securities Purchase Agreement, dated as of August 28, 2019</w:t>
              </w:r>
            </w:hyperlink>
            <w:r>
              <w:rPr>
                <w:rFonts w:ascii="Arial" w:cs="Arial" w:eastAsia="Arial" w:hAnsi="Arial"/>
                <w:sz w:val="14"/>
                <w:szCs w:val="14"/>
                <w:color w:val="000000"/>
              </w:rPr>
              <w:t>.</w:t>
            </w:r>
          </w:p>
        </w:tc>
        <w:tc>
          <w:tcPr>
            <w:tcW w:w="11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10.11+</w:t>
            </w:r>
          </w:p>
        </w:tc>
        <w:tc>
          <w:tcPr>
            <w:tcW w:w="100" w:type="dxa"/>
            <w:vAlign w:val="bottom"/>
          </w:tcPr>
          <w:p>
            <w:pPr>
              <w:spacing w:after="0"/>
              <w:rPr>
                <w:sz w:val="13"/>
                <w:szCs w:val="13"/>
                <w:color w:val="auto"/>
              </w:rPr>
            </w:pPr>
          </w:p>
        </w:tc>
        <w:tc>
          <w:tcPr>
            <w:tcW w:w="4860" w:type="dxa"/>
            <w:vAlign w:val="bottom"/>
            <w:gridSpan w:val="32"/>
          </w:tcPr>
          <w:p>
            <w:pPr>
              <w:spacing w:after="0" w:line="154" w:lineRule="exact"/>
              <w:rPr>
                <w:rFonts w:ascii="Arial" w:cs="Arial" w:eastAsia="Arial" w:hAnsi="Arial"/>
                <w:sz w:val="14"/>
                <w:szCs w:val="14"/>
                <w:color w:val="0000EE"/>
              </w:rPr>
            </w:pPr>
            <w:hyperlink r:id="rId68">
              <w:r>
                <w:rPr>
                  <w:rFonts w:ascii="Arial" w:cs="Arial" w:eastAsia="Arial" w:hAnsi="Arial"/>
                  <w:sz w:val="14"/>
                  <w:szCs w:val="14"/>
                  <w:color w:val="0000EE"/>
                </w:rPr>
                <w:t>Form of 2019 Time- and Performance-Based Restricted Stock Unit Award</w:t>
              </w:r>
            </w:hyperlink>
          </w:p>
        </w:tc>
        <w:tc>
          <w:tcPr>
            <w:tcW w:w="1100" w:type="dxa"/>
            <w:vAlign w:val="bottom"/>
            <w:gridSpan w:val="2"/>
          </w:tcPr>
          <w:p>
            <w:pPr>
              <w:spacing w:after="0" w:line="154" w:lineRule="exact"/>
              <w:rPr>
                <w:sz w:val="20"/>
                <w:szCs w:val="20"/>
                <w:color w:val="auto"/>
              </w:rPr>
            </w:pPr>
            <w:r>
              <w:rPr>
                <w:rFonts w:ascii="Arial" w:cs="Arial" w:eastAsia="Arial" w:hAnsi="Arial"/>
                <w:sz w:val="14"/>
                <w:szCs w:val="14"/>
                <w:color w:val="auto"/>
              </w:rPr>
              <w:t>10-K</w:t>
            </w:r>
          </w:p>
        </w:tc>
        <w:tc>
          <w:tcPr>
            <w:tcW w:w="1020" w:type="dxa"/>
            <w:vAlign w:val="bottom"/>
          </w:tcPr>
          <w:p>
            <w:pPr>
              <w:spacing w:after="0" w:line="154"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10.13</w:t>
            </w:r>
          </w:p>
        </w:tc>
        <w:tc>
          <w:tcPr>
            <w:tcW w:w="100" w:type="dxa"/>
            <w:vAlign w:val="bottom"/>
          </w:tcPr>
          <w:p>
            <w:pPr>
              <w:spacing w:after="0"/>
              <w:rPr>
                <w:sz w:val="13"/>
                <w:szCs w:val="13"/>
                <w:color w:val="auto"/>
              </w:rPr>
            </w:pPr>
          </w:p>
        </w:tc>
        <w:tc>
          <w:tcPr>
            <w:tcW w:w="1420" w:type="dxa"/>
            <w:vAlign w:val="bottom"/>
            <w:gridSpan w:val="2"/>
          </w:tcPr>
          <w:p>
            <w:pPr>
              <w:spacing w:after="0" w:line="154" w:lineRule="exact"/>
              <w:rPr>
                <w:sz w:val="20"/>
                <w:szCs w:val="20"/>
                <w:color w:val="auto"/>
              </w:rPr>
            </w:pPr>
            <w:r>
              <w:rPr>
                <w:rFonts w:ascii="Arial" w:cs="Arial" w:eastAsia="Arial" w:hAnsi="Arial"/>
                <w:sz w:val="14"/>
                <w:szCs w:val="14"/>
                <w:color w:val="auto"/>
              </w:rPr>
              <w:t>March 12, 2020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1"/>
                <w:szCs w:val="11"/>
                <w:color w:val="auto"/>
              </w:rPr>
            </w:pPr>
          </w:p>
        </w:tc>
        <w:tc>
          <w:tcPr>
            <w:tcW w:w="428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r:id="rId68">
              <w:r>
                <w:rPr>
                  <w:rFonts w:ascii="Arial" w:cs="Arial" w:eastAsia="Arial" w:hAnsi="Arial"/>
                  <w:sz w:val="14"/>
                  <w:szCs w:val="14"/>
                  <w:color w:val="0000EE"/>
                </w:rPr>
                <w:t>Agreement.</w:t>
              </w:r>
            </w:hyperlink>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60" w:type="dxa"/>
            <w:vAlign w:val="bottom"/>
            <w:gridSpan w:val="3"/>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10-Q</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May 11, 2020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0000EE"/>
            </w:tcBorders>
          </w:tcPr>
          <w:p>
            <w:pPr>
              <w:spacing w:after="0" w:line="142" w:lineRule="exact"/>
              <w:rPr>
                <w:rFonts w:ascii="Arial" w:cs="Arial" w:eastAsia="Arial" w:hAnsi="Arial"/>
                <w:sz w:val="14"/>
                <w:szCs w:val="14"/>
                <w:color w:val="0000EE"/>
                <w:w w:val="94"/>
              </w:rPr>
            </w:pPr>
            <w:hyperlink r:id="rId69">
              <w:r>
                <w:rPr>
                  <w:rFonts w:ascii="Arial" w:cs="Arial" w:eastAsia="Arial" w:hAnsi="Arial"/>
                  <w:sz w:val="14"/>
                  <w:szCs w:val="14"/>
                  <w:color w:val="0000EE"/>
                  <w:w w:val="94"/>
                </w:rPr>
                <w:t>Promissory</w:t>
              </w:r>
            </w:hyperlink>
          </w:p>
        </w:tc>
        <w:tc>
          <w:tcPr>
            <w:tcW w:w="4180" w:type="dxa"/>
            <w:vAlign w:val="bottom"/>
            <w:gridSpan w:val="31"/>
          </w:tcPr>
          <w:p>
            <w:pPr>
              <w:ind w:left="20"/>
              <w:spacing w:after="0" w:line="142" w:lineRule="exact"/>
              <w:rPr>
                <w:rFonts w:ascii="Arial" w:cs="Arial" w:eastAsia="Arial" w:hAnsi="Arial"/>
                <w:sz w:val="14"/>
                <w:szCs w:val="14"/>
                <w:color w:val="0000EE"/>
                <w:w w:val="96"/>
              </w:rPr>
            </w:pPr>
            <w:hyperlink r:id="rId69">
              <w:r>
                <w:rPr>
                  <w:rFonts w:ascii="Arial" w:cs="Arial" w:eastAsia="Arial" w:hAnsi="Arial"/>
                  <w:sz w:val="14"/>
                  <w:szCs w:val="14"/>
                  <w:color w:val="0000EE"/>
                  <w:w w:val="96"/>
                </w:rPr>
                <w:t>Note dated May 5, 2020, by and between Red Violet, Inc. and Legacy</w:t>
              </w:r>
            </w:hyperlink>
          </w:p>
        </w:tc>
        <w:tc>
          <w:tcPr>
            <w:tcW w:w="11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1"/>
                <w:szCs w:val="11"/>
                <w:color w:val="auto"/>
              </w:rPr>
            </w:pPr>
          </w:p>
        </w:tc>
        <w:tc>
          <w:tcPr>
            <w:tcW w:w="4700" w:type="dxa"/>
            <w:vAlign w:val="bottom"/>
            <w:tcBorders>
              <w:top w:val="single" w:sz="8" w:color="0000EE"/>
            </w:tcBorders>
            <w:gridSpan w:val="29"/>
          </w:tcPr>
          <w:p>
            <w:pPr>
              <w:spacing w:after="0" w:line="129" w:lineRule="exact"/>
              <w:rPr>
                <w:rFonts w:ascii="Arial" w:cs="Arial" w:eastAsia="Arial" w:hAnsi="Arial"/>
                <w:sz w:val="14"/>
                <w:szCs w:val="14"/>
                <w:color w:val="0000EE"/>
              </w:rPr>
            </w:pPr>
            <w:hyperlink r:id="rId69">
              <w:r>
                <w:rPr>
                  <w:rFonts w:ascii="Arial" w:cs="Arial" w:eastAsia="Arial" w:hAnsi="Arial"/>
                  <w:sz w:val="14"/>
                  <w:szCs w:val="14"/>
                  <w:color w:val="0000EE"/>
                </w:rPr>
                <w:t>Bank of Florida</w:t>
              </w:r>
              <w:r>
                <w:rPr>
                  <w:rFonts w:ascii="Arial" w:cs="Arial" w:eastAsia="Arial" w:hAnsi="Arial"/>
                  <w:sz w:val="14"/>
                  <w:szCs w:val="14"/>
                  <w:color w:val="000000"/>
                </w:rPr>
                <w:t>.</w:t>
              </w:r>
            </w:hyperlink>
          </w:p>
        </w:tc>
        <w:tc>
          <w:tcPr>
            <w:tcW w:w="160" w:type="dxa"/>
            <w:vAlign w:val="bottom"/>
            <w:gridSpan w:val="3"/>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June 4, 2020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0000EE"/>
            </w:tcBorders>
            <w:gridSpan w:val="6"/>
          </w:tcPr>
          <w:p>
            <w:pPr>
              <w:spacing w:after="0" w:line="151" w:lineRule="exact"/>
              <w:rPr>
                <w:rFonts w:ascii="Arial" w:cs="Arial" w:eastAsia="Arial" w:hAnsi="Arial"/>
                <w:sz w:val="14"/>
                <w:szCs w:val="14"/>
                <w:u w:val="single" w:color="auto"/>
                <w:color w:val="0000EE"/>
                <w:w w:val="98"/>
              </w:rPr>
            </w:pPr>
            <w:hyperlink r:id="rId70">
              <w:r>
                <w:rPr>
                  <w:rFonts w:ascii="Arial" w:cs="Arial" w:eastAsia="Arial" w:hAnsi="Arial"/>
                  <w:sz w:val="14"/>
                  <w:szCs w:val="14"/>
                  <w:u w:val="single" w:color="auto"/>
                  <w:color w:val="0000EE"/>
                  <w:w w:val="98"/>
                </w:rPr>
                <w:t>Amendment to</w:t>
              </w:r>
            </w:hyperlink>
          </w:p>
        </w:tc>
        <w:tc>
          <w:tcPr>
            <w:tcW w:w="3940" w:type="dxa"/>
            <w:vAlign w:val="bottom"/>
            <w:gridSpan w:val="26"/>
          </w:tcPr>
          <w:p>
            <w:pPr>
              <w:spacing w:after="0" w:line="151" w:lineRule="exact"/>
              <w:rPr>
                <w:rFonts w:ascii="Arial" w:cs="Arial" w:eastAsia="Arial" w:hAnsi="Arial"/>
                <w:sz w:val="14"/>
                <w:szCs w:val="14"/>
                <w:color w:val="0000EE"/>
              </w:rPr>
            </w:pPr>
            <w:hyperlink r:id="rId70">
              <w:r>
                <w:rPr>
                  <w:rFonts w:ascii="Arial" w:cs="Arial" w:eastAsia="Arial" w:hAnsi="Arial"/>
                  <w:sz w:val="14"/>
                  <w:szCs w:val="14"/>
                  <w:u w:val="single" w:color="auto"/>
                  <w:color w:val="0000EE"/>
                </w:rPr>
                <w:t>Red Violet, Inc. 2018 Stock Incentive Plan</w:t>
              </w:r>
            </w:hyperlink>
            <w:r>
              <w:rPr>
                <w:rFonts w:ascii="Arial" w:cs="Arial" w:eastAsia="Arial" w:hAnsi="Arial"/>
                <w:sz w:val="14"/>
                <w:szCs w:val="14"/>
                <w:color w:val="000000"/>
              </w:rPr>
              <w:t>.</w:t>
            </w:r>
          </w:p>
        </w:tc>
        <w:tc>
          <w:tcPr>
            <w:tcW w:w="11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10.14</w:t>
            </w:r>
          </w:p>
        </w:tc>
        <w:tc>
          <w:tcPr>
            <w:tcW w:w="100" w:type="dxa"/>
            <w:vAlign w:val="bottom"/>
          </w:tcPr>
          <w:p>
            <w:pPr>
              <w:spacing w:after="0"/>
              <w:rPr>
                <w:sz w:val="13"/>
                <w:szCs w:val="13"/>
                <w:color w:val="auto"/>
              </w:rPr>
            </w:pPr>
          </w:p>
        </w:tc>
        <w:tc>
          <w:tcPr>
            <w:tcW w:w="4860" w:type="dxa"/>
            <w:vAlign w:val="bottom"/>
            <w:gridSpan w:val="32"/>
          </w:tcPr>
          <w:p>
            <w:pPr>
              <w:spacing w:after="0" w:line="154" w:lineRule="exact"/>
              <w:rPr>
                <w:rFonts w:ascii="Arial" w:cs="Arial" w:eastAsia="Arial" w:hAnsi="Arial"/>
                <w:sz w:val="14"/>
                <w:szCs w:val="14"/>
                <w:color w:val="0000EE"/>
                <w:w w:val="97"/>
              </w:rPr>
            </w:pPr>
            <w:hyperlink r:id="rId71">
              <w:r>
                <w:rPr>
                  <w:rFonts w:ascii="Arial" w:cs="Arial" w:eastAsia="Arial" w:hAnsi="Arial"/>
                  <w:sz w:val="14"/>
                  <w:szCs w:val="14"/>
                  <w:color w:val="0000EE"/>
                  <w:w w:val="97"/>
                </w:rPr>
                <w:t>Separation Agreement dated February 16, 2021 by and between Red Violet, Inc.</w:t>
              </w:r>
            </w:hyperlink>
          </w:p>
        </w:tc>
        <w:tc>
          <w:tcPr>
            <w:tcW w:w="1100" w:type="dxa"/>
            <w:vAlign w:val="bottom"/>
            <w:gridSpan w:val="2"/>
          </w:tcPr>
          <w:p>
            <w:pPr>
              <w:spacing w:after="0" w:line="154" w:lineRule="exact"/>
              <w:rPr>
                <w:sz w:val="20"/>
                <w:szCs w:val="20"/>
                <w:color w:val="auto"/>
              </w:rPr>
            </w:pPr>
            <w:r>
              <w:rPr>
                <w:rFonts w:ascii="Arial" w:cs="Arial" w:eastAsia="Arial" w:hAnsi="Arial"/>
                <w:sz w:val="14"/>
                <w:szCs w:val="14"/>
                <w:color w:val="auto"/>
              </w:rPr>
              <w:t>8-K</w:t>
            </w:r>
          </w:p>
        </w:tc>
        <w:tc>
          <w:tcPr>
            <w:tcW w:w="1020" w:type="dxa"/>
            <w:vAlign w:val="bottom"/>
          </w:tcPr>
          <w:p>
            <w:pPr>
              <w:spacing w:after="0" w:line="154"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1420" w:type="dxa"/>
            <w:vAlign w:val="bottom"/>
            <w:gridSpan w:val="2"/>
          </w:tcPr>
          <w:p>
            <w:pPr>
              <w:spacing w:after="0" w:line="154" w:lineRule="exact"/>
              <w:rPr>
                <w:sz w:val="20"/>
                <w:szCs w:val="20"/>
                <w:color w:val="auto"/>
              </w:rPr>
            </w:pPr>
            <w:r>
              <w:rPr>
                <w:rFonts w:ascii="Arial" w:cs="Arial" w:eastAsia="Arial" w:hAnsi="Arial"/>
                <w:sz w:val="14"/>
                <w:szCs w:val="14"/>
                <w:color w:val="auto"/>
              </w:rPr>
              <w:t>February 17, 2021</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1"/>
                <w:szCs w:val="11"/>
                <w:color w:val="auto"/>
              </w:rPr>
            </w:pPr>
          </w:p>
        </w:tc>
        <w:tc>
          <w:tcPr>
            <w:tcW w:w="4640" w:type="dxa"/>
            <w:vAlign w:val="bottom"/>
            <w:tcBorders>
              <w:top w:val="single" w:sz="8" w:color="0000EE"/>
            </w:tcBorders>
            <w:gridSpan w:val="26"/>
          </w:tcPr>
          <w:p>
            <w:pPr>
              <w:spacing w:after="0" w:line="129" w:lineRule="exact"/>
              <w:rPr>
                <w:rFonts w:ascii="Arial" w:cs="Arial" w:eastAsia="Arial" w:hAnsi="Arial"/>
                <w:sz w:val="14"/>
                <w:szCs w:val="14"/>
                <w:color w:val="0000EE"/>
              </w:rPr>
            </w:pPr>
            <w:hyperlink r:id="rId71">
              <w:r>
                <w:rPr>
                  <w:rFonts w:ascii="Arial" w:cs="Arial" w:eastAsia="Arial" w:hAnsi="Arial"/>
                  <w:sz w:val="14"/>
                  <w:szCs w:val="14"/>
                  <w:color w:val="0000EE"/>
                </w:rPr>
                <w:t>and Michael Brauser.</w:t>
              </w:r>
            </w:hyperlink>
          </w:p>
        </w:tc>
        <w:tc>
          <w:tcPr>
            <w:tcW w:w="220" w:type="dxa"/>
            <w:vAlign w:val="bottom"/>
            <w:gridSpan w:val="6"/>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0000EE"/>
            </w:tcBorders>
            <w:gridSpan w:val="9"/>
          </w:tcPr>
          <w:p>
            <w:pPr>
              <w:spacing w:after="0" w:line="142" w:lineRule="exact"/>
              <w:rPr>
                <w:rFonts w:ascii="Arial" w:cs="Arial" w:eastAsia="Arial" w:hAnsi="Arial"/>
                <w:sz w:val="14"/>
                <w:szCs w:val="14"/>
                <w:color w:val="0000EE"/>
                <w:w w:val="98"/>
              </w:rPr>
            </w:pPr>
            <w:hyperlink w:anchor="page64">
              <w:r>
                <w:rPr>
                  <w:rFonts w:ascii="Arial" w:cs="Arial" w:eastAsia="Arial" w:hAnsi="Arial"/>
                  <w:sz w:val="14"/>
                  <w:szCs w:val="14"/>
                  <w:color w:val="0000EE"/>
                  <w:w w:val="98"/>
                </w:rPr>
                <w:t>First Amendment to</w:t>
              </w:r>
            </w:hyperlink>
          </w:p>
        </w:tc>
        <w:tc>
          <w:tcPr>
            <w:tcW w:w="3640" w:type="dxa"/>
            <w:vAlign w:val="bottom"/>
            <w:gridSpan w:val="23"/>
          </w:tcPr>
          <w:p>
            <w:pPr>
              <w:jc w:val="right"/>
              <w:ind w:right="360"/>
              <w:spacing w:after="0" w:line="142" w:lineRule="exact"/>
              <w:rPr>
                <w:rFonts w:ascii="Arial" w:cs="Arial" w:eastAsia="Arial" w:hAnsi="Arial"/>
                <w:sz w:val="14"/>
                <w:szCs w:val="14"/>
                <w:color w:val="0000EE"/>
                <w:w w:val="92"/>
              </w:rPr>
            </w:pPr>
            <w:hyperlink w:anchor="page64">
              <w:r>
                <w:rPr>
                  <w:rFonts w:ascii="Arial" w:cs="Arial" w:eastAsia="Arial" w:hAnsi="Arial"/>
                  <w:sz w:val="14"/>
                  <w:szCs w:val="14"/>
                  <w:color w:val="0000EE"/>
                  <w:w w:val="92"/>
                </w:rPr>
                <w:t>Employment Agreement dated November 9, 2020 by and</w:t>
              </w:r>
            </w:hyperlink>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1"/>
                <w:szCs w:val="11"/>
                <w:color w:val="auto"/>
              </w:rPr>
            </w:pPr>
          </w:p>
        </w:tc>
        <w:tc>
          <w:tcPr>
            <w:tcW w:w="450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64">
              <w:r>
                <w:rPr>
                  <w:rFonts w:ascii="Arial" w:cs="Arial" w:eastAsia="Arial" w:hAnsi="Arial"/>
                  <w:sz w:val="14"/>
                  <w:szCs w:val="14"/>
                  <w:color w:val="0000EE"/>
                </w:rPr>
                <w:t>between Red Violet, Inc. and Derek Dubner</w:t>
              </w:r>
              <w:r>
                <w:rPr>
                  <w:rFonts w:ascii="Arial" w:cs="Arial" w:eastAsia="Arial" w:hAnsi="Arial"/>
                  <w:sz w:val="14"/>
                  <w:szCs w:val="14"/>
                  <w:color w:val="000000"/>
                </w:rPr>
                <w:t>.</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Borders>
              <w:top w:val="single" w:sz="8" w:color="0000EE"/>
            </w:tcBorders>
            <w:gridSpan w:val="13"/>
          </w:tcPr>
          <w:p>
            <w:pPr>
              <w:spacing w:after="0" w:line="142" w:lineRule="exact"/>
              <w:rPr>
                <w:rFonts w:ascii="Arial" w:cs="Arial" w:eastAsia="Arial" w:hAnsi="Arial"/>
                <w:sz w:val="14"/>
                <w:szCs w:val="14"/>
                <w:color w:val="0000EE"/>
                <w:w w:val="90"/>
              </w:rPr>
            </w:pPr>
            <w:hyperlink w:anchor="page66">
              <w:r>
                <w:rPr>
                  <w:rFonts w:ascii="Arial" w:cs="Arial" w:eastAsia="Arial" w:hAnsi="Arial"/>
                  <w:sz w:val="14"/>
                  <w:szCs w:val="14"/>
                  <w:color w:val="0000EE"/>
                  <w:w w:val="90"/>
                </w:rPr>
                <w:t>First Amendment to Employment Agreement</w:t>
              </w:r>
            </w:hyperlink>
          </w:p>
        </w:tc>
        <w:tc>
          <w:tcPr>
            <w:tcW w:w="2340" w:type="dxa"/>
            <w:vAlign w:val="bottom"/>
            <w:gridSpan w:val="19"/>
          </w:tcPr>
          <w:p>
            <w:pPr>
              <w:jc w:val="right"/>
              <w:ind w:right="360"/>
              <w:spacing w:after="0" w:line="142" w:lineRule="exact"/>
              <w:rPr>
                <w:rFonts w:ascii="Arial" w:cs="Arial" w:eastAsia="Arial" w:hAnsi="Arial"/>
                <w:sz w:val="14"/>
                <w:szCs w:val="14"/>
                <w:color w:val="0000EE"/>
                <w:w w:val="97"/>
              </w:rPr>
            </w:pPr>
            <w:hyperlink w:anchor="page66">
              <w:r>
                <w:rPr>
                  <w:rFonts w:ascii="Arial" w:cs="Arial" w:eastAsia="Arial" w:hAnsi="Arial"/>
                  <w:sz w:val="14"/>
                  <w:szCs w:val="14"/>
                  <w:color w:val="0000EE"/>
                  <w:w w:val="97"/>
                </w:rPr>
                <w:t>dated November 9, 2020 by and</w:t>
              </w:r>
            </w:hyperlink>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1"/>
                <w:szCs w:val="11"/>
                <w:color w:val="auto"/>
              </w:rPr>
            </w:pPr>
          </w:p>
        </w:tc>
        <w:tc>
          <w:tcPr>
            <w:tcW w:w="450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66">
              <w:r>
                <w:rPr>
                  <w:rFonts w:ascii="Arial" w:cs="Arial" w:eastAsia="Arial" w:hAnsi="Arial"/>
                  <w:sz w:val="14"/>
                  <w:szCs w:val="14"/>
                  <w:color w:val="0000EE"/>
                </w:rPr>
                <w:t>between Red Violet, Inc. and James Reilly</w:t>
              </w:r>
              <w:r>
                <w:rPr>
                  <w:rFonts w:ascii="Arial" w:cs="Arial" w:eastAsia="Arial" w:hAnsi="Arial"/>
                  <w:sz w:val="14"/>
                  <w:szCs w:val="14"/>
                  <w:color w:val="000000"/>
                </w:rPr>
                <w:t>.</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right w:val="single" w:sz="8" w:color="0000EE"/>
            </w:tcBorders>
            <w:gridSpan w:val="1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First Amendment to Employment Agreement dated November 9, 2020 by and</w:t>
              </w:r>
            </w:hyperlink>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1"/>
                <w:szCs w:val="11"/>
                <w:color w:val="auto"/>
              </w:rPr>
            </w:pPr>
          </w:p>
        </w:tc>
        <w:tc>
          <w:tcPr>
            <w:tcW w:w="450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68">
              <w:r>
                <w:rPr>
                  <w:rFonts w:ascii="Arial" w:cs="Arial" w:eastAsia="Arial" w:hAnsi="Arial"/>
                  <w:sz w:val="14"/>
                  <w:szCs w:val="14"/>
                  <w:color w:val="0000EE"/>
                </w:rPr>
                <w:t>between Red Violet, Inc. and Daniel MacLachlan</w:t>
              </w:r>
              <w:r>
                <w:rPr>
                  <w:rFonts w:ascii="Arial" w:cs="Arial" w:eastAsia="Arial" w:hAnsi="Arial"/>
                  <w:sz w:val="14"/>
                  <w:szCs w:val="14"/>
                  <w:color w:val="000000"/>
                </w:rPr>
                <w:t>.</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right w:val="single" w:sz="8" w:color="0000EE"/>
            </w:tcBorders>
            <w:gridSpan w:val="1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First Amendment to Employment Agreement dated November 9, 2020 by and</w:t>
              </w:r>
            </w:hyperlink>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1"/>
                <w:szCs w:val="11"/>
                <w:color w:val="auto"/>
              </w:rPr>
            </w:pPr>
          </w:p>
        </w:tc>
        <w:tc>
          <w:tcPr>
            <w:tcW w:w="450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70">
              <w:r>
                <w:rPr>
                  <w:rFonts w:ascii="Arial" w:cs="Arial" w:eastAsia="Arial" w:hAnsi="Arial"/>
                  <w:sz w:val="14"/>
                  <w:szCs w:val="14"/>
                  <w:color w:val="0000EE"/>
                </w:rPr>
                <w:t>between Red Violet, Inc. and Jeffrey Dell</w:t>
              </w:r>
              <w:r>
                <w:rPr>
                  <w:rFonts w:ascii="Arial" w:cs="Arial" w:eastAsia="Arial" w:hAnsi="Arial"/>
                  <w:sz w:val="14"/>
                  <w:szCs w:val="14"/>
                  <w:color w:val="000000"/>
                </w:rPr>
                <w:t>.</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Borders>
              <w:top w:val="single" w:sz="8" w:color="0000EE"/>
            </w:tcBorders>
            <w:gridSpan w:val="12"/>
          </w:tcPr>
          <w:p>
            <w:pPr>
              <w:spacing w:after="0" w:line="151" w:lineRule="exact"/>
              <w:rPr>
                <w:rFonts w:ascii="Arial" w:cs="Arial" w:eastAsia="Arial" w:hAnsi="Arial"/>
                <w:sz w:val="14"/>
                <w:szCs w:val="14"/>
                <w:color w:val="0000EE"/>
              </w:rPr>
            </w:pPr>
            <w:hyperlink w:anchor="page72">
              <w:r>
                <w:rPr>
                  <w:rFonts w:ascii="Arial" w:cs="Arial" w:eastAsia="Arial" w:hAnsi="Arial"/>
                  <w:sz w:val="14"/>
                  <w:szCs w:val="14"/>
                  <w:u w:val="single" w:color="auto"/>
                  <w:color w:val="0000EE"/>
                </w:rPr>
                <w:t>Subsidiaries of Red Violet, Inc</w:t>
              </w:r>
            </w:hyperlink>
            <w:r>
              <w:rPr>
                <w:rFonts w:ascii="Arial" w:cs="Arial" w:eastAsia="Arial" w:hAnsi="Arial"/>
                <w:sz w:val="14"/>
                <w:szCs w:val="14"/>
                <w:color w:val="000000"/>
              </w:rPr>
              <w:t>.</w:t>
            </w:r>
          </w:p>
        </w:tc>
        <w:tc>
          <w:tcPr>
            <w:tcW w:w="9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4860" w:type="dxa"/>
            <w:vAlign w:val="bottom"/>
            <w:gridSpan w:val="32"/>
          </w:tcPr>
          <w:p>
            <w:pPr>
              <w:spacing w:after="0"/>
              <w:rPr>
                <w:rFonts w:ascii="Arial" w:cs="Arial" w:eastAsia="Arial" w:hAnsi="Arial"/>
                <w:sz w:val="14"/>
                <w:szCs w:val="14"/>
                <w:color w:val="0000EE"/>
              </w:rPr>
            </w:pPr>
            <w:hyperlink w:anchor="page73">
              <w:r>
                <w:rPr>
                  <w:rFonts w:ascii="Arial" w:cs="Arial" w:eastAsia="Arial" w:hAnsi="Arial"/>
                  <w:sz w:val="14"/>
                  <w:szCs w:val="14"/>
                  <w:u w:val="single" w:color="auto"/>
                  <w:color w:val="0000EE"/>
                </w:rPr>
                <w:t>Consent of Grant Thornton LLP</w:t>
              </w:r>
            </w:hyperlink>
            <w:r>
              <w:rPr>
                <w:rFonts w:ascii="Arial" w:cs="Arial" w:eastAsia="Arial" w:hAnsi="Arial"/>
                <w:sz w:val="14"/>
                <w:szCs w:val="14"/>
                <w:color w:val="000000"/>
              </w:rPr>
              <w: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31.1</w:t>
            </w:r>
          </w:p>
        </w:tc>
        <w:tc>
          <w:tcPr>
            <w:tcW w:w="100" w:type="dxa"/>
            <w:vAlign w:val="bottom"/>
          </w:tcPr>
          <w:p>
            <w:pPr>
              <w:spacing w:after="0"/>
              <w:rPr>
                <w:sz w:val="13"/>
                <w:szCs w:val="13"/>
                <w:color w:val="auto"/>
              </w:rPr>
            </w:pPr>
          </w:p>
        </w:tc>
        <w:tc>
          <w:tcPr>
            <w:tcW w:w="4860" w:type="dxa"/>
            <w:vAlign w:val="bottom"/>
            <w:gridSpan w:val="32"/>
          </w:tcPr>
          <w:p>
            <w:pPr>
              <w:spacing w:after="0" w:line="154" w:lineRule="exact"/>
              <w:rPr>
                <w:rFonts w:ascii="Arial" w:cs="Arial" w:eastAsia="Arial" w:hAnsi="Arial"/>
                <w:sz w:val="14"/>
                <w:szCs w:val="14"/>
                <w:color w:val="0000EE"/>
              </w:rPr>
            </w:pPr>
            <w:hyperlink w:anchor="page74">
              <w:r>
                <w:rPr>
                  <w:rFonts w:ascii="Arial" w:cs="Arial" w:eastAsia="Arial" w:hAnsi="Arial"/>
                  <w:sz w:val="14"/>
                  <w:szCs w:val="14"/>
                  <w:color w:val="0000EE"/>
                </w:rPr>
                <w:t>Certification of Chief Executive Officer filed pursuant to Exchange Act Rules</w:t>
              </w:r>
            </w:hyperlink>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tcBorders>
              <w:top w:val="single" w:sz="8" w:color="0000EE"/>
              <w:bottom w:val="single" w:sz="8" w:color="0000EE"/>
            </w:tcBorders>
            <w:gridSpan w:val="21"/>
          </w:tcPr>
          <w:p>
            <w:pPr>
              <w:spacing w:after="0" w:line="129" w:lineRule="exact"/>
              <w:rPr>
                <w:rFonts w:ascii="Arial" w:cs="Arial" w:eastAsia="Arial" w:hAnsi="Arial"/>
                <w:sz w:val="14"/>
                <w:szCs w:val="14"/>
                <w:color w:val="0000EE"/>
                <w:w w:val="89"/>
              </w:rPr>
            </w:pPr>
            <w:hyperlink w:anchor="page74">
              <w:r>
                <w:rPr>
                  <w:rFonts w:ascii="Arial" w:cs="Arial" w:eastAsia="Arial" w:hAnsi="Arial"/>
                  <w:sz w:val="14"/>
                  <w:szCs w:val="14"/>
                  <w:color w:val="0000EE"/>
                  <w:w w:val="89"/>
                </w:rPr>
                <w:t>13a-14(a) and 15d-14(a) of the Securities and Exchange Act of 1934 as adopted</w:t>
              </w:r>
            </w:hyperlink>
          </w:p>
        </w:tc>
        <w:tc>
          <w:tcPr>
            <w:tcW w:w="120" w:type="dxa"/>
            <w:vAlign w:val="bottom"/>
            <w:tcBorders>
              <w:bottom w:val="single" w:sz="8" w:color="0000EE"/>
            </w:tcBorders>
            <w:gridSpan w:val="3"/>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1"/>
                <w:szCs w:val="11"/>
                <w:color w:val="auto"/>
              </w:rPr>
            </w:pPr>
          </w:p>
        </w:tc>
        <w:tc>
          <w:tcPr>
            <w:tcW w:w="4620" w:type="dxa"/>
            <w:vAlign w:val="bottom"/>
            <w:gridSpan w:val="25"/>
          </w:tcPr>
          <w:p>
            <w:pPr>
              <w:spacing w:after="0" w:line="129" w:lineRule="exact"/>
              <w:rPr>
                <w:rFonts w:ascii="Arial" w:cs="Arial" w:eastAsia="Arial" w:hAnsi="Arial"/>
                <w:sz w:val="14"/>
                <w:szCs w:val="14"/>
                <w:color w:val="0000EE"/>
              </w:rPr>
            </w:pPr>
            <w:hyperlink w:anchor="page74">
              <w:r>
                <w:rPr>
                  <w:rFonts w:ascii="Arial" w:cs="Arial" w:eastAsia="Arial" w:hAnsi="Arial"/>
                  <w:sz w:val="14"/>
                  <w:szCs w:val="14"/>
                  <w:color w:val="0000EE"/>
                </w:rPr>
                <w:t>pursuant to Section 302 of the Sarbanes-Oxley Act of 2002</w:t>
              </w:r>
              <w:r>
                <w:rPr>
                  <w:rFonts w:ascii="Arial" w:cs="Arial" w:eastAsia="Arial" w:hAnsi="Arial"/>
                  <w:sz w:val="14"/>
                  <w:szCs w:val="14"/>
                  <w:color w:val="000000"/>
                </w:rPr>
                <w:t>.</w:t>
              </w:r>
            </w:hyperlink>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tcBorders>
              <w:top w:val="single" w:sz="8" w:color="0000EE"/>
              <w:bottom w:val="single" w:sz="8" w:color="0000EE"/>
            </w:tcBorders>
            <w:gridSpan w:val="16"/>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Certification of Chief Financial Officer filed pursuant to</w:t>
              </w:r>
            </w:hyperlink>
          </w:p>
        </w:tc>
        <w:tc>
          <w:tcPr>
            <w:tcW w:w="1060" w:type="dxa"/>
            <w:vAlign w:val="bottom"/>
            <w:tcBorders>
              <w:bottom w:val="single" w:sz="8" w:color="0000EE"/>
            </w:tcBorders>
            <w:gridSpan w:val="4"/>
          </w:tcPr>
          <w:p>
            <w:pPr>
              <w:spacing w:after="0" w:line="142" w:lineRule="exact"/>
              <w:rPr>
                <w:rFonts w:ascii="Arial" w:cs="Arial" w:eastAsia="Arial" w:hAnsi="Arial"/>
                <w:sz w:val="14"/>
                <w:szCs w:val="14"/>
                <w:color w:val="0000EE"/>
                <w:w w:val="82"/>
              </w:rPr>
            </w:pPr>
            <w:hyperlink w:anchor="page75">
              <w:r>
                <w:rPr>
                  <w:rFonts w:ascii="Arial" w:cs="Arial" w:eastAsia="Arial" w:hAnsi="Arial"/>
                  <w:sz w:val="14"/>
                  <w:szCs w:val="14"/>
                  <w:color w:val="0000EE"/>
                  <w:w w:val="82"/>
                </w:rPr>
                <w:t>Exchange Act Rules</w:t>
              </w:r>
            </w:hyperlink>
          </w:p>
        </w:tc>
        <w:tc>
          <w:tcPr>
            <w:tcW w:w="400" w:type="dxa"/>
            <w:vAlign w:val="bottom"/>
            <w:gridSpan w:val="1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32"/>
          </w:tcPr>
          <w:p>
            <w:pPr>
              <w:spacing w:after="0" w:line="129" w:lineRule="exact"/>
              <w:rPr>
                <w:rFonts w:ascii="Arial" w:cs="Arial" w:eastAsia="Arial" w:hAnsi="Arial"/>
                <w:sz w:val="14"/>
                <w:szCs w:val="14"/>
                <w:color w:val="0000EE"/>
                <w:w w:val="97"/>
              </w:rPr>
            </w:pPr>
            <w:hyperlink w:anchor="page75">
              <w:r>
                <w:rPr>
                  <w:rFonts w:ascii="Arial" w:cs="Arial" w:eastAsia="Arial" w:hAnsi="Arial"/>
                  <w:sz w:val="14"/>
                  <w:szCs w:val="14"/>
                  <w:color w:val="0000EE"/>
                  <w:w w:val="97"/>
                </w:rPr>
                <w:t>13a-14(a) and 15d-14(a) of the Securities and Exchange Act of 1934 as adopted</w:t>
              </w:r>
            </w:hyperlink>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1"/>
                <w:szCs w:val="11"/>
                <w:color w:val="auto"/>
              </w:rPr>
            </w:pPr>
          </w:p>
        </w:tc>
        <w:tc>
          <w:tcPr>
            <w:tcW w:w="4620" w:type="dxa"/>
            <w:vAlign w:val="bottom"/>
            <w:tcBorders>
              <w:top w:val="single" w:sz="8" w:color="0000EE"/>
            </w:tcBorders>
            <w:gridSpan w:val="25"/>
          </w:tcPr>
          <w:p>
            <w:pPr>
              <w:spacing w:after="0" w:line="129" w:lineRule="exact"/>
              <w:rPr>
                <w:rFonts w:ascii="Arial" w:cs="Arial" w:eastAsia="Arial" w:hAnsi="Arial"/>
                <w:sz w:val="14"/>
                <w:szCs w:val="14"/>
                <w:color w:val="0000EE"/>
              </w:rPr>
            </w:pPr>
            <w:hyperlink w:anchor="page75">
              <w:r>
                <w:rPr>
                  <w:rFonts w:ascii="Arial" w:cs="Arial" w:eastAsia="Arial" w:hAnsi="Arial"/>
                  <w:sz w:val="14"/>
                  <w:szCs w:val="14"/>
                  <w:color w:val="0000EE"/>
                </w:rPr>
                <w:t>pursuant to Section 302 of the Sarbanes-Oxley Act of 2002.</w:t>
              </w:r>
            </w:hyperlink>
          </w:p>
        </w:tc>
        <w:tc>
          <w:tcPr>
            <w:tcW w:w="240" w:type="dxa"/>
            <w:vAlign w:val="bottom"/>
            <w:gridSpan w:val="7"/>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7"/>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4"/>
                <w:szCs w:val="14"/>
                <w:color w:val="0000EE"/>
                <w:w w:val="99"/>
              </w:rPr>
            </w:pPr>
            <w:hyperlink w:anchor="page76">
              <w:r>
                <w:rPr>
                  <w:rFonts w:ascii="Arial" w:cs="Arial" w:eastAsia="Arial" w:hAnsi="Arial"/>
                  <w:sz w:val="14"/>
                  <w:szCs w:val="14"/>
                  <w:color w:val="0000EE"/>
                  <w:w w:val="99"/>
                </w:rPr>
                <w:t>Certification by Chief Executive Officer pursuant to 18 U.S.C. Section 1350, as</w:t>
              </w:r>
            </w:hyperlink>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0" w:type="dxa"/>
            <w:vAlign w:val="bottom"/>
            <w:tcBorders>
              <w:top w:val="single" w:sz="8" w:color="0000EE"/>
            </w:tcBorders>
            <w:gridSpan w:val="24"/>
          </w:tcPr>
          <w:p>
            <w:pPr>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adopted pursuant to Section 906 of the Sarbanes-Oxley Act of 2002</w:t>
              </w:r>
              <w:r>
                <w:rPr>
                  <w:rFonts w:ascii="Arial" w:cs="Arial" w:eastAsia="Arial" w:hAnsi="Arial"/>
                  <w:sz w:val="14"/>
                  <w:szCs w:val="14"/>
                  <w:u w:val="single" w:color="auto"/>
                  <w:color w:val="000000"/>
                </w:rPr>
                <w:t>.</w:t>
              </w:r>
            </w:hyperlink>
          </w:p>
        </w:tc>
        <w:tc>
          <w:tcPr>
            <w:tcW w:w="260" w:type="dxa"/>
            <w:vAlign w:val="bottom"/>
            <w:gridSpan w:val="8"/>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32.2*</w:t>
            </w:r>
          </w:p>
        </w:tc>
        <w:tc>
          <w:tcPr>
            <w:tcW w:w="7260" w:type="dxa"/>
            <w:vAlign w:val="bottom"/>
            <w:gridSpan w:val="2"/>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Certification by Chief Financial Officer pursuant to 18 U.S.C. Section 1350, as</w:t>
              </w:r>
            </w:hyperlink>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37"/>
        </w:trPr>
        <w:tc>
          <w:tcPr>
            <w:tcW w:w="980" w:type="dxa"/>
            <w:vAlign w:val="bottom"/>
          </w:tcPr>
          <w:p>
            <w:pPr>
              <w:spacing w:after="0"/>
              <w:rPr>
                <w:sz w:val="11"/>
                <w:szCs w:val="11"/>
                <w:color w:val="auto"/>
              </w:rPr>
            </w:pPr>
          </w:p>
        </w:tc>
        <w:tc>
          <w:tcPr>
            <w:tcW w:w="4540" w:type="dxa"/>
            <w:vAlign w:val="bottom"/>
            <w:tcBorders>
              <w:top w:val="single" w:sz="8" w:color="0000EE"/>
            </w:tcBorders>
          </w:tcPr>
          <w:p>
            <w:pPr>
              <w:spacing w:after="0" w:line="137" w:lineRule="exact"/>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adopted pursuant to Section 906 of the Sarbanes-Oxley Act of 2002.</w:t>
              </w:r>
            </w:hyperlink>
          </w:p>
        </w:tc>
        <w:tc>
          <w:tcPr>
            <w:tcW w:w="2720" w:type="dxa"/>
            <w:vAlign w:val="bottom"/>
          </w:tcPr>
          <w:p>
            <w:pPr>
              <w:spacing w:after="0"/>
              <w:rPr>
                <w:sz w:val="11"/>
                <w:szCs w:val="11"/>
                <w:color w:val="auto"/>
              </w:rPr>
            </w:pPr>
          </w:p>
        </w:tc>
        <w:tc>
          <w:tcPr>
            <w:tcW w:w="2720" w:type="dxa"/>
            <w:vAlign w:val="bottom"/>
          </w:tcPr>
          <w:p>
            <w:pPr>
              <w:spacing w:after="0"/>
              <w:rPr>
                <w:sz w:val="11"/>
                <w:szCs w:val="11"/>
                <w:color w:val="auto"/>
              </w:rPr>
            </w:pPr>
          </w:p>
        </w:tc>
      </w:tr>
      <w:tr>
        <w:trPr>
          <w:trHeight w:val="149"/>
        </w:trPr>
        <w:tc>
          <w:tcPr>
            <w:tcW w:w="980" w:type="dxa"/>
            <w:vAlign w:val="bottom"/>
          </w:tcPr>
          <w:p>
            <w:pPr>
              <w:spacing w:after="0" w:line="149" w:lineRule="exact"/>
              <w:rPr>
                <w:sz w:val="20"/>
                <w:szCs w:val="20"/>
                <w:color w:val="auto"/>
              </w:rPr>
            </w:pPr>
            <w:r>
              <w:rPr>
                <w:rFonts w:ascii="Arial" w:cs="Arial" w:eastAsia="Arial" w:hAnsi="Arial"/>
                <w:sz w:val="14"/>
                <w:szCs w:val="14"/>
                <w:color w:val="auto"/>
              </w:rPr>
              <w:t>101.INS</w:t>
            </w:r>
          </w:p>
        </w:tc>
        <w:tc>
          <w:tcPr>
            <w:tcW w:w="7260" w:type="dxa"/>
            <w:vAlign w:val="bottom"/>
            <w:gridSpan w:val="2"/>
          </w:tcPr>
          <w:p>
            <w:pPr>
              <w:spacing w:after="0" w:line="149" w:lineRule="exact"/>
              <w:rPr>
                <w:sz w:val="20"/>
                <w:szCs w:val="20"/>
                <w:color w:val="auto"/>
              </w:rPr>
            </w:pPr>
            <w:r>
              <w:rPr>
                <w:rFonts w:ascii="Arial" w:cs="Arial" w:eastAsia="Arial" w:hAnsi="Arial"/>
                <w:sz w:val="14"/>
                <w:szCs w:val="14"/>
                <w:color w:val="auto"/>
              </w:rPr>
              <w:t>Inline XBRL Instance Document – the instance document does not appear in the</w:t>
            </w:r>
          </w:p>
        </w:tc>
        <w:tc>
          <w:tcPr>
            <w:tcW w:w="2720" w:type="dxa"/>
            <w:vAlign w:val="bottom"/>
          </w:tcPr>
          <w:p>
            <w:pPr>
              <w:ind w:left="2620"/>
              <w:spacing w:after="0" w:line="149" w:lineRule="exact"/>
              <w:rPr>
                <w:sz w:val="20"/>
                <w:szCs w:val="20"/>
                <w:color w:val="auto"/>
              </w:rPr>
            </w:pPr>
            <w:r>
              <w:rPr>
                <w:rFonts w:ascii="Arial" w:cs="Arial" w:eastAsia="Arial" w:hAnsi="Arial"/>
                <w:sz w:val="14"/>
                <w:szCs w:val="14"/>
                <w:color w:val="auto"/>
                <w:w w:val="85"/>
              </w:rPr>
              <w:t>X</w:t>
            </w:r>
          </w:p>
        </w:tc>
      </w:tr>
      <w:tr>
        <w:trPr>
          <w:trHeight w:val="148"/>
        </w:trPr>
        <w:tc>
          <w:tcPr>
            <w:tcW w:w="980" w:type="dxa"/>
            <w:vAlign w:val="bottom"/>
          </w:tcPr>
          <w:p>
            <w:pPr>
              <w:spacing w:after="0"/>
              <w:rPr>
                <w:sz w:val="12"/>
                <w:szCs w:val="12"/>
                <w:color w:val="auto"/>
              </w:rPr>
            </w:pPr>
          </w:p>
        </w:tc>
        <w:tc>
          <w:tcPr>
            <w:tcW w:w="7260" w:type="dxa"/>
            <w:vAlign w:val="bottom"/>
            <w:gridSpan w:val="2"/>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2720" w:type="dxa"/>
            <w:vAlign w:val="bottom"/>
          </w:tcPr>
          <w:p>
            <w:pPr>
              <w:spacing w:after="0"/>
              <w:rPr>
                <w:sz w:val="12"/>
                <w:szCs w:val="12"/>
                <w:color w:val="auto"/>
              </w:rPr>
            </w:pPr>
          </w:p>
        </w:tc>
      </w:tr>
      <w:tr>
        <w:trPr>
          <w:trHeight w:val="162"/>
        </w:trPr>
        <w:tc>
          <w:tcPr>
            <w:tcW w:w="980" w:type="dxa"/>
            <w:vAlign w:val="bottom"/>
          </w:tcPr>
          <w:p>
            <w:pPr>
              <w:spacing w:after="0"/>
              <w:rPr>
                <w:sz w:val="14"/>
                <w:szCs w:val="14"/>
                <w:color w:val="auto"/>
              </w:rPr>
            </w:pPr>
          </w:p>
        </w:tc>
        <w:tc>
          <w:tcPr>
            <w:tcW w:w="7260" w:type="dxa"/>
            <w:vAlign w:val="bottom"/>
            <w:gridSpan w:val="2"/>
          </w:tcPr>
          <w:p>
            <w:pPr>
              <w:spacing w:after="0"/>
              <w:rPr>
                <w:sz w:val="20"/>
                <w:szCs w:val="20"/>
                <w:color w:val="auto"/>
              </w:rPr>
            </w:pPr>
            <w:r>
              <w:rPr>
                <w:rFonts w:ascii="Arial" w:cs="Arial" w:eastAsia="Arial" w:hAnsi="Arial"/>
                <w:sz w:val="14"/>
                <w:szCs w:val="14"/>
                <w:color w:val="auto"/>
              </w:rPr>
              <w:t>XBRL document.</w:t>
            </w:r>
          </w:p>
        </w:tc>
        <w:tc>
          <w:tcPr>
            <w:tcW w:w="2720" w:type="dxa"/>
            <w:vAlign w:val="bottom"/>
          </w:tcPr>
          <w:p>
            <w:pPr>
              <w:spacing w:after="0"/>
              <w:rPr>
                <w:sz w:val="14"/>
                <w:szCs w:val="14"/>
                <w:color w:val="auto"/>
              </w:rPr>
            </w:pPr>
          </w:p>
        </w:tc>
      </w:t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101.SCH</w:t>
            </w:r>
          </w:p>
        </w:tc>
        <w:tc>
          <w:tcPr>
            <w:tcW w:w="7260" w:type="dxa"/>
            <w:vAlign w:val="bottom"/>
            <w:gridSpan w:val="2"/>
          </w:tcPr>
          <w:p>
            <w:pPr>
              <w:spacing w:after="0"/>
              <w:rPr>
                <w:sz w:val="20"/>
                <w:szCs w:val="20"/>
                <w:color w:val="auto"/>
              </w:rPr>
            </w:pPr>
            <w:r>
              <w:rPr>
                <w:rFonts w:ascii="Arial" w:cs="Arial" w:eastAsia="Arial" w:hAnsi="Arial"/>
                <w:sz w:val="14"/>
                <w:szCs w:val="14"/>
                <w:color w:val="auto"/>
              </w:rPr>
              <w:t>Inline XBRL Taxonomy Extension Schema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101.CAL</w:t>
            </w:r>
          </w:p>
        </w:tc>
        <w:tc>
          <w:tcPr>
            <w:tcW w:w="7260" w:type="dxa"/>
            <w:vAlign w:val="bottom"/>
            <w:gridSpan w:val="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101.DEF</w:t>
            </w:r>
          </w:p>
        </w:tc>
        <w:tc>
          <w:tcPr>
            <w:tcW w:w="7260" w:type="dxa"/>
            <w:vAlign w:val="bottom"/>
            <w:gridSpan w:val="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101.LAB</w:t>
            </w:r>
          </w:p>
        </w:tc>
        <w:tc>
          <w:tcPr>
            <w:tcW w:w="7260" w:type="dxa"/>
            <w:vAlign w:val="bottom"/>
            <w:gridSpan w:val="2"/>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101.PRE</w:t>
            </w:r>
          </w:p>
        </w:tc>
        <w:tc>
          <w:tcPr>
            <w:tcW w:w="7260" w:type="dxa"/>
            <w:vAlign w:val="bottom"/>
            <w:gridSpan w:val="2"/>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82"/>
        </w:trPr>
        <w:tc>
          <w:tcPr>
            <w:tcW w:w="980" w:type="dxa"/>
            <w:vAlign w:val="bottom"/>
          </w:tcPr>
          <w:p>
            <w:pPr>
              <w:spacing w:after="0"/>
              <w:rPr>
                <w:sz w:val="20"/>
                <w:szCs w:val="20"/>
                <w:color w:val="auto"/>
              </w:rPr>
            </w:pPr>
            <w:r>
              <w:rPr>
                <w:rFonts w:ascii="Arial" w:cs="Arial" w:eastAsia="Arial" w:hAnsi="Arial"/>
                <w:sz w:val="14"/>
                <w:szCs w:val="14"/>
                <w:color w:val="auto"/>
              </w:rPr>
              <w:t>104</w:t>
            </w:r>
          </w:p>
        </w:tc>
        <w:tc>
          <w:tcPr>
            <w:tcW w:w="726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bl>
    <w:p>
      <w:pPr>
        <w:spacing w:after="0" w:line="142" w:lineRule="exact"/>
        <w:rPr>
          <w:sz w:val="20"/>
          <w:szCs w:val="20"/>
          <w:color w:val="auto"/>
        </w:rPr>
      </w:pPr>
    </w:p>
    <w:p>
      <w:pPr>
        <w:ind w:left="980" w:hanging="972"/>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3" w:lineRule="exact"/>
        <w:rPr>
          <w:sz w:val="20"/>
          <w:szCs w:val="20"/>
          <w:color w:val="auto"/>
        </w:rPr>
      </w:pPr>
    </w:p>
    <w:p>
      <w:pPr>
        <w:ind w:left="980" w:hanging="972"/>
        <w:spacing w:after="0" w:line="237"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59" w:right="4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66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8"/>
          <w:szCs w:val="18"/>
          <w:b w:val="1"/>
          <w:bCs w:val="1"/>
          <w:color w:val="auto"/>
        </w:rPr>
        <w:t>RED VIOLET, INC.</w:t>
      </w:r>
    </w:p>
    <w:p>
      <w:pPr>
        <w:spacing w:after="0" w:line="256"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914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9146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Dubner</w:t>
            </w:r>
          </w:p>
        </w:tc>
        <w:tc>
          <w:tcPr>
            <w:tcW w:w="580" w:type="dxa"/>
            <w:vAlign w:val="bottom"/>
          </w:tcPr>
          <w:p>
            <w:pPr>
              <w:spacing w:after="0"/>
              <w:rPr>
                <w:sz w:val="24"/>
                <w:szCs w:val="24"/>
                <w:color w:val="auto"/>
              </w:rPr>
            </w:pPr>
          </w:p>
        </w:tc>
        <w:tc>
          <w:tcPr>
            <w:tcW w:w="5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Chief Executive Officer and Chairman</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Derek Dubner</w:t>
            </w:r>
          </w:p>
        </w:tc>
        <w:tc>
          <w:tcPr>
            <w:tcW w:w="580" w:type="dxa"/>
            <w:vAlign w:val="bottom"/>
          </w:tcPr>
          <w:p>
            <w:pPr>
              <w:spacing w:after="0"/>
              <w:rPr>
                <w:sz w:val="19"/>
                <w:szCs w:val="19"/>
                <w:color w:val="auto"/>
              </w:rPr>
            </w:pPr>
          </w:p>
        </w:tc>
        <w:tc>
          <w:tcPr>
            <w:tcW w:w="52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(Principal Executive Officer)</w:t>
            </w:r>
          </w:p>
        </w:tc>
        <w:tc>
          <w:tcPr>
            <w:tcW w:w="164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MacLachlan</w:t>
            </w:r>
          </w:p>
        </w:tc>
        <w:tc>
          <w:tcPr>
            <w:tcW w:w="580" w:type="dxa"/>
            <w:vAlign w:val="bottom"/>
          </w:tcPr>
          <w:p>
            <w:pPr>
              <w:spacing w:after="0"/>
              <w:rPr>
                <w:sz w:val="24"/>
                <w:szCs w:val="24"/>
                <w:color w:val="auto"/>
              </w:rPr>
            </w:pPr>
          </w:p>
        </w:tc>
        <w:tc>
          <w:tcPr>
            <w:tcW w:w="52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Chief Financial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Daniel MacLachlan</w:t>
            </w:r>
          </w:p>
        </w:tc>
        <w:tc>
          <w:tcPr>
            <w:tcW w:w="580" w:type="dxa"/>
            <w:vAlign w:val="bottom"/>
          </w:tcPr>
          <w:p>
            <w:pPr>
              <w:spacing w:after="0"/>
              <w:rPr>
                <w:sz w:val="19"/>
                <w:szCs w:val="19"/>
                <w:color w:val="auto"/>
              </w:rPr>
            </w:pPr>
          </w:p>
        </w:tc>
        <w:tc>
          <w:tcPr>
            <w:tcW w:w="52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(Principal Financial and Accounting Officer)</w:t>
            </w:r>
          </w:p>
        </w:tc>
        <w:tc>
          <w:tcPr>
            <w:tcW w:w="164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Rubin</w:t>
            </w:r>
          </w:p>
        </w:tc>
        <w:tc>
          <w:tcPr>
            <w:tcW w:w="580" w:type="dxa"/>
            <w:vAlign w:val="bottom"/>
          </w:tcPr>
          <w:p>
            <w:pPr>
              <w:spacing w:after="0"/>
              <w:rPr>
                <w:sz w:val="24"/>
                <w:szCs w:val="24"/>
                <w:color w:val="auto"/>
              </w:rPr>
            </w:pPr>
          </w:p>
        </w:tc>
        <w:tc>
          <w:tcPr>
            <w:tcW w:w="528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Steven D. Rubin</w:t>
            </w:r>
          </w:p>
        </w:tc>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Benz</w:t>
            </w:r>
          </w:p>
        </w:tc>
        <w:tc>
          <w:tcPr>
            <w:tcW w:w="580" w:type="dxa"/>
            <w:vAlign w:val="bottom"/>
          </w:tcPr>
          <w:p>
            <w:pPr>
              <w:spacing w:after="0"/>
              <w:rPr>
                <w:sz w:val="24"/>
                <w:szCs w:val="24"/>
                <w:color w:val="auto"/>
              </w:rPr>
            </w:pPr>
          </w:p>
        </w:tc>
        <w:tc>
          <w:tcPr>
            <w:tcW w:w="528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Peter Benz</w:t>
            </w:r>
          </w:p>
        </w:tc>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Swayman</w:t>
            </w:r>
          </w:p>
        </w:tc>
        <w:tc>
          <w:tcPr>
            <w:tcW w:w="580" w:type="dxa"/>
            <w:vAlign w:val="bottom"/>
          </w:tcPr>
          <w:p>
            <w:pPr>
              <w:spacing w:after="0"/>
              <w:rPr>
                <w:sz w:val="24"/>
                <w:szCs w:val="24"/>
                <w:color w:val="auto"/>
              </w:rPr>
            </w:pPr>
          </w:p>
        </w:tc>
        <w:tc>
          <w:tcPr>
            <w:tcW w:w="528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Robert Swayman</w:t>
            </w:r>
          </w:p>
        </w:tc>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00" w:type="dxa"/>
            <w:vAlign w:val="bottom"/>
          </w:tcPr>
          <w:p>
            <w:pPr>
              <w:ind w:left="1480"/>
              <w:spacing w:after="0"/>
              <w:rPr>
                <w:sz w:val="20"/>
                <w:szCs w:val="20"/>
                <w:color w:val="auto"/>
              </w:rPr>
            </w:pPr>
            <w:r>
              <w:rPr>
                <w:rFonts w:ascii="Arial" w:cs="Arial" w:eastAsia="Arial" w:hAnsi="Arial"/>
                <w:sz w:val="14"/>
                <w:szCs w:val="14"/>
                <w:b w:val="1"/>
                <w:bCs w:val="1"/>
                <w:color w:val="auto"/>
              </w:rPr>
              <w:t>Page</w:t>
            </w:r>
          </w:p>
        </w:tc>
      </w:tr>
      <w:tr>
        <w:trPr>
          <w:trHeight w:val="339"/>
        </w:trPr>
        <w:tc>
          <w:tcPr>
            <w:tcW w:w="9340" w:type="dxa"/>
            <w:vAlign w:val="bottom"/>
            <w:gridSpan w:val="3"/>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Report of independent registered public accounting firm for the years ended December 31, 2020 and 2019</w:t>
              </w:r>
            </w:hyperlink>
          </w:p>
        </w:tc>
        <w:tc>
          <w:tcPr>
            <w:tcW w:w="1900" w:type="dxa"/>
            <w:vAlign w:val="bottom"/>
          </w:tcPr>
          <w:p>
            <w:pPr>
              <w:ind w:left="1440"/>
              <w:spacing w:after="0"/>
              <w:rPr>
                <w:sz w:val="20"/>
                <w:szCs w:val="20"/>
                <w:color w:val="auto"/>
              </w:rPr>
            </w:pPr>
            <w:r>
              <w:rPr>
                <w:rFonts w:ascii="Arial" w:cs="Arial" w:eastAsia="Arial" w:hAnsi="Arial"/>
                <w:sz w:val="18"/>
                <w:szCs w:val="18"/>
                <w:color w:val="auto"/>
              </w:rPr>
              <w:t>F-2</w:t>
            </w:r>
          </w:p>
        </w:tc>
      </w:tr>
      <w:tr>
        <w:trPr>
          <w:trHeight w:val="230"/>
        </w:trPr>
        <w:tc>
          <w:tcPr>
            <w:tcW w:w="9340" w:type="dxa"/>
            <w:vAlign w:val="bottom"/>
            <w:gridSpan w:val="3"/>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balance sheets as of December 31, 2020 and 2019</w:t>
              </w:r>
            </w:hyperlink>
          </w:p>
        </w:tc>
        <w:tc>
          <w:tcPr>
            <w:tcW w:w="1900" w:type="dxa"/>
            <w:vAlign w:val="bottom"/>
          </w:tcPr>
          <w:p>
            <w:pPr>
              <w:ind w:left="1440"/>
              <w:spacing w:after="0"/>
              <w:rPr>
                <w:sz w:val="20"/>
                <w:szCs w:val="20"/>
                <w:color w:val="auto"/>
              </w:rPr>
            </w:pPr>
            <w:r>
              <w:rPr>
                <w:rFonts w:ascii="Arial" w:cs="Arial" w:eastAsia="Arial" w:hAnsi="Arial"/>
                <w:sz w:val="18"/>
                <w:szCs w:val="18"/>
                <w:color w:val="auto"/>
              </w:rPr>
              <w:t>F-3</w:t>
            </w:r>
          </w:p>
        </w:tc>
      </w:tr>
      <w:tr>
        <w:trPr>
          <w:trHeight w:val="229"/>
        </w:trPr>
        <w:tc>
          <w:tcPr>
            <w:tcW w:w="9340" w:type="dxa"/>
            <w:vAlign w:val="bottom"/>
            <w:gridSpan w:val="3"/>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operations for the years ended December 31, 2020 and 2019</w:t>
              </w:r>
            </w:hyperlink>
          </w:p>
        </w:tc>
        <w:tc>
          <w:tcPr>
            <w:tcW w:w="1900" w:type="dxa"/>
            <w:vAlign w:val="bottom"/>
          </w:tcPr>
          <w:p>
            <w:pPr>
              <w:ind w:left="1440"/>
              <w:spacing w:after="0"/>
              <w:rPr>
                <w:sz w:val="20"/>
                <w:szCs w:val="20"/>
                <w:color w:val="auto"/>
              </w:rPr>
            </w:pPr>
            <w:r>
              <w:rPr>
                <w:rFonts w:ascii="Arial" w:cs="Arial" w:eastAsia="Arial" w:hAnsi="Arial"/>
                <w:sz w:val="18"/>
                <w:szCs w:val="18"/>
                <w:color w:val="auto"/>
              </w:rPr>
              <w:t>F-4</w:t>
            </w:r>
          </w:p>
        </w:tc>
      </w:tr>
      <w:tr>
        <w:trPr>
          <w:trHeight w:val="229"/>
        </w:trPr>
        <w:tc>
          <w:tcPr>
            <w:tcW w:w="9340" w:type="dxa"/>
            <w:vAlign w:val="bottom"/>
            <w:gridSpan w:val="3"/>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changes in shareholders’ equity for the years ended December 31, 2020 and 2019</w:t>
              </w:r>
            </w:hyperlink>
          </w:p>
        </w:tc>
        <w:tc>
          <w:tcPr>
            <w:tcW w:w="1900" w:type="dxa"/>
            <w:vAlign w:val="bottom"/>
          </w:tcPr>
          <w:p>
            <w:pPr>
              <w:ind w:left="1440"/>
              <w:spacing w:after="0"/>
              <w:rPr>
                <w:sz w:val="20"/>
                <w:szCs w:val="20"/>
                <w:color w:val="auto"/>
              </w:rPr>
            </w:pPr>
            <w:r>
              <w:rPr>
                <w:rFonts w:ascii="Arial" w:cs="Arial" w:eastAsia="Arial" w:hAnsi="Arial"/>
                <w:sz w:val="18"/>
                <w:szCs w:val="18"/>
                <w:color w:val="auto"/>
              </w:rPr>
              <w:t>F-5</w:t>
            </w:r>
          </w:p>
        </w:tc>
      </w:tr>
      <w:tr>
        <w:trPr>
          <w:trHeight w:val="190"/>
        </w:trPr>
        <w:tc>
          <w:tcPr>
            <w:tcW w:w="9340" w:type="dxa"/>
            <w:vAlign w:val="bottom"/>
            <w:gridSpan w:val="3"/>
          </w:tcPr>
          <w:p>
            <w:pPr>
              <w:ind w:left="20"/>
              <w:spacing w:after="0" w:line="190" w:lineRule="exact"/>
              <w:rPr>
                <w:rFonts w:ascii="Arial" w:cs="Arial" w:eastAsia="Arial" w:hAnsi="Arial"/>
                <w:sz w:val="18"/>
                <w:szCs w:val="18"/>
                <w:color w:val="0000EE"/>
              </w:rPr>
            </w:pPr>
            <w:hyperlink w:anchor="page47">
              <w:r>
                <w:rPr>
                  <w:rFonts w:ascii="Arial" w:cs="Arial" w:eastAsia="Arial" w:hAnsi="Arial"/>
                  <w:sz w:val="18"/>
                  <w:szCs w:val="18"/>
                  <w:u w:val="single" w:color="auto"/>
                  <w:color w:val="0000EE"/>
                </w:rPr>
                <w:t>Consolidated statements of cash flows for the years ended December 31, 2020 and 201</w:t>
              </w:r>
            </w:hyperlink>
            <w:r>
              <w:rPr>
                <w:rFonts w:ascii="Arial" w:cs="Arial" w:eastAsia="Arial" w:hAnsi="Arial"/>
                <w:sz w:val="18"/>
                <w:szCs w:val="18"/>
                <w:color w:val="000000"/>
              </w:rPr>
              <w:t>9</w:t>
            </w:r>
          </w:p>
        </w:tc>
        <w:tc>
          <w:tcPr>
            <w:tcW w:w="1900" w:type="dxa"/>
            <w:vAlign w:val="bottom"/>
          </w:tcPr>
          <w:p>
            <w:pPr>
              <w:ind w:left="1440"/>
              <w:spacing w:after="0" w:line="190" w:lineRule="exact"/>
              <w:rPr>
                <w:sz w:val="20"/>
                <w:szCs w:val="20"/>
                <w:color w:val="auto"/>
              </w:rPr>
            </w:pPr>
            <w:r>
              <w:rPr>
                <w:rFonts w:ascii="Arial" w:cs="Arial" w:eastAsia="Arial" w:hAnsi="Arial"/>
                <w:sz w:val="18"/>
                <w:szCs w:val="18"/>
                <w:color w:val="auto"/>
              </w:rPr>
              <w:t>F-6</w:t>
            </w:r>
          </w:p>
        </w:tc>
      </w:tr>
      <w:tr>
        <w:trPr>
          <w:trHeight w:val="250"/>
        </w:trPr>
        <w:tc>
          <w:tcPr>
            <w:tcW w:w="6280" w:type="dxa"/>
            <w:vAlign w:val="bottom"/>
          </w:tcPr>
          <w:p>
            <w:pPr>
              <w:ind w:lef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Notes to consolidated financial statements</w:t>
              </w:r>
            </w:hyperlink>
          </w:p>
        </w:tc>
        <w:tc>
          <w:tcPr>
            <w:tcW w:w="80" w:type="dxa"/>
            <w:vAlign w:val="bottom"/>
            <w:tcBorders>
              <w:top w:val="single" w:sz="8" w:color="auto"/>
            </w:tcBorders>
          </w:tcPr>
          <w:p>
            <w:pPr>
              <w:spacing w:after="0"/>
              <w:rPr>
                <w:sz w:val="21"/>
                <w:szCs w:val="21"/>
                <w:color w:val="auto"/>
              </w:rPr>
            </w:pPr>
          </w:p>
        </w:tc>
        <w:tc>
          <w:tcPr>
            <w:tcW w:w="2980" w:type="dxa"/>
            <w:vAlign w:val="bottom"/>
          </w:tcPr>
          <w:p>
            <w:pPr>
              <w:spacing w:after="0"/>
              <w:rPr>
                <w:sz w:val="21"/>
                <w:szCs w:val="21"/>
                <w:color w:val="auto"/>
              </w:rPr>
            </w:pPr>
          </w:p>
        </w:tc>
        <w:tc>
          <w:tcPr>
            <w:tcW w:w="1900" w:type="dxa"/>
            <w:vAlign w:val="bottom"/>
          </w:tcPr>
          <w:p>
            <w:pPr>
              <w:ind w:left="1440"/>
              <w:spacing w:after="0"/>
              <w:rPr>
                <w:sz w:val="20"/>
                <w:szCs w:val="20"/>
                <w:color w:val="auto"/>
              </w:rPr>
            </w:pPr>
            <w:r>
              <w:rPr>
                <w:rFonts w:ascii="Arial" w:cs="Arial" w:eastAsia="Arial" w:hAnsi="Arial"/>
                <w:sz w:val="18"/>
                <w:szCs w:val="18"/>
                <w:color w:val="auto"/>
              </w:rPr>
              <w:t>F-7</w:t>
            </w:r>
          </w:p>
        </w:tc>
      </w:tr>
      <w:tr>
        <w:trPr>
          <w:trHeight w:val="837"/>
        </w:trPr>
        <w:tc>
          <w:tcPr>
            <w:tcW w:w="9340" w:type="dxa"/>
            <w:vAlign w:val="bottom"/>
            <w:gridSpan w:val="3"/>
          </w:tcPr>
          <w:p>
            <w:pPr>
              <w:ind w:left="5500"/>
              <w:spacing w:after="0"/>
              <w:rPr>
                <w:sz w:val="20"/>
                <w:szCs w:val="20"/>
                <w:color w:val="auto"/>
              </w:rPr>
            </w:pPr>
            <w:r>
              <w:rPr>
                <w:rFonts w:ascii="Arial" w:cs="Arial" w:eastAsia="Arial" w:hAnsi="Arial"/>
                <w:sz w:val="18"/>
                <w:szCs w:val="18"/>
                <w:color w:val="auto"/>
              </w:rPr>
              <w:t>F-1</w:t>
            </w:r>
          </w:p>
        </w:tc>
        <w:tc>
          <w:tcPr>
            <w:tcW w:w="1900" w:type="dxa"/>
            <w:vAlign w:val="bottom"/>
          </w:tcPr>
          <w:p>
            <w:pPr>
              <w:spacing w:after="0"/>
              <w:rPr>
                <w:sz w:val="24"/>
                <w:szCs w:val="24"/>
                <w:color w:val="auto"/>
              </w:rPr>
            </w:pPr>
          </w:p>
        </w:tc>
      </w:tr>
      <w:tr>
        <w:trPr>
          <w:trHeight w:val="115"/>
        </w:trPr>
        <w:tc>
          <w:tcPr>
            <w:tcW w:w="6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audited the accompanying consolidated balance sheets of Red Violet, Inc. (a Delaware corporation) and subsidiaries (the “Company”) as of December 31, 2020 and 2019, the related consolidated statements of operations, changes in shareholders’ equity, and cash flows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$38 and $40</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December 31, 2020 and 2019,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27,170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December 31, 2020 and 2019</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12,167,327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12,167,327 and 11,554,765 shares outstanding, as of</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December 31, 2020 and 2019</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0 and 103,147 shares as of December 31, 2020 and 2019</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(22,673)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43,345</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51,994</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5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12,257</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41,498</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Borders>
              <w:bottom w:val="single" w:sz="8" w:color="CFF0FC"/>
            </w:tcBorders>
          </w:tcPr>
          <w:p>
            <w:pPr>
              <w:spacing w:after="0"/>
              <w:rPr>
                <w:sz w:val="22"/>
                <w:szCs w:val="22"/>
                <w:color w:val="auto"/>
              </w:rPr>
            </w:pPr>
          </w:p>
        </w:tc>
      </w:tr>
      <w:tr>
        <w:trPr>
          <w:trHeight w:val="210"/>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10"/>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11,863,413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10,762,881</w:t>
            </w:r>
          </w:p>
        </w:tc>
        <w:tc>
          <w:tcPr>
            <w:tcW w:w="12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right"/>
              <w:ind w:right="32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10,266,613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710,299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Increase in treasury stock resulting</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from shares withheld to cover</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taxes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Issuance of common stock upon direct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offering to certain investors, net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00"/>
              <w:spacing w:after="0"/>
              <w:rPr>
                <w:sz w:val="20"/>
                <w:szCs w:val="20"/>
                <w:color w:val="auto"/>
              </w:rPr>
            </w:pPr>
            <w:r>
              <w:rPr>
                <w:rFonts w:ascii="Arial" w:cs="Arial" w:eastAsia="Arial" w:hAnsi="Arial"/>
                <w:sz w:val="18"/>
                <w:szCs w:val="18"/>
                <w:color w:val="auto"/>
              </w:rPr>
              <w:t>issuance costs of $55</w:t>
            </w:r>
          </w:p>
        </w:tc>
        <w:tc>
          <w:tcPr>
            <w:tcW w:w="920" w:type="dxa"/>
            <w:vAlign w:val="bottom"/>
          </w:tcPr>
          <w:p>
            <w:pPr>
              <w:jc w:val="right"/>
              <w:spacing w:after="0"/>
              <w:rPr>
                <w:sz w:val="20"/>
                <w:szCs w:val="20"/>
                <w:color w:val="auto"/>
              </w:rPr>
            </w:pPr>
            <w:r>
              <w:rPr>
                <w:rFonts w:ascii="Arial" w:cs="Arial" w:eastAsia="Arial" w:hAnsi="Arial"/>
                <w:sz w:val="18"/>
                <w:szCs w:val="18"/>
                <w:color w:val="auto"/>
              </w:rPr>
              <w:t>681,000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(11,076)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11,657,912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734,170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Increase in treasury stock resulting</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from shares withheld to cover</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taxes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(121,608)</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Retirement of of treasury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(224,755)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224,755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(3,083)</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(6,813)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12,167,327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60" w:type="dxa"/>
            <w:vAlign w:val="bottom"/>
            <w:gridSpan w:val="5"/>
          </w:tcPr>
          <w:p>
            <w:pPr>
              <w:jc w:val="right"/>
              <w:ind w:right="227"/>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66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6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2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(6,813)</w:t>
            </w:r>
          </w:p>
        </w:tc>
        <w:tc>
          <w:tcPr>
            <w:tcW w:w="1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(11,076)</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Noncash lease expenses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(1,860)</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w:t>
            </w: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(5,912)</w:t>
            </w: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(5,662)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1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(1,255)</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00" w:type="dxa"/>
            <w:vAlign w:val="bottom"/>
          </w:tcPr>
          <w:p>
            <w:pPr>
              <w:spacing w:after="0"/>
              <w:rPr>
                <w:sz w:val="19"/>
                <w:szCs w:val="19"/>
                <w:color w:val="auto"/>
              </w:rPr>
            </w:pP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00" w:type="dxa"/>
            <w:vAlign w:val="bottom"/>
            <w:shd w:val="clear" w:color="auto" w:fill="CFF0FC"/>
          </w:tcPr>
          <w:p>
            <w:pPr>
              <w:spacing w:after="0"/>
              <w:rPr>
                <w:sz w:val="19"/>
                <w:szCs w:val="19"/>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tcBorders>
              <w:bottom w:val="single" w:sz="8" w:color="CFF0FC"/>
            </w:tcBorders>
          </w:tcPr>
          <w:p>
            <w:pPr>
              <w:spacing w:after="0"/>
              <w:rPr>
                <w:sz w:val="22"/>
                <w:szCs w:val="22"/>
                <w:color w:val="auto"/>
              </w:rPr>
            </w:pPr>
          </w:p>
        </w:tc>
      </w:tr>
      <w:tr>
        <w:trPr>
          <w:trHeight w:val="21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206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2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Pr>
          <w:p>
            <w:pPr>
              <w:spacing w:after="0"/>
              <w:rPr>
                <w:sz w:val="19"/>
                <w:szCs w:val="19"/>
                <w:color w:val="auto"/>
              </w:rPr>
            </w:pPr>
          </w:p>
        </w:tc>
        <w:tc>
          <w:tcPr>
            <w:tcW w:w="1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206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2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Principal activities</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Red Violet, Inc. (“we,” “us,” “our,” “red violet,” or the “Company”), a Delaware corporation, is a software and services company building proprietary technologies and applying analytical capabilities to deliver identity intelligence. The Company’s technology powers critical solutions, which empower organizations to operate with confidence. The Company’s solutions enable the real-time identification and location of people, businesses, assets and their interrelationships. These solutions are used for purposes including risk mitigation, due diligence, fraud detection and prevention, regulatory compliance, and customer acquisition. The Company’s intelligent platform, CORE</w:t>
      </w:r>
      <w:r>
        <w:rPr>
          <w:rFonts w:ascii="Arial" w:cs="Arial" w:eastAsia="Arial" w:hAnsi="Arial"/>
          <w:sz w:val="15"/>
          <w:szCs w:val="15"/>
          <w:color w:val="auto"/>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The Company drives wokflow efficiency and enable organizations to make better data-driven decisions.</w:t>
      </w:r>
    </w:p>
    <w:p>
      <w:pPr>
        <w:spacing w:after="0" w:line="16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Leveraging cloud-native proprietary technology and applying machine learning and advanced analytical capabilities, the Company provides essential solutions to public and private sector organizations through intuitive, easy-to-use analytical interfaces. With massive data assets consisting of public-record, proprietary and publicly-available data, the Company’s differentiated information and innovative platform and solutions deliver intelligence relating to all things identity – entities, relationships, affiliations, interactions, and events. The Company’s solutions are used today to enable frictionless commerce, to ensure safety, and to reduce fraud and the concomitant expense borne by society.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liquidity</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accompanying consolidated financial statements have been prepared by red violet in accordance with accounting principles generally accepted in the United States (“US GAAP”).</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reported a net loss of $6,813 and $11,076 for the years ended December 31, 2020 and 2019, respectively. Net cash provided by operating activities was $6,519 and $1,647 for the years ended December 31, 2020 and 2019. As of December 31, 2020, the Company had an accumulated deficit of $22,673.</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2020, the Company had available cash and cash equivalents of $12,957, an increase of $1,181 from $11,776 as of December 31, 2019.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 from the date the financials are issued.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9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allowance for doubtful accounts, useful lives of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1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Cash and cash equivalents consist of cash on hand and bank deposits with original maturities of three months or less, which are unrestricted as to withdrawal and use.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both"/>
        <w:ind w:right="100"/>
        <w:spacing w:after="0" w:line="263" w:lineRule="auto"/>
        <w:rPr>
          <w:sz w:val="20"/>
          <w:szCs w:val="20"/>
          <w:color w:val="auto"/>
        </w:rPr>
      </w:pPr>
      <w:r>
        <w:rPr>
          <w:rFonts w:ascii="Arial" w:cs="Arial" w:eastAsia="Arial" w:hAnsi="Arial"/>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$12,957 and $11,776 as of December 31, 2020 and 2019, respectively.</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Accounts receivable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are due from customers and are generally unsecured, which consist of amounts earned but not yet collected. None of the Company’s accounts receivable bear interest.</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allowance for doubtful accounts is management’s best estimate of the amount of probable credit losses in the Company’s existing accounts receivable. Management determines the allowance based on reviews of customer-specific facts and economic conditions.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$38 and $40 as of December 31, 2020 and 2019,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Property and equipment</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214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21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When items of property and equipment are retired or otherwise disposed of, loss/income is charged or credited for the difference between the net book value and proceeds received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 other than goodwill</w:t>
      </w:r>
    </w:p>
    <w:p>
      <w:pPr>
        <w:spacing w:after="0" w:line="18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the Company capitalizes eligible costs, including salaries and staff benefits, share-based compensation expense,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Goodwill</w:t>
      </w:r>
    </w:p>
    <w:p>
      <w:pPr>
        <w:spacing w:after="0" w:line="18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December 31, 2020 and 2019, the balance of goodwill of $5,227 was as a result of the acquisition of Interactive Data, LLC (“Interactive Data”), a wholly-owned subsidiary of red violet, effective on October 2, 2014.</w:t>
      </w:r>
    </w:p>
    <w:p>
      <w:pPr>
        <w:spacing w:after="0" w:line="14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ind w:right="100"/>
        <w:spacing w:after="0" w:line="311" w:lineRule="auto"/>
        <w:rPr>
          <w:sz w:val="20"/>
          <w:szCs w:val="20"/>
          <w:color w:val="auto"/>
        </w:rPr>
      </w:pPr>
      <w:r>
        <w:rPr>
          <w:rFonts w:ascii="Arial" w:cs="Arial" w:eastAsia="Arial" w:hAnsi="Arial"/>
          <w:sz w:val="16"/>
          <w:szCs w:val="16"/>
          <w:color w:val="auto"/>
        </w:rPr>
        <w:t>The measurement date of the Company’s annual goodwill impairment test is October 1. On October 1, 2020 and 2019, the Company performed qualitative assessments on the reporting unit and, based on this assessment, no events have occurred to indicate that it is more likely than not that the fair value of the reporting unit is less than its carry amount. The Company concluded that goodwill was not impaired as of December 31, 2020 and 2019.</w:t>
      </w:r>
    </w:p>
    <w:p>
      <w:pPr>
        <w:spacing w:after="0" w:line="1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Impairment of long-lived assets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there was no impairment as of December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Fair value of financial instruments</w:t>
      </w:r>
    </w:p>
    <w:p>
      <w:pPr>
        <w:spacing w:after="0" w:line="19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These tiers include:</w:t>
      </w:r>
    </w:p>
    <w:p>
      <w:pPr>
        <w:spacing w:after="0" w:line="117"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defined as observable inputs such as quoted prices in active markets;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defined as inputs other than quoted prices in active markets that are either directly or indirectly observable;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Level 3 – defined as unobservable inputs in which little or no market data exists, therefore requiring an entity to develop its own assumptions.</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the Company’s cash and cash equivalents, receivables and payables approximate their carrying amount because of the short-term nature of these instruments. In May 2020, the Company received funding under a promissory note dated May 5, 2020 (the “Promissory Note”) evidencing an unsecured non-recourse loan in the principal amount of $2.2 million under the Coronavirus Aid, Relief, and Economic Security Act (“CARES Act”) (the “Loan”). The fair value of the Loan approximates its carrying amount as of December 31, 2020 as the interest rate approximates market rates for similar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185"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 xml:space="preserve">The Company recognized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assets. The pricing for the customer contracts is based on usage, a monthly fee, or a combination of both.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ind w:right="120"/>
        <w:spacing w:after="0" w:line="255" w:lineRule="auto"/>
        <w:rPr>
          <w:sz w:val="20"/>
          <w:szCs w:val="20"/>
          <w:color w:val="auto"/>
        </w:rPr>
      </w:pPr>
      <w:r>
        <w:rPr>
          <w:rFonts w:ascii="Arial" w:cs="Arial" w:eastAsia="Arial" w:hAnsi="Arial"/>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The Company’s revenue is recorded net of applicable sales taxes billed to customers.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4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the years ended December 31, 2020 and 2019, 73% and 65% of total revenue was attributable to customers with pricing contracts, respectively, versus 27% and 35% attributable to transactional customers, respectively. Pricing contracts are generally annual contracts or longer, with auto renewal.</w:t>
      </w:r>
    </w:p>
    <w:p>
      <w:pPr>
        <w:spacing w:after="0" w:line="97"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If a customer pays consideration before the Company transfers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December 31, 2020 and 2019, the balance of deferred revenue was $504 and $128, respectively, all of which is expected to be realized in the next 12 months. In relation to the deferred revenue balance as of December 31, 2019, $128 was recognized into revenue during the year ended December 31, 2020.</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2020, $1,296 of revenue is expected to be recognized in the future for performance obligations that are unsatisfied or partially unsatisfied, related to pricing contracts that have a term of more than 12 months. $966 of revenue will be recognized in 2021, $305 in 2022, $18 in 2023, and $7 in 2024.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43"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Cost of revenue (exclusive of depreciation and amortization)</w:t>
      </w:r>
    </w:p>
    <w:p>
      <w:pPr>
        <w:spacing w:after="0" w:line="18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Company’s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Advertising and promotion costs</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Advertising and promotion costs are charged to operations as incurred. Advertising and promotion costs, included in sales and marketing expenses amounted to $85 and $108 for the years ended December 31, 2020 and 2019,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accounts for share-based compensation to employees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5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estimated number of stock awards that will ultimately vest requires judgment, and to the extent actual results or updated estimates differ from the Company’s current estimates, such amount will be recorded as a cumulative adjustment in the period estimates are revised. Changes in the Company’s estimates and assumptions may cause us to realize material changes in share-based compensation expense in the future.</w:t>
      </w:r>
    </w:p>
    <w:p>
      <w:pPr>
        <w:spacing w:after="0" w:line="1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2020, the Company has deemed the achievement of the performance-based criteria to be probable for all share-based awards with performance-based vesting criteria.</w:t>
      </w:r>
    </w:p>
    <w:p>
      <w:pPr>
        <w:spacing w:after="0" w:line="15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applies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which generally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and supersedes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previously included the accounting for nonemployee awards.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185"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Loss per share</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 periods. Diluted loss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Loan under the CARES Act</w:t>
      </w:r>
    </w:p>
    <w:p>
      <w:pPr>
        <w:spacing w:after="0" w:line="1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Company’s policy is to account for the Loan under the CARES Act (See Note 12) as debt. The Company will continue to record the Loan as debt until either (1) the Loan is partially or entirely forgiven and the Company has been legally released, at which point the amount forgiven will be recorded as gain on extinguishment of debt or (2) the Company pays off the Loan.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(q) Contingencies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Segment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ASC 280, “Segment Reporting.”</w:t>
      </w:r>
    </w:p>
    <w:p>
      <w:pPr>
        <w:spacing w:after="0" w:line="198" w:lineRule="exact"/>
        <w:rPr>
          <w:sz w:val="20"/>
          <w:szCs w:val="20"/>
          <w:color w:val="auto"/>
        </w:rPr>
      </w:pPr>
    </w:p>
    <w:p>
      <w:pPr>
        <w:ind w:right="8320" w:firstLine="8"/>
        <w:spacing w:after="0" w:line="453" w:lineRule="auto"/>
        <w:tabs>
          <w:tab w:leader="none" w:pos="23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concentrations and risks Concentration of credit risk</w:t>
      </w:r>
    </w:p>
    <w:p>
      <w:pPr>
        <w:spacing w:after="0" w:line="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Assets that potentially subject the Company to significant concentration of credit risk primarily consist of cash and cash equivalents, and accounts receivable. As of December 31, 2020 and 2019,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year ended December 31, 2020, no individual customer accounted for more than 10% of the total revenue. For the year ended December 31, 2019, one individual customer accounted for 15% of the total revenue.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2019, there was no individual customer that accounted for more than 10% of the Company’s accounts receivable, net.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products and services depend extensively upon continued access to and receipt of data from external sources, including data received from the major credit bureaus, including the Company’s largest data supplier. The Company’s other data suppliers include strategic partners, as well as various government and public records databases. The Company’s largest data supplier, with whom the Company has expanded its relationship while securing what it believes to be favorable business terms over the years, accounted for 46% of the Company’s total data acquisition costs for the year ended December 31, 2020 compared to 40% for the year ended December 31, 2019. The initial term of the agreement, as amended, with this supplier ends April 30, 2022, and continues thereafter on a month-to-month basis unless and until either party provides the other with a minimum of 30 days’ written notice of termination.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150 days’ advance written notice to the Company and the Company may terminate this agreement by providing not less than 24 months’ advance written notice to this supplier. The remaining minimum purchase commitments through the end of the initial term is $5.7 million. If the Company is unable to maintain its relationship with its largest data supplier, its ability to provide products and services could be negatively impacted, as it would need to secure comparable data on similar terms, which would require significant time, expense, and resources, and may in the short-term adversely affect its reputation, business, financial condition and results of operations and, if it is unable to establish a similar relationship with other data suppliers over time, could have a long-term material impact on its business and financial condition.</w:t>
      </w:r>
    </w:p>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December 31, 2020, among data suppliers, two data suppliers accounted for 40% and 16% of the Company’s total accounts payable, respectively. As of December 31, 2019, among data suppliers, one data supplier accounted for 43% of the Company’s total accounts payable.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Recently issued accounting standards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an emerging growth company, the Company has left open the opportunity to take advantage of the extended transition period provided to emerging growth companies in Section 13(a) of the Exchange Act, however, it is the Company’s present intention to adopt any applicable new accounting standards timely.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ind w:right="60"/>
        <w:spacing w:after="0" w:line="271" w:lineRule="auto"/>
        <w:rPr>
          <w:sz w:val="20"/>
          <w:szCs w:val="20"/>
          <w:color w:val="auto"/>
        </w:rPr>
      </w:pPr>
      <w:r>
        <w:rPr>
          <w:rFonts w:ascii="Arial" w:cs="Arial" w:eastAsia="Arial" w:hAnsi="Arial"/>
          <w:sz w:val="17"/>
          <w:szCs w:val="17"/>
          <w:color w:val="auto"/>
        </w:rPr>
        <w:t xml:space="preserve">In August 2018, the Financial Accounting Standard Board (the “FASB”) issued Accounting Standard Updates (“ASU”) No. 2018-15 (“ASU 2018-15”),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which requires an entity (customer) in a hosting arrangement that is a service contract to follow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17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In December 2019, the FASB issued ASU No. 2019-12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is intended to improve consistent application and simplify the accounting for income taxes. This ASU removes certain exceptions to the general principals in Topic 740 and clarifies and amends existing guidance. This standard is effective for annual reporting periods beginning after December 15, 2020, including interim reporting periods within those annual reporting periods, with early adoption permitted. The Company is currently assessing the potential impact that the adoption of this ASU and does not expect the adoption of this new standard will have a material impact on its consolidated financial statements and related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the basic and diluted loss per share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5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(6,813)</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11,863,413</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10,762,881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(0.57)</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total of 1,764,450 unvested restricted stock units (“RSUs”) and 20,667 RSUs that were vested but not delivered have been excluded from the diluted loss per share for the year ended December 31, 2020, and a total of 2,237,827 unvested RSUs and 12,250 RSUs that were vested but not delivered have been excluded from the diluted loss per share calculation for the year ended December 31, 2019, as the impact is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 net</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w w:val="97"/>
              </w:rPr>
              <w:t>The movement of allowance for doubtful accounts is shown below:</w:t>
            </w: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vMerge w:val="continue"/>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Charges to expenses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Write-offs</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Ending balance</w:t>
            </w:r>
          </w:p>
        </w:tc>
        <w:tc>
          <w:tcPr>
            <w:tcW w:w="1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1800" w:type="dxa"/>
            <w:vAlign w:val="bottom"/>
            <w:gridSpan w:val="2"/>
          </w:tcPr>
          <w:p>
            <w:pPr>
              <w:jc w:val="right"/>
              <w:ind w:right="1087"/>
              <w:spacing w:after="0"/>
              <w:rPr>
                <w:sz w:val="20"/>
                <w:szCs w:val="20"/>
                <w:color w:val="auto"/>
              </w:rPr>
            </w:pPr>
            <w:r>
              <w:rPr>
                <w:rFonts w:ascii="Arial" w:cs="Arial" w:eastAsia="Arial" w:hAnsi="Arial"/>
                <w:sz w:val="18"/>
                <w:szCs w:val="18"/>
                <w:color w:val="auto"/>
              </w:rPr>
              <w:t>F-13</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December 31, 2020</w:t>
            </w:r>
          </w:p>
        </w:tc>
        <w:tc>
          <w:tcPr>
            <w:tcW w:w="20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and network equipment</w:t>
            </w:r>
          </w:p>
        </w:tc>
        <w:tc>
          <w:tcPr>
            <w:tcW w:w="2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cost</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property and equipment of $226 and $252 was recorded for the years ended December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1"/>
              </w:rPr>
              <w:t>December 31, 2020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5"/>
              </w:rPr>
              <w:t>December 31, 2019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340" w:type="dxa"/>
            <w:vAlign w:val="bottom"/>
            <w:gridSpan w:val="4"/>
          </w:tcPr>
          <w:p>
            <w:pPr>
              <w:jc w:val="center"/>
              <w:ind w:right="35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6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34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5"/>
              </w:rPr>
              <w:t>Amortization</w:t>
            </w: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0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Amortization expenses of $3,990 and $2,637 were included in depreciation and amortization expense for the years ended December 31, 2020 and 2019, respectively. As of December 31, 2020, intangible assets of $2,677, included in the gross amounts of software developed for internal use, have not started amortization, as they are not ready for their intended use.</w:t>
      </w:r>
    </w:p>
    <w:p>
      <w:pPr>
        <w:spacing w:after="0" w:line="14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$7,346 and $6,700 during the years ended December 31,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estimated amortization expenses related to the Company’s intangible assets for 2021 through 2025 and thereafter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60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2022</w:t>
            </w:r>
          </w:p>
        </w:tc>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4,932</w:t>
            </w:r>
          </w:p>
        </w:tc>
        <w:tc>
          <w:tcPr>
            <w:tcW w:w="120" w:type="dxa"/>
            <w:vAlign w:val="bottom"/>
          </w:tcPr>
          <w:p>
            <w:pPr>
              <w:spacing w:after="0"/>
              <w:rPr>
                <w:sz w:val="19"/>
                <w:szCs w:val="19"/>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12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2024</w:t>
            </w:r>
          </w:p>
        </w:tc>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120" w:type="dxa"/>
            <w:vAlign w:val="bottom"/>
            <w:shd w:val="clear" w:color="auto" w:fill="CFF0FC"/>
          </w:tcPr>
          <w:p>
            <w:pPr>
              <w:spacing w:after="0"/>
              <w:rPr>
                <w:sz w:val="19"/>
                <w:szCs w:val="19"/>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60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120" w:type="dxa"/>
            <w:vAlign w:val="bottom"/>
            <w:tcBorders>
              <w:bottom w:val="single" w:sz="8" w:color="CFF0FC"/>
            </w:tcBorders>
          </w:tcPr>
          <w:p>
            <w:pPr>
              <w:spacing w:after="0"/>
              <w:rPr>
                <w:sz w:val="19"/>
                <w:szCs w:val="19"/>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6240" w:type="dxa"/>
            <w:vAlign w:val="bottom"/>
            <w:gridSpan w:val="2"/>
          </w:tcPr>
          <w:p>
            <w:pPr>
              <w:jc w:val="right"/>
              <w:ind w:right="3790"/>
              <w:spacing w:after="0"/>
              <w:rPr>
                <w:sz w:val="20"/>
                <w:szCs w:val="20"/>
                <w:color w:val="auto"/>
              </w:rPr>
            </w:pPr>
            <w:r>
              <w:rPr>
                <w:rFonts w:ascii="Arial" w:cs="Arial" w:eastAsia="Arial" w:hAnsi="Arial"/>
                <w:sz w:val="18"/>
                <w:szCs w:val="18"/>
                <w:color w:val="auto"/>
              </w:rPr>
              <w:t>F-14</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1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Accrued data acquisition costs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expenses payable</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tcPr>
          <w:p>
            <w:pPr>
              <w:spacing w:after="0"/>
              <w:rPr>
                <w:sz w:val="19"/>
                <w:szCs w:val="19"/>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federal and state income taxes in the United States. The income taxes on loss before income taxes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EF0FC"/>
            </w:tcBorders>
            <w:vMerge w:val="continue"/>
          </w:tcPr>
          <w:p>
            <w:pPr>
              <w:spacing w:after="0"/>
              <w:rPr>
                <w:sz w:val="13"/>
                <w:szCs w:val="13"/>
                <w:color w:val="auto"/>
              </w:rPr>
            </w:pPr>
          </w:p>
        </w:tc>
        <w:tc>
          <w:tcPr>
            <w:tcW w:w="2480" w:type="dxa"/>
            <w:vAlign w:val="bottom"/>
            <w:tcBorders>
              <w:bottom w:val="single" w:sz="8" w:color="CE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75"/>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EF0FC"/>
            </w:tcBorders>
          </w:tcPr>
          <w:p>
            <w:pPr>
              <w:spacing w:after="0"/>
              <w:rPr>
                <w:sz w:val="13"/>
                <w:szCs w:val="13"/>
                <w:color w:val="auto"/>
              </w:rPr>
            </w:pPr>
          </w:p>
        </w:tc>
        <w:tc>
          <w:tcPr>
            <w:tcW w:w="20" w:type="dxa"/>
            <w:vAlign w:val="bottom"/>
            <w:tcBorders>
              <w:bottom w:val="single" w:sz="8" w:color="CE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E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EF0FC"/>
          </w:tcPr>
          <w:p>
            <w:pPr>
              <w:spacing w:after="0"/>
              <w:rPr>
                <w:sz w:val="20"/>
                <w:szCs w:val="20"/>
                <w:color w:val="auto"/>
              </w:rPr>
            </w:pPr>
            <w:r>
              <w:rPr>
                <w:rFonts w:ascii="Arial" w:cs="Arial" w:eastAsia="Arial" w:hAnsi="Arial"/>
                <w:sz w:val="18"/>
                <w:szCs w:val="18"/>
                <w:color w:val="auto"/>
              </w:rPr>
              <w:t>Current</w:t>
            </w:r>
          </w:p>
        </w:tc>
        <w:tc>
          <w:tcPr>
            <w:tcW w:w="2480" w:type="dxa"/>
            <w:vAlign w:val="bottom"/>
            <w:shd w:val="clear" w:color="auto" w:fill="CEF0FC"/>
          </w:tcPr>
          <w:p>
            <w:pPr>
              <w:spacing w:after="0"/>
              <w:rPr>
                <w:sz w:val="19"/>
                <w:szCs w:val="19"/>
                <w:color w:val="auto"/>
              </w:rPr>
            </w:pPr>
          </w:p>
        </w:tc>
        <w:tc>
          <w:tcPr>
            <w:tcW w:w="480" w:type="dxa"/>
            <w:vAlign w:val="bottom"/>
            <w:shd w:val="clear" w:color="auto" w:fill="CEF0FC"/>
          </w:tcPr>
          <w:p>
            <w:pPr>
              <w:spacing w:after="0"/>
              <w:rPr>
                <w:sz w:val="19"/>
                <w:szCs w:val="19"/>
                <w:color w:val="auto"/>
              </w:rPr>
            </w:pPr>
          </w:p>
        </w:tc>
        <w:tc>
          <w:tcPr>
            <w:tcW w:w="1540" w:type="dxa"/>
            <w:vAlign w:val="bottom"/>
            <w:shd w:val="clear" w:color="auto" w:fill="CEF0FC"/>
          </w:tcPr>
          <w:p>
            <w:pPr>
              <w:spacing w:after="0"/>
              <w:rPr>
                <w:sz w:val="19"/>
                <w:szCs w:val="19"/>
                <w:color w:val="auto"/>
              </w:rPr>
            </w:pPr>
          </w:p>
        </w:tc>
        <w:tc>
          <w:tcPr>
            <w:tcW w:w="3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720" w:type="dxa"/>
            <w:vAlign w:val="bottom"/>
            <w:shd w:val="clear" w:color="auto" w:fill="CEF0FC"/>
          </w:tcPr>
          <w:p>
            <w:pPr>
              <w:spacing w:after="0"/>
              <w:rPr>
                <w:sz w:val="19"/>
                <w:szCs w:val="19"/>
                <w:color w:val="auto"/>
              </w:rPr>
            </w:pPr>
          </w:p>
        </w:tc>
        <w:tc>
          <w:tcPr>
            <w:tcW w:w="130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00"/>
              <w:spacing w:after="0"/>
              <w:rPr>
                <w:sz w:val="20"/>
                <w:szCs w:val="20"/>
                <w:color w:val="auto"/>
              </w:rPr>
            </w:pPr>
            <w:r>
              <w:rPr>
                <w:rFonts w:ascii="Arial" w:cs="Arial" w:eastAsia="Arial" w:hAnsi="Arial"/>
                <w:sz w:val="18"/>
                <w:szCs w:val="18"/>
                <w:color w:val="auto"/>
              </w:rPr>
              <w:t>Federal and state</w:t>
            </w:r>
          </w:p>
        </w:tc>
        <w:tc>
          <w:tcPr>
            <w:tcW w:w="29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EF0FC"/>
          </w:tcPr>
          <w:p>
            <w:pPr>
              <w:spacing w:after="0"/>
              <w:rPr>
                <w:sz w:val="20"/>
                <w:szCs w:val="20"/>
                <w:color w:val="auto"/>
              </w:rPr>
            </w:pPr>
            <w:r>
              <w:rPr>
                <w:rFonts w:ascii="Arial" w:cs="Arial" w:eastAsia="Arial" w:hAnsi="Arial"/>
                <w:sz w:val="18"/>
                <w:szCs w:val="18"/>
                <w:color w:val="auto"/>
              </w:rPr>
              <w:t>Deferred</w:t>
            </w:r>
          </w:p>
        </w:tc>
        <w:tc>
          <w:tcPr>
            <w:tcW w:w="2480" w:type="dxa"/>
            <w:vAlign w:val="bottom"/>
            <w:shd w:val="clear" w:color="auto" w:fill="CEF0FC"/>
          </w:tcPr>
          <w:p>
            <w:pPr>
              <w:spacing w:after="0"/>
              <w:rPr>
                <w:sz w:val="19"/>
                <w:szCs w:val="19"/>
                <w:color w:val="auto"/>
              </w:rPr>
            </w:pPr>
          </w:p>
        </w:tc>
        <w:tc>
          <w:tcPr>
            <w:tcW w:w="480" w:type="dxa"/>
            <w:vAlign w:val="bottom"/>
            <w:shd w:val="clear" w:color="auto" w:fill="CEF0FC"/>
          </w:tcPr>
          <w:p>
            <w:pPr>
              <w:spacing w:after="0"/>
              <w:rPr>
                <w:sz w:val="19"/>
                <w:szCs w:val="19"/>
                <w:color w:val="auto"/>
              </w:rPr>
            </w:pPr>
          </w:p>
        </w:tc>
        <w:tc>
          <w:tcPr>
            <w:tcW w:w="1540" w:type="dxa"/>
            <w:vAlign w:val="bottom"/>
            <w:shd w:val="clear" w:color="auto" w:fill="CEF0FC"/>
          </w:tcPr>
          <w:p>
            <w:pPr>
              <w:spacing w:after="0"/>
              <w:rPr>
                <w:sz w:val="19"/>
                <w:szCs w:val="19"/>
                <w:color w:val="auto"/>
              </w:rPr>
            </w:pPr>
          </w:p>
        </w:tc>
        <w:tc>
          <w:tcPr>
            <w:tcW w:w="3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720" w:type="dxa"/>
            <w:vAlign w:val="bottom"/>
            <w:shd w:val="clear" w:color="auto" w:fill="CEF0FC"/>
          </w:tcPr>
          <w:p>
            <w:pPr>
              <w:spacing w:after="0"/>
              <w:rPr>
                <w:sz w:val="19"/>
                <w:szCs w:val="19"/>
                <w:color w:val="auto"/>
              </w:rPr>
            </w:pPr>
          </w:p>
        </w:tc>
        <w:tc>
          <w:tcPr>
            <w:tcW w:w="130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00"/>
              <w:spacing w:after="0"/>
              <w:rPr>
                <w:sz w:val="20"/>
                <w:szCs w:val="20"/>
                <w:color w:val="auto"/>
              </w:rPr>
            </w:pPr>
            <w:r>
              <w:rPr>
                <w:rFonts w:ascii="Arial" w:cs="Arial" w:eastAsia="Arial" w:hAnsi="Arial"/>
                <w:sz w:val="18"/>
                <w:szCs w:val="18"/>
                <w:color w:val="auto"/>
              </w:rPr>
              <w:t>Federal</w:t>
            </w: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(1,903)</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29"/>
        </w:trPr>
        <w:tc>
          <w:tcPr>
            <w:tcW w:w="4260" w:type="dxa"/>
            <w:vAlign w:val="bottom"/>
            <w:shd w:val="clear" w:color="auto" w:fill="CEF0FC"/>
          </w:tcPr>
          <w:p>
            <w:pPr>
              <w:ind w:left="100"/>
              <w:spacing w:after="0"/>
              <w:rPr>
                <w:sz w:val="20"/>
                <w:szCs w:val="20"/>
                <w:color w:val="auto"/>
              </w:rPr>
            </w:pPr>
            <w:r>
              <w:rPr>
                <w:rFonts w:ascii="Arial" w:cs="Arial" w:eastAsia="Arial" w:hAnsi="Arial"/>
                <w:sz w:val="18"/>
                <w:szCs w:val="18"/>
                <w:color w:val="auto"/>
              </w:rPr>
              <w:t>State</w:t>
            </w:r>
          </w:p>
        </w:tc>
        <w:tc>
          <w:tcPr>
            <w:tcW w:w="2480" w:type="dxa"/>
            <w:vAlign w:val="bottom"/>
            <w:shd w:val="clear" w:color="auto" w:fill="CEF0FC"/>
          </w:tcPr>
          <w:p>
            <w:pPr>
              <w:spacing w:after="0"/>
              <w:rPr>
                <w:sz w:val="19"/>
                <w:szCs w:val="19"/>
                <w:color w:val="auto"/>
              </w:rPr>
            </w:pPr>
          </w:p>
        </w:tc>
        <w:tc>
          <w:tcPr>
            <w:tcW w:w="480" w:type="dxa"/>
            <w:vAlign w:val="bottom"/>
            <w:shd w:val="clear" w:color="auto" w:fill="CEF0FC"/>
          </w:tcPr>
          <w:p>
            <w:pPr>
              <w:spacing w:after="0"/>
              <w:rPr>
                <w:sz w:val="19"/>
                <w:szCs w:val="19"/>
                <w:color w:val="auto"/>
              </w:rPr>
            </w:pPr>
          </w:p>
        </w:tc>
        <w:tc>
          <w:tcPr>
            <w:tcW w:w="1880" w:type="dxa"/>
            <w:vAlign w:val="bottom"/>
            <w:gridSpan w:val="2"/>
            <w:shd w:val="clear" w:color="auto" w:fill="CEF0FC"/>
          </w:tcPr>
          <w:p>
            <w:pPr>
              <w:jc w:val="right"/>
              <w:ind w:right="280"/>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EF0FC"/>
          </w:tcPr>
          <w:p>
            <w:pPr>
              <w:spacing w:after="0"/>
              <w:rPr>
                <w:sz w:val="19"/>
                <w:szCs w:val="19"/>
                <w:color w:val="auto"/>
              </w:rPr>
            </w:pPr>
          </w:p>
        </w:tc>
        <w:tc>
          <w:tcPr>
            <w:tcW w:w="720" w:type="dxa"/>
            <w:vAlign w:val="bottom"/>
            <w:shd w:val="clear" w:color="auto" w:fill="CEF0FC"/>
          </w:tcPr>
          <w:p>
            <w:pPr>
              <w:spacing w:after="0"/>
              <w:rPr>
                <w:sz w:val="19"/>
                <w:szCs w:val="19"/>
                <w:color w:val="auto"/>
              </w:rPr>
            </w:pPr>
          </w:p>
        </w:tc>
        <w:tc>
          <w:tcPr>
            <w:tcW w:w="1400" w:type="dxa"/>
            <w:vAlign w:val="bottom"/>
            <w:gridSpan w:val="2"/>
            <w:shd w:val="clear" w:color="auto" w:fill="CEF0FC"/>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EF0FC"/>
            </w:tcBorders>
          </w:tcPr>
          <w:p>
            <w:pPr>
              <w:ind w:left="100"/>
              <w:spacing w:after="0"/>
              <w:rPr>
                <w:sz w:val="20"/>
                <w:szCs w:val="20"/>
                <w:color w:val="auto"/>
              </w:rPr>
            </w:pPr>
            <w:r>
              <w:rPr>
                <w:rFonts w:ascii="Arial" w:cs="Arial" w:eastAsia="Arial" w:hAnsi="Arial"/>
                <w:sz w:val="18"/>
                <w:szCs w:val="18"/>
                <w:color w:val="auto"/>
              </w:rPr>
              <w:t>Valuation allowance</w:t>
            </w:r>
          </w:p>
        </w:tc>
        <w:tc>
          <w:tcPr>
            <w:tcW w:w="2480" w:type="dxa"/>
            <w:vAlign w:val="bottom"/>
            <w:tcBorders>
              <w:bottom w:val="single" w:sz="8" w:color="CE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340" w:type="dxa"/>
            <w:vAlign w:val="bottom"/>
            <w:tcBorders>
              <w:bottom w:val="single" w:sz="8" w:color="CEF0FC"/>
            </w:tcBorders>
          </w:tcPr>
          <w:p>
            <w:pPr>
              <w:spacing w:after="0"/>
              <w:rPr>
                <w:sz w:val="19"/>
                <w:szCs w:val="19"/>
                <w:color w:val="auto"/>
              </w:rPr>
            </w:pPr>
          </w:p>
        </w:tc>
        <w:tc>
          <w:tcPr>
            <w:tcW w:w="20" w:type="dxa"/>
            <w:vAlign w:val="bottom"/>
            <w:tcBorders>
              <w:bottom w:val="single" w:sz="8" w:color="CE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E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EF0FC"/>
          </w:tcPr>
          <w:p>
            <w:pPr>
              <w:spacing w:after="0"/>
              <w:rPr>
                <w:sz w:val="19"/>
                <w:szCs w:val="19"/>
                <w:color w:val="auto"/>
              </w:rPr>
            </w:pPr>
          </w:p>
        </w:tc>
        <w:tc>
          <w:tcPr>
            <w:tcW w:w="2480" w:type="dxa"/>
            <w:vAlign w:val="bottom"/>
            <w:shd w:val="clear" w:color="auto" w:fill="CEF0FC"/>
          </w:tcPr>
          <w:p>
            <w:pPr>
              <w:spacing w:after="0"/>
              <w:rPr>
                <w:sz w:val="19"/>
                <w:szCs w:val="19"/>
                <w:color w:val="auto"/>
              </w:rPr>
            </w:pPr>
          </w:p>
        </w:tc>
        <w:tc>
          <w:tcPr>
            <w:tcW w:w="480" w:type="dxa"/>
            <w:vAlign w:val="bottom"/>
            <w:tcBorders>
              <w:bottom w:val="single" w:sz="8" w:color="auto"/>
            </w:tcBorders>
            <w:shd w:val="clear" w:color="auto" w:fill="CEF0FC"/>
          </w:tcPr>
          <w:p>
            <w:pPr>
              <w:spacing w:after="0"/>
              <w:rPr>
                <w:sz w:val="19"/>
                <w:szCs w:val="19"/>
                <w:color w:val="auto"/>
              </w:rPr>
            </w:pPr>
          </w:p>
        </w:tc>
        <w:tc>
          <w:tcPr>
            <w:tcW w:w="154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720" w:type="dxa"/>
            <w:vAlign w:val="bottom"/>
            <w:tcBorders>
              <w:bottom w:val="single" w:sz="8" w:color="auto"/>
            </w:tcBorders>
            <w:shd w:val="clear" w:color="auto" w:fill="CEF0FC"/>
          </w:tcPr>
          <w:p>
            <w:pPr>
              <w:spacing w:after="0"/>
              <w:rPr>
                <w:sz w:val="19"/>
                <w:szCs w:val="19"/>
                <w:color w:val="auto"/>
              </w:rPr>
            </w:pPr>
          </w:p>
        </w:tc>
        <w:tc>
          <w:tcPr>
            <w:tcW w:w="13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4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Company’s effective income tax benefit differed from the U.S. corporate statutory income tax rate for the years ended December 31, 2020 and 2019. A reconciliation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20" w:type="dxa"/>
            <w:vAlign w:val="bottom"/>
            <w:tcBorders>
              <w:bottom w:val="single" w:sz="8" w:color="CFF0FC"/>
            </w:tcBorders>
            <w:gridSpan w:val="3"/>
            <w:vMerge w:val="continue"/>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440"/>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 on loss before income taxes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(2,326)</w:t>
            </w:r>
          </w:p>
        </w:tc>
        <w:tc>
          <w:tcPr>
            <w:tcW w:w="4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Effect of state taxes (net of federal tax benefit)</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128"/>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Excess tax benefit from share-based compensation</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(672)</w:t>
            </w:r>
          </w:p>
        </w:tc>
        <w:tc>
          <w:tcPr>
            <w:tcW w:w="4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Nondeductible executive compensation</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(120)</w:t>
            </w:r>
          </w:p>
        </w:tc>
        <w:tc>
          <w:tcPr>
            <w:tcW w:w="4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2,808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32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660" w:type="dxa"/>
            <w:vAlign w:val="bottom"/>
            <w:vMerge w:val="restart"/>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3"/>
            <w:vMerge w:val="continue"/>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5"/>
          </w:tcPr>
          <w:p>
            <w:pPr>
              <w:spacing w:after="0"/>
              <w:rPr>
                <w:sz w:val="20"/>
                <w:szCs w:val="20"/>
                <w:color w:val="auto"/>
              </w:rPr>
            </w:pPr>
            <w:r>
              <w:rPr>
                <w:rFonts w:ascii="Arial" w:cs="Arial" w:eastAsia="Arial" w:hAnsi="Arial"/>
                <w:sz w:val="18"/>
                <w:szCs w:val="18"/>
                <w:color w:val="auto"/>
                <w:w w:val="92"/>
              </w:rPr>
              <w:t>Components of deferred tax assets and liabilities consist of the following:</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83"/>
        </w:trPr>
        <w:tc>
          <w:tcPr>
            <w:tcW w:w="43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Deferred tax assets:</w:t>
            </w:r>
          </w:p>
        </w:tc>
        <w:tc>
          <w:tcPr>
            <w:tcW w:w="66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Net operating loss carryforwards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8,994</w:t>
            </w:r>
          </w:p>
        </w:tc>
        <w:tc>
          <w:tcPr>
            <w:tcW w:w="160" w:type="dxa"/>
            <w:vAlign w:val="bottom"/>
          </w:tcPr>
          <w:p>
            <w:pPr>
              <w:spacing w:after="0"/>
              <w:rPr>
                <w:sz w:val="19"/>
                <w:szCs w:val="19"/>
                <w:color w:val="auto"/>
              </w:rPr>
            </w:pPr>
          </w:p>
        </w:tc>
        <w:tc>
          <w:tcPr>
            <w:tcW w:w="5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3"/>
          </w:tcPr>
          <w:p>
            <w:pPr>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(7,583)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3"/>
              </w:rPr>
              <w:t>Deferred tax liabilities:</w:t>
            </w:r>
          </w:p>
        </w:tc>
        <w:tc>
          <w:tcPr>
            <w:tcW w:w="26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4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deferred income tax</w:t>
            </w:r>
          </w:p>
        </w:tc>
        <w:tc>
          <w:tcPr>
            <w:tcW w:w="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4"/>
          </w:tcPr>
          <w:p>
            <w:pPr>
              <w:jc w:val="right"/>
              <w:ind w:right="1110"/>
              <w:spacing w:after="0"/>
              <w:rPr>
                <w:sz w:val="20"/>
                <w:szCs w:val="20"/>
                <w:color w:val="auto"/>
              </w:rPr>
            </w:pPr>
            <w:r>
              <w:rPr>
                <w:rFonts w:ascii="Arial" w:cs="Arial" w:eastAsia="Arial" w:hAnsi="Arial"/>
                <w:sz w:val="18"/>
                <w:szCs w:val="18"/>
                <w:color w:val="auto"/>
              </w:rPr>
              <w:t>F-15</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both"/>
        <w:ind w:right="60"/>
        <w:spacing w:after="0" w:line="259" w:lineRule="auto"/>
        <w:rPr>
          <w:sz w:val="20"/>
          <w:szCs w:val="20"/>
          <w:color w:val="auto"/>
        </w:rPr>
      </w:pPr>
      <w:r>
        <w:rPr>
          <w:rFonts w:ascii="Arial" w:cs="Arial" w:eastAsia="Arial" w:hAnsi="Arial"/>
          <w:sz w:val="18"/>
          <w:szCs w:val="18"/>
          <w:color w:val="auto"/>
        </w:rPr>
        <w:t>As of December 31, 2020, the Company had federal and state net operating loss carryforwards of $36,050 and $26,298, respectively, which begin to expire in 2035, except that $28,506 of federal net operating loss carryforwards incurred from 2018 to 2020 could be carried forward indefinitely. The Company’s net operating losses are not subject to annual Section 382 limitations due to ownership changes that could impact the future realization. The Company uses ASC 740 ordering when determining when excess tax benefits have been realized.</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Primarily due to cumulative pre-tax losses, management determined a valuation allowance of $7,583 and $5,126 was necessary as of December 31, 2020 and 2019, respectively, to reduce the deferred tax assets to the amount that is more likely than not to be realized. The change in the valuation allowance was an increase of $2,457 for the year ended December 31, 2020 and an increase of $2,808 for the year ended December 31, 2019. The increase in the valuation allowance in the years ended December 31, 2020 and 2019 is due to the increase in net operating loss carryforwards.</w:t>
      </w:r>
    </w:p>
    <w:p>
      <w:pPr>
        <w:spacing w:after="0" w:line="1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2017 remain open for tax examinations.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December 31, 2020 and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 and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December 31, 2020 and 2019, the number of authorized shares of common stock was 200,000,000, with a par value of $0.001 per share, of which, 12,167,327 and 11,657,912 shares of common stock were issued, respectively, which included shares of treasury stock of 0 and 103,147,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change in the number of issued shares of common stock was due to the following issuance:</w:t>
      </w:r>
    </w:p>
    <w:p>
      <w:pPr>
        <w:spacing w:after="0" w:line="185" w:lineRule="exact"/>
        <w:rPr>
          <w:sz w:val="20"/>
          <w:szCs w:val="20"/>
          <w:color w:val="auto"/>
        </w:rPr>
      </w:pPr>
    </w:p>
    <w:p>
      <w:pPr>
        <w:ind w:left="380" w:right="36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aggregate of 710,299 shares of common stock were issued as a result of the vesting of RSUs, of which, 103,147 shares of common stock were withheld to pay withholding taxes upon such vesting, which are reflected in treasury stock.</w:t>
      </w:r>
    </w:p>
    <w:p>
      <w:pPr>
        <w:spacing w:after="0" w:line="129" w:lineRule="exact"/>
        <w:rPr>
          <w:rFonts w:ascii="Arial" w:cs="Arial" w:eastAsia="Arial" w:hAnsi="Arial"/>
          <w:sz w:val="18"/>
          <w:szCs w:val="18"/>
          <w:color w:val="auto"/>
        </w:rPr>
      </w:pPr>
    </w:p>
    <w:p>
      <w:pPr>
        <w:ind w:left="380" w:right="380" w:hanging="372"/>
        <w:spacing w:after="0" w:line="34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aggregate of 681,000 shares of common stock, with an issuance price of $11.00 per share, were issued in a registered direct offering to certain investors, pursuant to a securities purchase agreement entered into on August 28, 2019. Net proceeds of $7,436 were received in August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change in the number of issued shares of common stock was due to the following factors:</w:t>
      </w:r>
    </w:p>
    <w:p>
      <w:pPr>
        <w:spacing w:after="0" w:line="185" w:lineRule="exact"/>
        <w:rPr>
          <w:sz w:val="20"/>
          <w:szCs w:val="20"/>
          <w:color w:val="auto"/>
        </w:rPr>
      </w:pPr>
    </w:p>
    <w:p>
      <w:pPr>
        <w:ind w:left="380" w:right="8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aggregate of 734,170 shares of common stock issued as a result of the vesting of RSUs, of which, 121,608 shares of common stock were withheld to pay withholding taxes upon such vesting, which were reflected in treasury stock.</w:t>
      </w:r>
    </w:p>
    <w:p>
      <w:pPr>
        <w:spacing w:after="0" w:line="129"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November 2020, 224,755 shares of treasury stock were retired.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2019, the Company held 103,147 shares of treasury stock, with a cost of $1,255. There was no treasury stock as of December 31, 2018. This increase in treasury stock was due to shares withheld to pay withholding taxes upon the vesting of RSUs.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was no treasury stock as of December 31, 2020. The change in treasury stock duing the year ended December 31, 2020 was due to the following factors: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ind w:left="380" w:hanging="372"/>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increase of 121,608 shares in treasury stock, with a cost of $1,828, was due to shares withheld to pay withholding taxes upon the vesting of RSUs.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November 2020, 224,755 shares of treasury stock were retired.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2020 and 2019, the Company had 10,000,000 shares of preferred stock with par value of $0.001 per share authorized, and there were no shares of preferred stock issued or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8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w:t>
      </w:r>
    </w:p>
    <w:p>
      <w:pPr>
        <w:spacing w:after="0" w:line="149"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1,270,415 shares of common stock available for future issuance under the 2018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Details of unvested RSUs activity during the years ended December 31, 2019 and 2020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2018</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2,121,000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917,500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(607,152)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Withheld as treasury stock</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(103,147)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Vested not delivered</w:t>
            </w: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(12,250)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Forfeited</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(78,124)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2,237,827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283,459</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(612,561)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Withheld as treasury stock</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(121,608)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Vested not delivered</w:t>
            </w: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Forfeited</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(14,250)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2020</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1,764,450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treasury stock (included in “Withheld as treasury stock” above) was due to shares withheld to pay statutory taxes upon the vesting of RSUs during the years ended December 31, 2019 and 2020. Refer to Note 9 for details.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Included in the details above, there were certain grants of RSUs with both time- and performance-based conditions. Details of such grants of RSUs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Weighted average</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w w:val="96"/>
              </w:rPr>
              <w:t>Amortization of share-based compensation</w:t>
            </w: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RSU grants with</w:t>
            </w: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305"/>
              <w:spacing w:after="0" w:line="142" w:lineRule="exact"/>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420"/>
              <w:spacing w:after="0" w:line="142" w:lineRule="exact"/>
              <w:rPr>
                <w:sz w:val="20"/>
                <w:szCs w:val="20"/>
                <w:color w:val="auto"/>
              </w:rPr>
            </w:pPr>
            <w:r>
              <w:rPr>
                <w:rFonts w:ascii="Arial" w:cs="Arial" w:eastAsia="Arial" w:hAnsi="Arial"/>
                <w:sz w:val="13"/>
                <w:szCs w:val="13"/>
                <w:b w:val="1"/>
                <w:bCs w:val="1"/>
                <w:color w:val="auto"/>
                <w:w w:val="88"/>
              </w:rPr>
              <w:t>grant-date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560" w:type="dxa"/>
            <w:vAlign w:val="bottom"/>
            <w:tcBorders>
              <w:top w:val="single" w:sz="8" w:color="auto"/>
              <w:bottom w:val="single" w:sz="8" w:color="auto"/>
            </w:tcBorders>
            <w:gridSpan w:val="4"/>
          </w:tcPr>
          <w:p>
            <w:pPr>
              <w:jc w:val="right"/>
              <w:ind w:right="583"/>
              <w:spacing w:after="0" w:line="142" w:lineRule="exact"/>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2"/>
                <w:szCs w:val="12"/>
                <w:color w:val="auto"/>
              </w:rPr>
            </w:pPr>
          </w:p>
        </w:tc>
      </w:tr>
      <w:tr>
        <w:trPr>
          <w:trHeight w:val="142"/>
        </w:trPr>
        <w:tc>
          <w:tcPr>
            <w:tcW w:w="15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performance criteria</w:t>
            </w:r>
          </w:p>
        </w:tc>
        <w:tc>
          <w:tcPr>
            <w:tcW w:w="120" w:type="dxa"/>
            <w:vAlign w:val="bottom"/>
            <w:tcBorders>
              <w:bottom w:val="single" w:sz="8" w:color="CFF0FC"/>
            </w:tcBorders>
          </w:tcPr>
          <w:p>
            <w:pPr>
              <w:spacing w:after="0"/>
              <w:rPr>
                <w:sz w:val="12"/>
                <w:szCs w:val="12"/>
                <w:color w:val="auto"/>
              </w:rPr>
            </w:pPr>
          </w:p>
        </w:tc>
        <w:tc>
          <w:tcPr>
            <w:tcW w:w="2060" w:type="dxa"/>
            <w:vAlign w:val="bottom"/>
            <w:tcBorders>
              <w:bottom w:val="single" w:sz="8" w:color="auto"/>
            </w:tcBorders>
          </w:tcPr>
          <w:p>
            <w:pPr>
              <w:jc w:val="right"/>
              <w:ind w:right="644"/>
              <w:spacing w:after="0" w:line="142" w:lineRule="exact"/>
              <w:rPr>
                <w:sz w:val="20"/>
                <w:szCs w:val="20"/>
                <w:color w:val="auto"/>
              </w:rPr>
            </w:pPr>
            <w:r>
              <w:rPr>
                <w:rFonts w:ascii="Arial" w:cs="Arial" w:eastAsia="Arial" w:hAnsi="Arial"/>
                <w:sz w:val="13"/>
                <w:szCs w:val="13"/>
                <w:b w:val="1"/>
                <w:bCs w:val="1"/>
                <w:color w:val="auto"/>
              </w:rPr>
              <w:t>Grant dates</w:t>
            </w:r>
          </w:p>
        </w:tc>
        <w:tc>
          <w:tcPr>
            <w:tcW w:w="12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325"/>
              <w:spacing w:after="0" w:line="142" w:lineRule="exact"/>
              <w:rPr>
                <w:sz w:val="20"/>
                <w:szCs w:val="20"/>
                <w:color w:val="auto"/>
              </w:rPr>
            </w:pPr>
            <w:r>
              <w:rPr>
                <w:rFonts w:ascii="Arial" w:cs="Arial" w:eastAsia="Arial" w:hAnsi="Arial"/>
                <w:sz w:val="13"/>
                <w:szCs w:val="13"/>
                <w:b w:val="1"/>
                <w:bCs w:val="1"/>
                <w:color w:val="auto"/>
              </w:rPr>
              <w:t>of units</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3"/>
                <w:szCs w:val="13"/>
                <w:b w:val="1"/>
                <w:bCs w:val="1"/>
                <w:color w:val="auto"/>
                <w:w w:val="91"/>
              </w:rPr>
              <w:t>fair value</w:t>
            </w:r>
          </w:p>
        </w:tc>
        <w:tc>
          <w:tcPr>
            <w:tcW w:w="2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203"/>
              <w:spacing w:after="0" w:line="142" w:lineRule="exact"/>
              <w:rPr>
                <w:sz w:val="20"/>
                <w:szCs w:val="20"/>
                <w:color w:val="auto"/>
              </w:rPr>
            </w:pPr>
            <w:r>
              <w:rPr>
                <w:rFonts w:ascii="Arial" w:cs="Arial" w:eastAsia="Arial" w:hAnsi="Arial"/>
                <w:sz w:val="13"/>
                <w:szCs w:val="13"/>
                <w:b w:val="1"/>
                <w:bCs w:val="1"/>
                <w:color w:val="auto"/>
              </w:rPr>
              <w:t>Vesting period</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10"/>
        </w:trPr>
        <w:tc>
          <w:tcPr>
            <w:tcW w:w="164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Criteria One</w:t>
            </w:r>
            <w:r>
              <w:rPr>
                <w:rFonts w:ascii="Arial" w:cs="Arial" w:eastAsia="Arial" w:hAnsi="Arial"/>
                <w:sz w:val="24"/>
                <w:szCs w:val="24"/>
                <w:color w:val="auto"/>
                <w:vertAlign w:val="superscript"/>
              </w:rPr>
              <w:t>(1)</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9/5/2018 - 1/16/2019</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1,577,500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24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 years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7,724</w:t>
            </w:r>
          </w:p>
        </w:tc>
        <w:tc>
          <w:tcPr>
            <w:tcW w:w="100" w:type="dxa"/>
            <w:vAlign w:val="bottom"/>
            <w:shd w:val="clear" w:color="auto" w:fill="CFF0FC"/>
          </w:tcPr>
          <w:p>
            <w:pPr>
              <w:spacing w:after="0"/>
              <w:rPr>
                <w:sz w:val="18"/>
                <w:szCs w:val="18"/>
                <w:color w:val="auto"/>
              </w:rPr>
            </w:pPr>
          </w:p>
        </w:tc>
      </w:tr>
      <w:tr>
        <w:trPr>
          <w:trHeight w:val="216"/>
        </w:trPr>
        <w:tc>
          <w:tcPr>
            <w:tcW w:w="1640" w:type="dxa"/>
            <w:vAlign w:val="bottom"/>
            <w:gridSpan w:val="2"/>
          </w:tcPr>
          <w:p>
            <w:pPr>
              <w:spacing w:after="0" w:line="216" w:lineRule="exact"/>
              <w:rPr>
                <w:sz w:val="20"/>
                <w:szCs w:val="20"/>
                <w:color w:val="auto"/>
              </w:rPr>
            </w:pPr>
            <w:r>
              <w:rPr>
                <w:rFonts w:ascii="Arial" w:cs="Arial" w:eastAsia="Arial" w:hAnsi="Arial"/>
                <w:sz w:val="15"/>
                <w:szCs w:val="15"/>
                <w:color w:val="auto"/>
              </w:rPr>
              <w:t>Criteria Two</w:t>
            </w:r>
            <w:r>
              <w:rPr>
                <w:rFonts w:ascii="Arial" w:cs="Arial" w:eastAsia="Arial" w:hAnsi="Arial"/>
                <w:sz w:val="25"/>
                <w:szCs w:val="25"/>
                <w:color w:val="auto"/>
                <w:vertAlign w:val="superscript"/>
              </w:rPr>
              <w:t>(2)</w:t>
            </w:r>
          </w:p>
        </w:tc>
        <w:tc>
          <w:tcPr>
            <w:tcW w:w="2060" w:type="dxa"/>
            <w:vAlign w:val="bottom"/>
          </w:tcPr>
          <w:p>
            <w:pPr>
              <w:jc w:val="right"/>
              <w:spacing w:after="0"/>
              <w:rPr>
                <w:sz w:val="20"/>
                <w:szCs w:val="20"/>
                <w:color w:val="auto"/>
              </w:rPr>
            </w:pPr>
            <w:r>
              <w:rPr>
                <w:rFonts w:ascii="Arial" w:cs="Arial" w:eastAsia="Arial" w:hAnsi="Arial"/>
                <w:sz w:val="16"/>
                <w:szCs w:val="16"/>
                <w:color w:val="auto"/>
              </w:rPr>
              <w:t>8/28/2019 - 9/8/2020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277,500</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12.27</w:t>
            </w:r>
          </w:p>
        </w:tc>
        <w:tc>
          <w:tcPr>
            <w:tcW w:w="240" w:type="dxa"/>
            <w:vAlign w:val="bottom"/>
          </w:tcPr>
          <w:p>
            <w:pPr>
              <w:spacing w:after="0"/>
              <w:rPr>
                <w:sz w:val="18"/>
                <w:szCs w:val="18"/>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6"/>
                <w:szCs w:val="16"/>
                <w:color w:val="auto"/>
              </w:rPr>
              <w:t>3-4 years</w:t>
            </w:r>
          </w:p>
        </w:tc>
        <w:tc>
          <w:tcPr>
            <w:tcW w:w="1100" w:type="dxa"/>
            <w:vAlign w:val="bottom"/>
          </w:tcPr>
          <w:p>
            <w:pPr>
              <w:jc w:val="right"/>
              <w:spacing w:after="0"/>
              <w:rPr>
                <w:sz w:val="20"/>
                <w:szCs w:val="20"/>
                <w:color w:val="auto"/>
              </w:rPr>
            </w:pPr>
            <w:r>
              <w:rPr>
                <w:rFonts w:ascii="Arial" w:cs="Arial" w:eastAsia="Arial" w:hAnsi="Arial"/>
                <w:sz w:val="16"/>
                <w:szCs w:val="16"/>
                <w:color w:val="auto"/>
              </w:rPr>
              <w:t>1,239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r>
      <w:tr>
        <w:trPr>
          <w:trHeight w:val="216"/>
        </w:trPr>
        <w:tc>
          <w:tcPr>
            <w:tcW w:w="164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Criteria Three</w:t>
            </w:r>
            <w:r>
              <w:rPr>
                <w:rFonts w:ascii="Arial" w:cs="Arial" w:eastAsia="Arial" w:hAnsi="Arial"/>
                <w:sz w:val="25"/>
                <w:szCs w:val="25"/>
                <w:color w:val="auto"/>
                <w:vertAlign w:val="superscript"/>
              </w:rPr>
              <w:t>(3)</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8/28/2019 - 11/20/2020</w:t>
            </w:r>
          </w:p>
        </w:tc>
        <w:tc>
          <w:tcPr>
            <w:tcW w:w="12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455,000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 years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3,502</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FF0FC"/>
          </w:tcPr>
          <w:p>
            <w:pPr>
              <w:spacing w:after="0"/>
              <w:rPr>
                <w:sz w:val="18"/>
                <w:szCs w:val="18"/>
                <w:color w:val="auto"/>
              </w:rPr>
            </w:pPr>
          </w:p>
        </w:tc>
      </w:tr>
      <w:tr>
        <w:trPr>
          <w:trHeight w:val="206"/>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2,310,000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7,896</w:t>
            </w:r>
          </w:p>
        </w:tc>
        <w:tc>
          <w:tcPr>
            <w:tcW w:w="2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9,069</w:t>
            </w:r>
          </w:p>
        </w:tc>
        <w:tc>
          <w:tcPr>
            <w:tcW w:w="10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ind w:left="380" w:right="40" w:hanging="372"/>
        <w:spacing w:after="0" w:line="270"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RSU grants shall not vest unless and until the Company has, for any fiscal quarter in which the RSUs are outstanding, (i) gross revenue determined in accordance with the Company’s reviewed or audited financial statements in excess of $7.0 million for such fiscal quarter, (ii) 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June 30, 2019, the Company determined that the performance criteria were met. As of December 31, 2020, the remaining 555,830 shares underlying such awards are expected to vest and be issued in accordance with their time-based vesting requirement.</w:t>
      </w:r>
    </w:p>
    <w:p>
      <w:pPr>
        <w:spacing w:after="0" w:line="140" w:lineRule="exact"/>
        <w:rPr>
          <w:rFonts w:ascii="Arial" w:cs="Arial" w:eastAsia="Arial" w:hAnsi="Arial"/>
          <w:sz w:val="17"/>
          <w:szCs w:val="17"/>
          <w:color w:val="auto"/>
        </w:rPr>
      </w:pPr>
    </w:p>
    <w:p>
      <w:pPr>
        <w:ind w:left="380" w:right="100" w:hanging="372"/>
        <w:spacing w:after="0" w:line="25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RSU grants shall not vest unless and until the Company has, for any fiscal quarter in which the RSUs are outstanding, (i) gross revenue determined in accordance with the Company’s reviewed or audited financial statements in excess of $10.0 million for such fiscal quarter, (ii) positive adjusted EBITDA of at least $1.5 million, as determined based on amounts derived from the Company’s reviewed or audited financial statements for such fiscal quarter, and (iii) the recipient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performance criteria have not been met. As of the respective grant dates, the Company determined that it was probable that the Criteria Two would be met and therefore, began to record the related amortization expense on the grant dates.</w:t>
      </w:r>
    </w:p>
    <w:p>
      <w:pPr>
        <w:spacing w:after="0" w:line="155" w:lineRule="exact"/>
        <w:rPr>
          <w:rFonts w:ascii="Arial" w:cs="Arial" w:eastAsia="Arial" w:hAnsi="Arial"/>
          <w:sz w:val="18"/>
          <w:szCs w:val="18"/>
          <w:color w:val="auto"/>
        </w:rPr>
      </w:pPr>
    </w:p>
    <w:p>
      <w:pPr>
        <w:ind w:left="380" w:right="20" w:hanging="372"/>
        <w:spacing w:after="0" w:line="25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RSU grants shall not vest unless and until the Company has, for any fiscal quarter in which the RSUs are outstanding, (i) gross revenue determined in accordance with the Company’s reviewed or audited financial statements in excess of $12.5 million for such fiscal quarter, (ii) positive adjusted EBITDA of at least $2.0 million, as determined based on amounts derived from the Company’s reviewed or audited financial statements for such fiscal quarter, and the recipient continues to provide services to the Company either as an employee, director or consultant on the last day of the quarter that the performance criteria are met. Provided the respective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the respective grant dates, the Company determined that it was probable that the Criteria Three would be met and therefore, began to record the related amortization expense on the grant dates.</w:t>
      </w:r>
    </w:p>
    <w:p>
      <w:pPr>
        <w:spacing w:after="0" w:line="1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2020, unrecognized share-based compensation expense associated with the granted RSUs amounted to $11,735, which is expected to be recognized over a weighted average period of 2.2 years.</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Share-based compensation was allocated to the following accounts in the consolidated financial statements for the years ended December 31, 2020 and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60" w:type="dxa"/>
            <w:vAlign w:val="bottom"/>
            <w:tcBorders>
              <w:bottom w:val="single" w:sz="8" w:color="CFF0FC"/>
            </w:tcBorders>
            <w:vMerge w:val="continue"/>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3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3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3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3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9,902</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60" w:type="dxa"/>
            <w:vAlign w:val="bottom"/>
          </w:tcPr>
          <w:p>
            <w:pPr>
              <w:spacing w:after="0"/>
              <w:rPr>
                <w:sz w:val="24"/>
                <w:szCs w:val="24"/>
                <w:color w:val="auto"/>
              </w:rPr>
            </w:pPr>
          </w:p>
        </w:tc>
        <w:tc>
          <w:tcPr>
            <w:tcW w:w="3740" w:type="dxa"/>
            <w:vAlign w:val="bottom"/>
            <w:gridSpan w:val="2"/>
          </w:tcPr>
          <w:p>
            <w:pPr>
              <w:jc w:val="right"/>
              <w:ind w:right="1910"/>
              <w:spacing w:after="0"/>
              <w:rPr>
                <w:sz w:val="20"/>
                <w:szCs w:val="20"/>
                <w:color w:val="auto"/>
              </w:rPr>
            </w:pPr>
            <w:r>
              <w:rPr>
                <w:rFonts w:ascii="Arial" w:cs="Arial" w:eastAsia="Arial" w:hAnsi="Arial"/>
                <w:sz w:val="18"/>
                <w:szCs w:val="18"/>
                <w:color w:val="auto"/>
              </w:rPr>
              <w:t>F-18</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August 7, 2018, the Company entered into a services agreement with Mr. Michael Brauser (the “Consultant”), a greater than 10% stockholder, pursuant to which, the Consultant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Under the Services Agreement, the Consultant receives cash compensation of $30 per month and is entitled to participate in the Company’s incentive compensation plan. The Company recognized consulting service fees relating to the Services Agreement of a total of $360 during the years ended December 31, 2020 and 2019. The Consultant was also awarded additional cash compensation of $150 as a bonus for the year ended December 31, 2019. In addition, amortization of share-based compensation expense of $1,392 and $1,801 for the years ended December 31, 2020 and 2019, respectively, was recognized in relation to the RSUs previously granted to the Consultant.</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February 16, 2021, the Company entered into a Separation Agreement (the "Separation Agreement") with the Consultant. Pursuant to the Separation Agreement, the parties have agreed that the Services Agreement expiring on August 6, 2021 (“Expiration Date”), will not be renewed, but will continue in force and effect until the Expiration Date and that the Consultant will not take any actions on behalf of the Company, including pursuant to the Services Agreement, unless specifically requested in writing by the Company. Pursuant to the Separation Agreement, the Consultant also agreed (i) to certain non-solicitation obligations contained therein, (ii) that he and his affiliates will not disparage or assist or cooperate with any person or entity seeking to publicly disparage or economically harm the Company, and (iii) that the Consultant and his affiliates will not initiate any lawsuit, claim, or proceeding with respect to any claims against the Company, except (with designated exceptions) for any legal proceeding initiated solely to remedy a breach of or to enforce the Separation Agreement.</w:t>
      </w:r>
    </w:p>
    <w:p>
      <w:pPr>
        <w:spacing w:after="0" w:line="15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With respect to each annual or special meeting of the Company's stockholders until the Expiration Date of the Separation Agreement, the Consultant has agreed to vote the shares of the Company's common stock or any other securities entitled to vote then held by him or his affiliates in accordance with the board of directors' recommendations on director proposals, provided there is a change in no more than 25% of the current directors (not including changes resulting from a director's death or resignation), and the ratification of the appointment of the Company’s independent registered public accounting firm.</w:t>
      </w:r>
    </w:p>
    <w:p>
      <w:pPr>
        <w:spacing w:after="0" w:line="13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Company agreed (i) that the remaining unvested 166,666 RSUs previously granted to Consultant in accordance with the 2018 RSU Agreement will continue to vest on July 1, 2021, in accordance with and subject to all other provisions and conditions of such grant, (ii) to amend the 2020 RSU Agreement, previously granting Consultant 30,000 Restricted Stock Units such that the 30,000 Restricted Stock Units will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expects to recognize an estimated $0.7 million in share-based compensation expense over the remaining service period which ends on the Expiration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loan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May 5, 2020, the Company received funding under the Promissory Note</w:t>
      </w:r>
    </w:p>
    <w:p>
      <w:pPr>
        <w:spacing w:after="0" w:line="19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dated May 5, 2020 evidencing the Loan, an unsecured non-recourse loan in the principal amount of $2,152 under the CARES Act. The Loan to the Company was made through Legacy Bank of Florida (the “Lender”).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Long-term loan as of December 31, 2020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5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Included in consolidated balance sheet:</w:t>
            </w:r>
          </w:p>
        </w:tc>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loan</w:t>
            </w:r>
          </w:p>
        </w:tc>
        <w:tc>
          <w:tcPr>
            <w:tcW w:w="54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r>
      <w:tr>
        <w:trPr>
          <w:trHeight w:val="229"/>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loan (non-current)</w:t>
            </w:r>
          </w:p>
        </w:tc>
        <w:tc>
          <w:tcPr>
            <w:tcW w:w="5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FF0FC"/>
            </w:tcBorders>
          </w:tcPr>
          <w:p>
            <w:pPr>
              <w:spacing w:after="0"/>
              <w:rPr>
                <w:sz w:val="19"/>
                <w:szCs w:val="19"/>
                <w:color w:val="auto"/>
              </w:rPr>
            </w:pPr>
          </w:p>
        </w:tc>
      </w:tr>
      <w:tr>
        <w:trPr>
          <w:trHeight w:val="223"/>
        </w:trPr>
        <w:tc>
          <w:tcPr>
            <w:tcW w:w="4140" w:type="dxa"/>
            <w:vAlign w:val="bottom"/>
            <w:tcBorders>
              <w:bottom w:val="single" w:sz="8" w:color="CFF0FC"/>
            </w:tcBorders>
            <w:shd w:val="clear" w:color="auto" w:fill="CFF0FC"/>
          </w:tcPr>
          <w:p>
            <w:pPr>
              <w:spacing w:after="0"/>
              <w:rPr>
                <w:sz w:val="19"/>
                <w:szCs w:val="19"/>
                <w:color w:val="auto"/>
              </w:rPr>
            </w:pPr>
          </w:p>
        </w:tc>
        <w:tc>
          <w:tcPr>
            <w:tcW w:w="5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140" w:type="dxa"/>
            <w:vAlign w:val="bottom"/>
          </w:tcPr>
          <w:p>
            <w:pPr>
              <w:spacing w:after="0"/>
              <w:rPr>
                <w:sz w:val="24"/>
                <w:szCs w:val="24"/>
                <w:color w:val="auto"/>
              </w:rPr>
            </w:pPr>
          </w:p>
        </w:tc>
        <w:tc>
          <w:tcPr>
            <w:tcW w:w="5480" w:type="dxa"/>
            <w:vAlign w:val="bottom"/>
            <w:gridSpan w:val="2"/>
          </w:tcPr>
          <w:p>
            <w:pPr>
              <w:jc w:val="right"/>
              <w:ind w:right="3747"/>
              <w:spacing w:after="0"/>
              <w:rPr>
                <w:sz w:val="20"/>
                <w:szCs w:val="20"/>
                <w:color w:val="auto"/>
              </w:rPr>
            </w:pPr>
            <w:r>
              <w:rPr>
                <w:rFonts w:ascii="Arial" w:cs="Arial" w:eastAsia="Arial" w:hAnsi="Arial"/>
                <w:sz w:val="18"/>
                <w:szCs w:val="18"/>
                <w:color w:val="auto"/>
              </w:rPr>
              <w:t>F-19</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right="200"/>
        <w:spacing w:after="0" w:line="293" w:lineRule="auto"/>
        <w:rPr>
          <w:sz w:val="20"/>
          <w:szCs w:val="20"/>
          <w:color w:val="auto"/>
        </w:rPr>
      </w:pPr>
      <w:r>
        <w:rPr>
          <w:rFonts w:ascii="Arial" w:cs="Arial" w:eastAsia="Arial" w:hAnsi="Arial"/>
          <w:sz w:val="16"/>
          <w:szCs w:val="16"/>
          <w:color w:val="auto"/>
        </w:rPr>
        <w:t>The Loan has a two-year term and matures on May 5, 2022. The interest rate on the Loan is 1.0% per annum. Pursuant to the Promissory Note, payments shall be deferred for the first six months of the term of the Loan, followed by 18 approximately equal monthly installments of principal and interest. The Promissory Note contains customary events of default relating to, among other things, payment defaults, and breach of representations and warranties, or other provisions of the Promissory Note. As a result of the passage of the Paycheck Protection Program Flexibility Act of 2020 on June 5, 2020, the U.S. Small Business Administration (“SBA”), provided updated guidance that payments can be deferred until the loan forgiveness is determined, or if the Company does not apply for forgiveness, then 10 months after the Covered Period (as defined below) ends.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may be forgiven partially or fully if the Loan proceeds are used for covered payroll, rent and utility costs incurred during the 24-week period that commenced on the date of funding (the “Covered Period”), and if at least 60% of the proceeds are used for covered payroll costs. Any forgiveness of the Loan will be subject to approval by the SBA and the Lender. The Company applied for forgiveness of the Loan in November 2020. Because the Loan exceeds $2,000, the Company anticipates the U.S. Department of Treasury will audit the loan. Although the Company used the proceeds of the Loan for such covered purposes and applied for forgiveness as required, it can provide no assurance that the Company will obtain forgiveness of the Loan in whole or in part.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Loan approximates its carrying amount as of December 31, 2020 as the interest rate approximates market rates for similar loans.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8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a summary of the Company’s lease information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Operating lease costs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r>
              <w:rPr>
                <w:rFonts w:ascii="Arial" w:cs="Arial" w:eastAsia="Arial" w:hAnsi="Arial"/>
                <w:sz w:val="15"/>
                <w:szCs w:val="15"/>
                <w:color w:val="auto"/>
              </w:rPr>
              <w:t>(1)</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80" w:right="60" w:hanging="372"/>
        <w:spacing w:after="0" w:line="263"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weighted average remaining operating lease term was 3.8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As of December 31, 2020, scheduled future maturities and present value of the operating lease liabilities are as follows:</w:t>
      </w:r>
    </w:p>
    <w:p>
      <w:pPr>
        <w:sectPr>
          <w:pgSz w:w="11900" w:h="16838" w:orient="portrait"/>
          <w:cols w:equalWidth="0" w:num="1">
            <w:col w:w="11240"/>
          </w:cols>
          <w:pgMar w:left="320" w:top="517" w:right="3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Present value included in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08"/>
        <w:spacing w:after="0"/>
        <w:rPr>
          <w:sz w:val="20"/>
          <w:szCs w:val="20"/>
          <w:color w:val="auto"/>
        </w:rPr>
      </w:pPr>
      <w:r>
        <w:rPr>
          <w:rFonts w:ascii="Arial" w:cs="Arial" w:eastAsia="Arial" w:hAnsi="Arial"/>
          <w:sz w:val="14"/>
          <w:szCs w:val="14"/>
          <w:b w:val="1"/>
          <w:bCs w:val="1"/>
          <w:color w:val="auto"/>
        </w:rPr>
        <w:t>December 31, 2020</w:t>
      </w:r>
    </w:p>
    <w:p>
      <w:pPr>
        <w:spacing w:after="0" w:line="25" w:lineRule="exact"/>
        <w:rPr>
          <w:sz w:val="20"/>
          <w:szCs w:val="20"/>
          <w:color w:val="auto"/>
        </w:rPr>
      </w:pPr>
    </w:p>
    <w:p>
      <w:pPr>
        <w:ind w:left="1328" w:hanging="1328"/>
        <w:spacing w:after="0"/>
        <w:tabs>
          <w:tab w:leader="none" w:pos="1328" w:val="left"/>
        </w:tabs>
        <w:numPr>
          <w:ilvl w:val="0"/>
          <w:numId w:val="30"/>
        </w:numPr>
        <w:rPr>
          <w:rFonts w:ascii="Arial" w:cs="Arial" w:eastAsia="Arial" w:hAnsi="Arial"/>
          <w:sz w:val="15"/>
          <w:szCs w:val="15"/>
          <w:color w:val="auto"/>
        </w:rPr>
      </w:pPr>
      <w:r>
        <w:rPr>
          <w:rFonts w:ascii="Arial" w:cs="Arial" w:eastAsia="Arial" w:hAnsi="Arial"/>
          <w:sz w:val="15"/>
          <w:szCs w:val="15"/>
          <w:color w:val="auto"/>
        </w:rPr>
        <w:t>724</w:t>
      </w:r>
    </w:p>
    <w:p>
      <w:pPr>
        <w:spacing w:after="0" w:line="55" w:lineRule="exact"/>
        <w:rPr>
          <w:rFonts w:ascii="Arial" w:cs="Arial" w:eastAsia="Arial" w:hAnsi="Arial"/>
          <w:sz w:val="15"/>
          <w:szCs w:val="15"/>
          <w:color w:val="auto"/>
        </w:rPr>
      </w:pPr>
    </w:p>
    <w:p>
      <w:pPr>
        <w:ind w:left="1328"/>
        <w:spacing w:after="0"/>
        <w:rPr>
          <w:rFonts w:ascii="Arial" w:cs="Arial" w:eastAsia="Arial" w:hAnsi="Arial"/>
          <w:sz w:val="15"/>
          <w:szCs w:val="15"/>
          <w:color w:val="auto"/>
        </w:rPr>
      </w:pPr>
      <w:r>
        <w:rPr>
          <w:rFonts w:ascii="Arial" w:cs="Arial" w:eastAsia="Arial" w:hAnsi="Arial"/>
          <w:sz w:val="15"/>
          <w:szCs w:val="15"/>
          <w:color w:val="auto"/>
        </w:rPr>
        <w:t>743</w:t>
      </w:r>
    </w:p>
    <w:p>
      <w:pPr>
        <w:spacing w:after="0" w:line="57" w:lineRule="exact"/>
        <w:rPr>
          <w:rFonts w:ascii="Arial" w:cs="Arial" w:eastAsia="Arial" w:hAnsi="Arial"/>
          <w:sz w:val="15"/>
          <w:szCs w:val="15"/>
          <w:color w:val="auto"/>
        </w:rPr>
      </w:pPr>
    </w:p>
    <w:p>
      <w:pPr>
        <w:ind w:left="1328"/>
        <w:spacing w:after="0"/>
        <w:rPr>
          <w:rFonts w:ascii="Arial" w:cs="Arial" w:eastAsia="Arial" w:hAnsi="Arial"/>
          <w:sz w:val="15"/>
          <w:szCs w:val="15"/>
          <w:color w:val="auto"/>
        </w:rPr>
      </w:pPr>
      <w:r>
        <w:rPr>
          <w:rFonts w:ascii="Arial" w:cs="Arial" w:eastAsia="Arial" w:hAnsi="Arial"/>
          <w:sz w:val="15"/>
          <w:szCs w:val="15"/>
          <w:color w:val="auto"/>
        </w:rPr>
        <w:t>765</w:t>
      </w:r>
    </w:p>
    <w:p>
      <w:pPr>
        <w:spacing w:after="0" w:line="57" w:lineRule="exact"/>
        <w:rPr>
          <w:rFonts w:ascii="Arial" w:cs="Arial" w:eastAsia="Arial" w:hAnsi="Arial"/>
          <w:sz w:val="15"/>
          <w:szCs w:val="15"/>
          <w:color w:val="auto"/>
        </w:rPr>
      </w:pPr>
    </w:p>
    <w:p>
      <w:pPr>
        <w:ind w:left="1328"/>
        <w:spacing w:after="0"/>
        <w:rPr>
          <w:rFonts w:ascii="Arial" w:cs="Arial" w:eastAsia="Arial" w:hAnsi="Arial"/>
          <w:sz w:val="15"/>
          <w:szCs w:val="15"/>
          <w:color w:val="auto"/>
        </w:rPr>
      </w:pPr>
      <w:r>
        <w:rPr>
          <w:rFonts w:ascii="Arial" w:cs="Arial" w:eastAsia="Arial" w:hAnsi="Arial"/>
          <w:sz w:val="15"/>
          <w:szCs w:val="15"/>
          <w:color w:val="auto"/>
        </w:rPr>
        <w:t>542</w:t>
      </w:r>
    </w:p>
    <w:p>
      <w:pPr>
        <w:spacing w:after="0" w:line="57" w:lineRule="exact"/>
        <w:rPr>
          <w:rFonts w:ascii="Arial" w:cs="Arial" w:eastAsia="Arial" w:hAnsi="Arial"/>
          <w:sz w:val="15"/>
          <w:szCs w:val="15"/>
          <w:color w:val="auto"/>
        </w:rPr>
      </w:pPr>
    </w:p>
    <w:p>
      <w:pPr>
        <w:ind w:left="1408"/>
        <w:spacing w:after="0"/>
        <w:rPr>
          <w:rFonts w:ascii="Arial" w:cs="Arial" w:eastAsia="Arial" w:hAnsi="Arial"/>
          <w:sz w:val="15"/>
          <w:szCs w:val="15"/>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198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8" w:lineRule="exact"/>
        <w:rPr>
          <w:sz w:val="20"/>
          <w:szCs w:val="20"/>
          <w:color w:val="auto"/>
        </w:rPr>
      </w:pPr>
    </w:p>
    <w:p>
      <w:pPr>
        <w:ind w:left="1188" w:hanging="1188"/>
        <w:spacing w:after="0"/>
        <w:tabs>
          <w:tab w:leader="none" w:pos="1188" w:val="left"/>
        </w:tabs>
        <w:numPr>
          <w:ilvl w:val="0"/>
          <w:numId w:val="31"/>
        </w:numPr>
        <w:rPr>
          <w:rFonts w:ascii="Arial" w:cs="Arial" w:eastAsia="Arial" w:hAnsi="Arial"/>
          <w:sz w:val="15"/>
          <w:szCs w:val="15"/>
          <w:color w:val="auto"/>
        </w:rPr>
      </w:pPr>
      <w:r>
        <w:rPr>
          <w:rFonts w:ascii="Arial" w:cs="Arial" w:eastAsia="Arial" w:hAnsi="Arial"/>
          <w:sz w:val="15"/>
          <w:szCs w:val="15"/>
          <w:color w:val="auto"/>
        </w:rPr>
        <w:t>2,851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10198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307" w:lineRule="exact"/>
        <w:rPr>
          <w:sz w:val="20"/>
          <w:szCs w:val="20"/>
          <w:color w:val="auto"/>
        </w:rPr>
      </w:pPr>
    </w:p>
    <w:p>
      <w:pPr>
        <w:ind w:left="1328" w:hanging="1328"/>
        <w:spacing w:after="0"/>
        <w:tabs>
          <w:tab w:leader="none" w:pos="1328" w:val="left"/>
        </w:tabs>
        <w:numPr>
          <w:ilvl w:val="0"/>
          <w:numId w:val="32"/>
        </w:numPr>
        <w:rPr>
          <w:rFonts w:ascii="Arial" w:cs="Arial" w:eastAsia="Arial" w:hAnsi="Arial"/>
          <w:sz w:val="15"/>
          <w:szCs w:val="15"/>
          <w:color w:val="auto"/>
        </w:rPr>
      </w:pPr>
      <w:r>
        <w:rPr>
          <w:rFonts w:ascii="Arial" w:cs="Arial" w:eastAsia="Arial" w:hAnsi="Arial"/>
          <w:sz w:val="15"/>
          <w:szCs w:val="15"/>
          <w:color w:val="auto"/>
        </w:rPr>
        <w:t>552</w:t>
      </w:r>
    </w:p>
    <w:p>
      <w:pPr>
        <w:spacing w:after="0" w:line="57" w:lineRule="exact"/>
        <w:rPr>
          <w:rFonts w:ascii="Arial" w:cs="Arial" w:eastAsia="Arial" w:hAnsi="Arial"/>
          <w:sz w:val="15"/>
          <w:szCs w:val="15"/>
          <w:color w:val="auto"/>
        </w:rPr>
      </w:pPr>
    </w:p>
    <w:p>
      <w:pPr>
        <w:ind w:left="1188"/>
        <w:spacing w:after="0"/>
        <w:rPr>
          <w:rFonts w:ascii="Arial" w:cs="Arial" w:eastAsia="Arial" w:hAnsi="Arial"/>
          <w:sz w:val="15"/>
          <w:szCs w:val="15"/>
          <w:color w:val="auto"/>
        </w:rPr>
      </w:pPr>
      <w:r>
        <w:rPr>
          <w:rFonts w:ascii="Arial" w:cs="Arial" w:eastAsia="Arial" w:hAnsi="Arial"/>
          <w:sz w:val="15"/>
          <w:szCs w:val="15"/>
          <w:color w:val="auto"/>
        </w:rPr>
        <w:t>1,908</w:t>
      </w:r>
    </w:p>
    <w:p>
      <w:pPr>
        <w:spacing w:after="0" w:line="57" w:lineRule="exact"/>
        <w:rPr>
          <w:sz w:val="20"/>
          <w:szCs w:val="20"/>
          <w:color w:val="auto"/>
        </w:rPr>
      </w:pPr>
    </w:p>
    <w:p>
      <w:pPr>
        <w:sectPr>
          <w:pgSz w:w="11900" w:h="16838" w:orient="portrait"/>
          <w:cols w:equalWidth="0" w:num="2">
            <w:col w:w="8792" w:space="720"/>
            <w:col w:w="1728"/>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FF0FC"/>
            </w:tcBorders>
          </w:tcPr>
          <w:p>
            <w:pPr>
              <w:spacing w:after="0"/>
              <w:rPr>
                <w:sz w:val="22"/>
                <w:szCs w:val="22"/>
                <w:color w:val="auto"/>
              </w:rPr>
            </w:pPr>
          </w:p>
        </w:tc>
      </w:tr>
      <w:tr>
        <w:trPr>
          <w:trHeight w:val="210"/>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9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8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incurred data costs of $8,493 and $7,507 for the years ended December 31, 2020 and 2019, respectively, under certain data licensing agreements. As of December 31, 2020, future material capital commitments under certain data licensing agreements were $10,888, shown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Employment agreements</w:t>
      </w:r>
    </w:p>
    <w:p>
      <w:pPr>
        <w:spacing w:after="0" w:line="18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has employment agreements with certain executives, mainly including its Chief Executive Officer, President, Chief Financial Officer and Chief Information Officer, which provide for compensation and certain other benefits and for severance payments under certain circumstances.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Contingency</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(d) Covid-19 update</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as appropriate, to minimize the impact of the Covid-19 pandemic on the Company’s business, results of operations and financial performance. To ensure the health and well-being of its employees, beginning in March 2020, the Company instructed employees at its offices to work from home on a temporary basis. Starting in the second quarter of 2020, the Company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the Company experienced reduced transaction volume in the second and third quarters of 2020. Transaction volume returned to pre-Covid levels by the end of the third quarter 2020, except for collection customer volume. Collection customer transaction volume remained below pre-Covid levels during the fourth quarter of 2020, down $0.9 million, primarily attributable to the Company’s idiVERIFIED service, which is an ancillary collections market offering that is purely transactional and of a lower margin profile, for the three months ended December 31, 2020, compared to the three months ended March 31, 2020. The Company expects collection customer transaction volume, including that of its idiVERIFIED service, to return to pre-Covid levels in the second half of 2021. Beginning the second quarter of 2020, the Company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the Company provided concessions to a total of 152 customers, representing a $342 reduction in minimum committed spend. During the third quarter of 2020, the Company provided concessions to a total of 22 customers, representing a $94 reduction in minimum committed spend. During the fourth quarter of 2020, the Company provided concessions to a total of</w:t>
      </w:r>
    </w:p>
    <w:p>
      <w:pPr>
        <w:spacing w:after="0" w:line="1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7 customers, representing a $32 reduction in minimum committed spend. The Company continues to take precautionary measures intended to minimize the risk of the Covid-19 pandemic to its employees, its customers, and the communities in which it operates. These measures may result in inefficiencies, delays and additional costs to the Company’s business. The Covid-19 pandemic and its impact on the Company and the economy has significantly limited the Company’s ability to forecast its future operating results, including its ability to predict revenue and expense levels, and plan for and model future operating results. The Company will continue to evaluate the nature and extent of the impact of the COVID-19 pandemic to its business.</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further support the Company’s liquidity, beginning April 1, 2020, the Company elected, under Section 2302 of the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the Company received the Loan under the CARES Act as discussed in Note 12 above. The Company will continue to assess the CARES Act and other applicable government legislation aimed at assisting businesses during the Covid-19 pandemic. In accordance with best practices and guidance from the Centers for Disease Control and Prevention, the Company implemented protective safeguards, including daily temperature checks, mandatory wearing of masks, social distancing, plexiglass protective barriers, and an entire office HVAC UV-C system. The Company began its first phase of employees returning to the Boca Raton, Florida office in June 2020. The Company will continue to assess the need and timing of additional employees returning to the office. Given the dynamic nature of this health emergency, the full impact of the Covid-19 pandemic on the Company’s ongoing business, results of operations and overall financial performance cannot be reasonably estimated at this time.</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320" w:top="517"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This First Amendment to Employment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November 9, 2020 (the “First Amendment Effective Date”) by and between Red Violet,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Derek Dubner (the "</w:t>
      </w:r>
      <w:r>
        <w:rPr>
          <w:rFonts w:ascii="Arial" w:cs="Arial" w:eastAsia="Arial" w:hAnsi="Arial"/>
          <w:sz w:val="18"/>
          <w:szCs w:val="18"/>
          <w:u w:val="single" w:color="auto"/>
          <w:color w:val="auto"/>
        </w:rPr>
        <w:t>Executive</w:t>
      </w:r>
      <w:r>
        <w:rPr>
          <w:rFonts w:ascii="Arial" w:cs="Arial" w:eastAsia="Arial" w:hAnsi="Arial"/>
          <w:sz w:val="18"/>
          <w:szCs w:val="18"/>
          <w:color w:val="auto"/>
        </w:rPr>
        <w:t>"). Capitalized terms used herein but not otherwise defined shall have the meaning ascribed to them in the Employment Agreement (defined below).</w:t>
      </w:r>
    </w:p>
    <w:p>
      <w:pPr>
        <w:spacing w:after="0" w:line="18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entered into that certain Employment Agreement made by and between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26, 2018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Company and Executive desire to amend the Employment Agreement in accordance with the terms and provisions hereof.</w:t>
      </w:r>
    </w:p>
    <w:p>
      <w:pPr>
        <w:spacing w:after="0" w:line="2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mutual covenants and agreements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Company and Executive hereby adopt this Amendment effective as of the First Amendment Effective Date and agree as follows:</w:t>
      </w:r>
    </w:p>
    <w:p>
      <w:pPr>
        <w:spacing w:after="0" w:line="180" w:lineRule="exact"/>
        <w:rPr>
          <w:sz w:val="20"/>
          <w:szCs w:val="20"/>
          <w:color w:val="auto"/>
        </w:rPr>
      </w:pPr>
    </w:p>
    <w:p>
      <w:pPr>
        <w:ind w:left="740" w:hanging="368"/>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Paragraph 6 to Exhibit A to the Employment Agreement ("</w:t>
      </w:r>
      <w:r>
        <w:rPr>
          <w:rFonts w:ascii="Arial" w:cs="Arial" w:eastAsia="Arial" w:hAnsi="Arial"/>
          <w:sz w:val="17"/>
          <w:szCs w:val="17"/>
          <w:u w:val="single" w:color="auto"/>
          <w:color w:val="auto"/>
        </w:rPr>
        <w:t>Exhibit A</w:t>
      </w:r>
      <w:r>
        <w:rPr>
          <w:rFonts w:ascii="Arial" w:cs="Arial" w:eastAsia="Arial" w:hAnsi="Arial"/>
          <w:sz w:val="17"/>
          <w:szCs w:val="17"/>
          <w:color w:val="auto"/>
        </w:rPr>
        <w:t>") is deleted in its entirety and the following substituted in lieu thereof:</w:t>
      </w:r>
    </w:p>
    <w:p>
      <w:pPr>
        <w:spacing w:after="0" w:line="263" w:lineRule="exact"/>
        <w:rPr>
          <w:rFonts w:ascii="Arial" w:cs="Arial" w:eastAsia="Arial" w:hAnsi="Arial"/>
          <w:sz w:val="17"/>
          <w:szCs w:val="17"/>
          <w:color w:val="auto"/>
        </w:rPr>
      </w:pPr>
    </w:p>
    <w:p>
      <w:pPr>
        <w:jc w:val="both"/>
        <w:ind w:left="1140" w:hanging="9"/>
        <w:spacing w:after="0" w:line="293" w:lineRule="auto"/>
        <w:tabs>
          <w:tab w:leader="none" w:pos="133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Commencing on the Effective Date and ending March 26, 2024 (the “</w:t>
      </w:r>
      <w:r>
        <w:rPr>
          <w:rFonts w:ascii="Arial" w:cs="Arial" w:eastAsia="Arial" w:hAnsi="Arial"/>
          <w:sz w:val="16"/>
          <w:szCs w:val="16"/>
          <w:u w:val="single" w:color="auto"/>
          <w:color w:val="auto"/>
        </w:rPr>
        <w:t>Term 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64" w:lineRule="exact"/>
        <w:rPr>
          <w:rFonts w:ascii="Arial" w:cs="Arial" w:eastAsia="Arial" w:hAnsi="Arial"/>
          <w:sz w:val="16"/>
          <w:szCs w:val="16"/>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IN WITNESS WHEREOF, the parties have executed this Amendment as of the date first written above.</w:t>
      </w:r>
    </w:p>
    <w:p>
      <w:pPr>
        <w:sectPr>
          <w:pgSz w:w="11900" w:h="16838" w:orient="portrait"/>
          <w:cols w:equalWidth="0" w:num="1">
            <w:col w:w="9379"/>
          </w:cols>
          <w:pgMar w:left="1080" w:top="341" w:right="1440" w:bottom="1440" w:gutter="0" w:footer="0" w:header="0"/>
        </w:sect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 Violet, Inc., a Delaware corporation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MacLachlan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Daniel MacLachlan, CFO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Derek Dubner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Derek Dubner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[Signature Page to First Amendment to Employment Agreement]</w:t>
      </w:r>
    </w:p>
    <w:p>
      <w:pPr>
        <w:sectPr>
          <w:pgSz w:w="11900" w:h="16838" w:orient="portrait"/>
          <w:cols w:equalWidth="0" w:num="1">
            <w:col w:w="9379"/>
          </w:cols>
          <w:pgMar w:left="1080" w:top="341" w:right="1440"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This First Amendment to Employment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November 9, 2020 (the “First Amendment Effective Date”) by and between Red Violet,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James Reilly (the "</w:t>
      </w:r>
      <w:r>
        <w:rPr>
          <w:rFonts w:ascii="Arial" w:cs="Arial" w:eastAsia="Arial" w:hAnsi="Arial"/>
          <w:sz w:val="18"/>
          <w:szCs w:val="18"/>
          <w:u w:val="single" w:color="auto"/>
          <w:color w:val="auto"/>
        </w:rPr>
        <w:t>Executive</w:t>
      </w:r>
      <w:r>
        <w:rPr>
          <w:rFonts w:ascii="Arial" w:cs="Arial" w:eastAsia="Arial" w:hAnsi="Arial"/>
          <w:sz w:val="18"/>
          <w:szCs w:val="18"/>
          <w:color w:val="auto"/>
        </w:rPr>
        <w:t>"). Capitalized terms used herein but not otherwise defined shall have the meaning ascribed to them in the Employment Agreement (defined below).</w:t>
      </w:r>
    </w:p>
    <w:p>
      <w:pPr>
        <w:spacing w:after="0" w:line="18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entered into that certain Employment Agreement made by and between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26, 2018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Company and Executive desire to amend the Employment Agreement in accordance with the terms and provisions hereof.</w:t>
      </w:r>
    </w:p>
    <w:p>
      <w:pPr>
        <w:spacing w:after="0" w:line="2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mutual covenants and agreements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Company and Executive hereby adopt this Amendment effective as of the First Amendment Effective Date and agree as follows:</w:t>
      </w:r>
    </w:p>
    <w:p>
      <w:pPr>
        <w:spacing w:after="0" w:line="180" w:lineRule="exact"/>
        <w:rPr>
          <w:sz w:val="20"/>
          <w:szCs w:val="20"/>
          <w:color w:val="auto"/>
        </w:rPr>
      </w:pPr>
    </w:p>
    <w:p>
      <w:pPr>
        <w:ind w:left="740" w:hanging="368"/>
        <w:spacing w:after="0"/>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Paragraph 6 to Exhibit A to the Employment Agreement ("</w:t>
      </w:r>
      <w:r>
        <w:rPr>
          <w:rFonts w:ascii="Arial" w:cs="Arial" w:eastAsia="Arial" w:hAnsi="Arial"/>
          <w:sz w:val="17"/>
          <w:szCs w:val="17"/>
          <w:u w:val="single" w:color="auto"/>
          <w:color w:val="auto"/>
        </w:rPr>
        <w:t>Exhibit A</w:t>
      </w:r>
      <w:r>
        <w:rPr>
          <w:rFonts w:ascii="Arial" w:cs="Arial" w:eastAsia="Arial" w:hAnsi="Arial"/>
          <w:sz w:val="17"/>
          <w:szCs w:val="17"/>
          <w:color w:val="auto"/>
        </w:rPr>
        <w:t>") is deleted in its entirety and the following substituted in lieu thereof:</w:t>
      </w:r>
    </w:p>
    <w:p>
      <w:pPr>
        <w:spacing w:after="0" w:line="263" w:lineRule="exact"/>
        <w:rPr>
          <w:rFonts w:ascii="Arial" w:cs="Arial" w:eastAsia="Arial" w:hAnsi="Arial"/>
          <w:sz w:val="17"/>
          <w:szCs w:val="17"/>
          <w:color w:val="auto"/>
        </w:rPr>
      </w:pPr>
    </w:p>
    <w:p>
      <w:pPr>
        <w:jc w:val="both"/>
        <w:ind w:left="1140" w:hanging="9"/>
        <w:spacing w:after="0" w:line="293" w:lineRule="auto"/>
        <w:tabs>
          <w:tab w:leader="none" w:pos="1333"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Commencing on the Effective Date and ending March 26, 2024 (the “</w:t>
      </w:r>
      <w:r>
        <w:rPr>
          <w:rFonts w:ascii="Arial" w:cs="Arial" w:eastAsia="Arial" w:hAnsi="Arial"/>
          <w:sz w:val="16"/>
          <w:szCs w:val="16"/>
          <w:u w:val="single" w:color="auto"/>
          <w:color w:val="auto"/>
        </w:rPr>
        <w:t>Term 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64" w:lineRule="exact"/>
        <w:rPr>
          <w:rFonts w:ascii="Arial" w:cs="Arial" w:eastAsia="Arial" w:hAnsi="Arial"/>
          <w:sz w:val="16"/>
          <w:szCs w:val="16"/>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IN WITNESS WHEREOF, the parties have executed this Amendment as of the date first written above.</w:t>
      </w:r>
    </w:p>
    <w:p>
      <w:pPr>
        <w:sectPr>
          <w:pgSz w:w="11900" w:h="16838" w:orient="portrait"/>
          <w:cols w:equalWidth="0" w:num="1">
            <w:col w:w="9379"/>
          </w:cols>
          <w:pgMar w:left="1080" w:top="341" w:right="1440" w:bottom="1440" w:gutter="0" w:footer="0" w:header="0"/>
        </w:sect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 Violet, Inc., a Delaware corporation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Derek Dubner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Derek Dubner, CEO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James Reilly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Reilly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[Signature Page to First Amendment to Employment Agreement]</w:t>
      </w:r>
    </w:p>
    <w:p>
      <w:pPr>
        <w:sectPr>
          <w:pgSz w:w="11900" w:h="16838" w:orient="portrait"/>
          <w:cols w:equalWidth="0" w:num="1">
            <w:col w:w="9379"/>
          </w:cols>
          <w:pgMar w:left="1080" w:top="341" w:right="1440"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This First Amendment to Employment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is made as of November 9, 2020 (the “First Amendment Effective Date”) by and between Red Violet,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Daniel MacLachlan (the "</w:t>
      </w:r>
      <w:r>
        <w:rPr>
          <w:rFonts w:ascii="Arial" w:cs="Arial" w:eastAsia="Arial" w:hAnsi="Arial"/>
          <w:sz w:val="17"/>
          <w:szCs w:val="17"/>
          <w:u w:val="single" w:color="auto"/>
          <w:color w:val="auto"/>
        </w:rPr>
        <w:t>Executive</w:t>
      </w:r>
      <w:r>
        <w:rPr>
          <w:rFonts w:ascii="Arial" w:cs="Arial" w:eastAsia="Arial" w:hAnsi="Arial"/>
          <w:sz w:val="17"/>
          <w:szCs w:val="17"/>
          <w:color w:val="auto"/>
        </w:rPr>
        <w:t>"). Capitalized terms used herein but not otherwise defined shall have the meaning ascribed to them in the Employment Agreement (defined below).</w:t>
      </w:r>
    </w:p>
    <w:p>
      <w:pPr>
        <w:spacing w:after="0" w:line="16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entered into that certain Employment Agreement made by and between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26, 2018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Company and Executive desire to amend the Employment Agreement in accordance with the terms and provisions hereof.</w:t>
      </w:r>
    </w:p>
    <w:p>
      <w:pPr>
        <w:spacing w:after="0" w:line="2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mutual covenants and agreements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Company and Executive hereby adopt this Amendment effective as of the First Amendment Effective Date and agree as follows:</w:t>
      </w:r>
    </w:p>
    <w:p>
      <w:pPr>
        <w:spacing w:after="0" w:line="180" w:lineRule="exact"/>
        <w:rPr>
          <w:sz w:val="20"/>
          <w:szCs w:val="20"/>
          <w:color w:val="auto"/>
        </w:rPr>
      </w:pPr>
    </w:p>
    <w:p>
      <w:pPr>
        <w:ind w:left="740" w:hanging="368"/>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Paragraph 6 to Exhibit A to the Employment Agreement ("</w:t>
      </w:r>
      <w:r>
        <w:rPr>
          <w:rFonts w:ascii="Arial" w:cs="Arial" w:eastAsia="Arial" w:hAnsi="Arial"/>
          <w:sz w:val="17"/>
          <w:szCs w:val="17"/>
          <w:u w:val="single" w:color="auto"/>
          <w:color w:val="auto"/>
        </w:rPr>
        <w:t>Exhibit A</w:t>
      </w:r>
      <w:r>
        <w:rPr>
          <w:rFonts w:ascii="Arial" w:cs="Arial" w:eastAsia="Arial" w:hAnsi="Arial"/>
          <w:sz w:val="17"/>
          <w:szCs w:val="17"/>
          <w:color w:val="auto"/>
        </w:rPr>
        <w:t>") is deleted in its entirety and the following substituted in lieu thereof:</w:t>
      </w:r>
    </w:p>
    <w:p>
      <w:pPr>
        <w:spacing w:after="0" w:line="263" w:lineRule="exact"/>
        <w:rPr>
          <w:rFonts w:ascii="Arial" w:cs="Arial" w:eastAsia="Arial" w:hAnsi="Arial"/>
          <w:sz w:val="17"/>
          <w:szCs w:val="17"/>
          <w:color w:val="auto"/>
        </w:rPr>
      </w:pPr>
    </w:p>
    <w:p>
      <w:pPr>
        <w:jc w:val="both"/>
        <w:ind w:left="1140" w:hanging="9"/>
        <w:spacing w:after="0" w:line="293" w:lineRule="auto"/>
        <w:tabs>
          <w:tab w:leader="none" w:pos="1333"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Commencing on the Effective Date and ending March 26, 2024 (the “</w:t>
      </w:r>
      <w:r>
        <w:rPr>
          <w:rFonts w:ascii="Arial" w:cs="Arial" w:eastAsia="Arial" w:hAnsi="Arial"/>
          <w:sz w:val="16"/>
          <w:szCs w:val="16"/>
          <w:u w:val="single" w:color="auto"/>
          <w:color w:val="auto"/>
        </w:rPr>
        <w:t>Term 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64" w:lineRule="exact"/>
        <w:rPr>
          <w:rFonts w:ascii="Arial" w:cs="Arial" w:eastAsia="Arial" w:hAnsi="Arial"/>
          <w:sz w:val="16"/>
          <w:szCs w:val="16"/>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IN WITNESS WHEREOF, the parties have executed this Amendment as of the date first written above.</w:t>
      </w:r>
    </w:p>
    <w:p>
      <w:pPr>
        <w:sectPr>
          <w:pgSz w:w="11900" w:h="16838" w:orient="portrait"/>
          <w:cols w:equalWidth="0" w:num="1">
            <w:col w:w="9379"/>
          </w:cols>
          <w:pgMar w:left="1080" w:top="341" w:right="1440" w:bottom="1440" w:gutter="0" w:footer="0" w:header="0"/>
        </w:sect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 Violet, Inc., a Delaware corporation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Derek Dubner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Derek Dubner, CEO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Daniel MacLachlan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Daniel MacLachlan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[Signature Page to First Amendment to Employment Agreement]</w:t>
      </w:r>
    </w:p>
    <w:p>
      <w:pPr>
        <w:sectPr>
          <w:pgSz w:w="11900" w:h="16838" w:orient="portrait"/>
          <w:cols w:equalWidth="0" w:num="1">
            <w:col w:w="9379"/>
          </w:cols>
          <w:pgMar w:left="1080" w:top="341" w:right="1440"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This First Amendment to Employment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November 9, 2020 (the “First Amendment Effective Date”) by and between Red Violet,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Jeffrey Dell (the "</w:t>
      </w:r>
      <w:r>
        <w:rPr>
          <w:rFonts w:ascii="Arial" w:cs="Arial" w:eastAsia="Arial" w:hAnsi="Arial"/>
          <w:sz w:val="18"/>
          <w:szCs w:val="18"/>
          <w:u w:val="single" w:color="auto"/>
          <w:color w:val="auto"/>
        </w:rPr>
        <w:t>Executive</w:t>
      </w:r>
      <w:r>
        <w:rPr>
          <w:rFonts w:ascii="Arial" w:cs="Arial" w:eastAsia="Arial" w:hAnsi="Arial"/>
          <w:sz w:val="18"/>
          <w:szCs w:val="18"/>
          <w:color w:val="auto"/>
        </w:rPr>
        <w:t>"). Capitalized terms used herein but not otherwise defined shall have the meaning ascribed to them in the Employment Agreement (defined below).</w:t>
      </w:r>
    </w:p>
    <w:p>
      <w:pPr>
        <w:spacing w:after="0" w:line="18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entered into that certain Employment Agreement made by and between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dated April 9, 2019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Company and Executive desire to amend the Employment Agreement in accordance with the terms and provisions hereof.</w:t>
      </w:r>
    </w:p>
    <w:p>
      <w:pPr>
        <w:spacing w:after="0" w:line="2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mutual covenants and agreements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Company and Executive hereby adopt this Amendment effective as of the First Amendment Effective Date and agree as follows:</w:t>
      </w:r>
    </w:p>
    <w:p>
      <w:pPr>
        <w:spacing w:after="0" w:line="180" w:lineRule="exact"/>
        <w:rPr>
          <w:sz w:val="20"/>
          <w:szCs w:val="20"/>
          <w:color w:val="auto"/>
        </w:rPr>
      </w:pPr>
    </w:p>
    <w:p>
      <w:pPr>
        <w:ind w:left="740" w:hanging="368"/>
        <w:spacing w:after="0"/>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Paragraph 6 to Exhibit A to the Employment Agreement ("</w:t>
      </w:r>
      <w:r>
        <w:rPr>
          <w:rFonts w:ascii="Arial" w:cs="Arial" w:eastAsia="Arial" w:hAnsi="Arial"/>
          <w:sz w:val="17"/>
          <w:szCs w:val="17"/>
          <w:u w:val="single" w:color="auto"/>
          <w:color w:val="auto"/>
        </w:rPr>
        <w:t>Exhibit A</w:t>
      </w:r>
      <w:r>
        <w:rPr>
          <w:rFonts w:ascii="Arial" w:cs="Arial" w:eastAsia="Arial" w:hAnsi="Arial"/>
          <w:sz w:val="17"/>
          <w:szCs w:val="17"/>
          <w:color w:val="auto"/>
        </w:rPr>
        <w:t>") is deleted in its entirety and the following substituted in lieu thereof:</w:t>
      </w:r>
    </w:p>
    <w:p>
      <w:pPr>
        <w:spacing w:after="0" w:line="263" w:lineRule="exact"/>
        <w:rPr>
          <w:rFonts w:ascii="Arial" w:cs="Arial" w:eastAsia="Arial" w:hAnsi="Arial"/>
          <w:sz w:val="17"/>
          <w:szCs w:val="17"/>
          <w:color w:val="auto"/>
        </w:rPr>
      </w:pPr>
    </w:p>
    <w:p>
      <w:pPr>
        <w:jc w:val="both"/>
        <w:ind w:left="1140" w:hanging="9"/>
        <w:spacing w:after="0" w:line="293" w:lineRule="auto"/>
        <w:tabs>
          <w:tab w:leader="none" w:pos="133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Commencing on the Effective Date and ending March 26, 2024 (the “</w:t>
      </w:r>
      <w:r>
        <w:rPr>
          <w:rFonts w:ascii="Arial" w:cs="Arial" w:eastAsia="Arial" w:hAnsi="Arial"/>
          <w:sz w:val="16"/>
          <w:szCs w:val="16"/>
          <w:u w:val="single" w:color="auto"/>
          <w:color w:val="auto"/>
        </w:rPr>
        <w:t>Term 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64" w:lineRule="exact"/>
        <w:rPr>
          <w:rFonts w:ascii="Arial" w:cs="Arial" w:eastAsia="Arial" w:hAnsi="Arial"/>
          <w:sz w:val="16"/>
          <w:szCs w:val="16"/>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IN WITNESS WHEREOF, the parties have executed this Amendment as of the date first written above.</w:t>
      </w:r>
    </w:p>
    <w:p>
      <w:pPr>
        <w:sectPr>
          <w:pgSz w:w="11900" w:h="16838" w:orient="portrait"/>
          <w:cols w:equalWidth="0" w:num="1">
            <w:col w:w="9379"/>
          </w:cols>
          <w:pgMar w:left="1080" w:top="341" w:right="1440" w:bottom="1440" w:gutter="0" w:footer="0" w:header="0"/>
        </w:sect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 Violet, Inc., a Delaware corporation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Derek Dubner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Derek Dubner, CEO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Jeffrey Dell</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Jeffrey Dell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[Signature Page to First Amendment to Employment Agreement]</w:t>
      </w:r>
    </w:p>
    <w:p>
      <w:pPr>
        <w:sectPr>
          <w:pgSz w:w="11900" w:h="16838" w:orient="portrait"/>
          <w:cols w:equalWidth="0" w:num="1">
            <w:col w:w="9379"/>
          </w:cols>
          <w:pgMar w:left="1080" w:top="341"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800" w:type="dxa"/>
            <w:vAlign w:val="bottom"/>
            <w:gridSpan w:val="3"/>
          </w:tcPr>
          <w:p>
            <w:pPr>
              <w:ind w:left="540"/>
              <w:spacing w:after="0"/>
              <w:rPr>
                <w:sz w:val="20"/>
                <w:szCs w:val="20"/>
                <w:color w:val="auto"/>
              </w:rPr>
            </w:pPr>
            <w:r>
              <w:rPr>
                <w:rFonts w:ascii="Arial" w:cs="Arial" w:eastAsia="Arial" w:hAnsi="Arial"/>
                <w:sz w:val="18"/>
                <w:szCs w:val="18"/>
                <w:b w:val="1"/>
                <w:bCs w:val="1"/>
                <w:color w:val="auto"/>
              </w:rPr>
              <w:t>SUBSIDIARIES</w:t>
            </w:r>
          </w:p>
        </w:tc>
      </w:tr>
      <w:tr>
        <w:trPr>
          <w:trHeight w:val="378"/>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IDI Holdings,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440" w:type="dxa"/>
            <w:vAlign w:val="bottom"/>
          </w:tcPr>
          <w:p>
            <w:pPr>
              <w:ind w:left="100"/>
              <w:spacing w:after="0"/>
              <w:rPr>
                <w:sz w:val="20"/>
                <w:szCs w:val="20"/>
                <w:color w:val="auto"/>
              </w:rPr>
            </w:pPr>
            <w:r>
              <w:rPr>
                <w:rFonts w:ascii="Arial" w:cs="Arial" w:eastAsia="Arial" w:hAnsi="Arial"/>
                <w:sz w:val="18"/>
                <w:szCs w:val="18"/>
                <w:color w:val="auto"/>
              </w:rPr>
              <w:t>Interactive Data,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Red Violet Technologies,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IDI Verified,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Forewarn,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Red Violet Blockchain and Analytical Solutions,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Whoodle, LLC</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HolSol, LLC</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issued our report dated March 10, 2021, with respect to the consolidated financial statements included in the Annual Report of Red Violet, Inc. on Form 10-K for the year ended December 31, 2020. We consent to the incorporation by reference of said report in the Registration Statements of Red Violet, Inc. on Form S-3 (File No. 333-233025), Form S-8 (File No. 333-224147), and Form S-8 (File No. 333-238947).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10, 2021</w:t>
            </w:r>
          </w:p>
        </w:tc>
        <w:tc>
          <w:tcPr>
            <w:tcW w:w="7280" w:type="dxa"/>
            <w:vAlign w:val="bottom"/>
            <w:gridSpan w:val="2"/>
          </w:tcPr>
          <w:p>
            <w:pPr>
              <w:ind w:left="280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10, 2021</w:t>
            </w:r>
          </w:p>
        </w:tc>
        <w:tc>
          <w:tcPr>
            <w:tcW w:w="7280" w:type="dxa"/>
            <w:vAlign w:val="bottom"/>
            <w:gridSpan w:val="2"/>
          </w:tcPr>
          <w:p>
            <w:pPr>
              <w:ind w:left="280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2020, as filed with the U.S. Securities and Exchange Commission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10, 2021</w:t>
            </w:r>
          </w:p>
        </w:tc>
        <w:tc>
          <w:tcPr>
            <w:tcW w:w="7280" w:type="dxa"/>
            <w:vAlign w:val="bottom"/>
            <w:gridSpan w:val="2"/>
          </w:tcPr>
          <w:p>
            <w:pPr>
              <w:ind w:left="282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30"/>
        </w:trPr>
        <w:tc>
          <w:tcPr>
            <w:tcW w:w="3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6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2020, as filed with the U.S. Securities and Exchange Commission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10, 2021</w:t>
            </w:r>
          </w:p>
        </w:tc>
        <w:tc>
          <w:tcPr>
            <w:tcW w:w="7280" w:type="dxa"/>
            <w:vAlign w:val="bottom"/>
            <w:gridSpan w:val="2"/>
          </w:tcPr>
          <w:p>
            <w:pPr>
              <w:ind w:left="282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5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Letter"/>
      <w:start w:val="19"/>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lvl w:ilvl="1">
      <w:lvlJc w:val="left"/>
      <w:lvlText w:val="%2."/>
      <w:numFmt w:val="decimal"/>
      <w:start w:val="6"/>
    </w:lvl>
  </w:abstractNum>
  <w:abstractNum w:abstractNumId="33">
    <w:nsid w:val="77465F01"/>
    <w:multiLevelType w:val="hybridMultilevel"/>
    <w:lvl w:ilvl="0">
      <w:lvlJc w:val="left"/>
      <w:lvlText w:val="%1."/>
      <w:numFmt w:val="decimal"/>
      <w:start w:val="1"/>
    </w:lvl>
    <w:lvl w:ilvl="1">
      <w:lvlJc w:val="left"/>
      <w:lvlText w:val="%2."/>
      <w:numFmt w:val="decimal"/>
      <w:start w:val="6"/>
    </w:lvl>
  </w:abstractNum>
  <w:abstractNum w:abstractNumId="34">
    <w:nsid w:val="7724C67E"/>
    <w:multiLevelType w:val="hybridMultilevel"/>
    <w:lvl w:ilvl="0">
      <w:lvlJc w:val="left"/>
      <w:lvlText w:val="%1."/>
      <w:numFmt w:val="decimal"/>
      <w:start w:val="1"/>
    </w:lvl>
    <w:lvl w:ilvl="1">
      <w:lvlJc w:val="left"/>
      <w:lvlText w:val="%2."/>
      <w:numFmt w:val="decimal"/>
      <w:start w:val="6"/>
    </w:lvl>
  </w:abstractNum>
  <w:abstractNum w:abstractNumId="35">
    <w:nsid w:val="5C482A97"/>
    <w:multiLevelType w:val="hybridMultilevel"/>
    <w:lvl w:ilvl="0">
      <w:lvlJc w:val="left"/>
      <w:lvlText w:val="%1."/>
      <w:numFmt w:val="decimal"/>
      <w:start w:val="1"/>
    </w:lvl>
    <w:lvl w:ilvl="1">
      <w:lvlJc w:val="left"/>
      <w:lvlText w:val="%2."/>
      <w:numFmt w:val="decimal"/>
      <w:start w:val="6"/>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55" Type="http://schemas.openxmlformats.org/officeDocument/2006/relationships/hyperlink" Target="http://www.sec.gov/Archives/edgar/data/1720116/000119312518062230/d528710dex21.htm" TargetMode="External"/><Relationship Id="rId56" Type="http://schemas.openxmlformats.org/officeDocument/2006/relationships/hyperlink" Target="http://www.sec.gov/Archives/edgar/data/1720116/000119312518097860/d559011dex31.htm" TargetMode="External"/><Relationship Id="rId57" Type="http://schemas.openxmlformats.org/officeDocument/2006/relationships/hyperlink" Target="http://www.sec.gov/Archives/edgar/data/1720116/000119312518097860/d559011dex32.htm" TargetMode="External"/><Relationship Id="rId58" Type="http://schemas.openxmlformats.org/officeDocument/2006/relationships/hyperlink" Target="http://www.sec.gov/Archives/edgar/data/1720116/000119312518062230/d528710dex102.htm" TargetMode="External"/><Relationship Id="rId59" Type="http://schemas.openxmlformats.org/officeDocument/2006/relationships/hyperlink" Target="http://www.sec.gov/Archives/edgar/data/1720116/000119312518097860/d559011dex102.htm" TargetMode="External"/><Relationship Id="rId60" Type="http://schemas.openxmlformats.org/officeDocument/2006/relationships/hyperlink" Target="http://www.sec.gov/Archives/edgar/data/1720116/000119312518097860/d559011dex103.htm" TargetMode="External"/><Relationship Id="rId61" Type="http://schemas.openxmlformats.org/officeDocument/2006/relationships/hyperlink" Target="http://www.sec.gov/Archives/edgar/data/1720116/000119312518097860/d559011dex104.htm" TargetMode="External"/><Relationship Id="rId62" Type="http://schemas.openxmlformats.org/officeDocument/2006/relationships/hyperlink" Target="http://www.sec.gov/Archives/edgar/data/1720116/000119312518097860/d559011dex105.htm" TargetMode="External"/><Relationship Id="rId63" Type="http://schemas.openxmlformats.org/officeDocument/2006/relationships/hyperlink" Target="http://www.sec.gov/Archives/edgar/data/1720116/000119312518097860/d559011dex106.htm" TargetMode="External"/><Relationship Id="rId64" Type="http://schemas.openxmlformats.org/officeDocument/2006/relationships/hyperlink" Target="http://www.sec.gov/Archives/edgar/data/1720116/000156459018020212/rdvt-ex101_136.htm" TargetMode="External"/><Relationship Id="rId65" Type="http://schemas.openxmlformats.org/officeDocument/2006/relationships/hyperlink" Target="http://www.sec.gov/Archives/edgar/data/1720116/000156459018028035/rdvt-ex102_85.htm" TargetMode="External"/><Relationship Id="rId66" Type="http://schemas.openxmlformats.org/officeDocument/2006/relationships/hyperlink" Target="http://www.sec.gov/Archives/edgar/data/1720116/000156459019028779/rdvt-ex101_12.htm" TargetMode="External"/><Relationship Id="rId67" Type="http://schemas.openxmlformats.org/officeDocument/2006/relationships/hyperlink" Target="http://www.sec.gov/Archives/edgar/data/1720116/000156459019033243/rdvt-ex101_6.htm" TargetMode="External"/><Relationship Id="rId68" Type="http://schemas.openxmlformats.org/officeDocument/2006/relationships/hyperlink" Target="http://www.sec.gov/Archives/edgar/data/1720116/000156459020010508/rdvt-ex1013_193.htm" TargetMode="External"/><Relationship Id="rId69" Type="http://schemas.openxmlformats.org/officeDocument/2006/relationships/hyperlink" Target="http://www.sec.gov/Archives/edgar/data/1720116/000156459020024367/rdvt-ex101_312.htm" TargetMode="External"/><Relationship Id="rId70" Type="http://schemas.openxmlformats.org/officeDocument/2006/relationships/hyperlink" Target="http://www.sec.gov/Archives/edgar/data/1720116/000156459020028399/rdvt-ex101_6.htm" TargetMode="External"/><Relationship Id="rId71" Type="http://schemas.openxmlformats.org/officeDocument/2006/relationships/hyperlink" Target="http://www.sec.gov/Archives/edgar/data/1720116/000156459021006204/rdv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2021-03-10T15:58:51Z</dcterms:created>
  <dcterms:modified xsi:type="dcterms:W3CDTF">2021-03-10T15:58:51Z</dcterms:modified>
</cp:coreProperties>
</file>