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2"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-293370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-102235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r>
        <w:trPr>
          <w:trHeight w:val="345"/>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2"/>
          </w:tcPr>
          <w:p>
            <w:pPr>
              <w:ind w:left="780"/>
              <w:spacing w:after="0"/>
              <w:rPr>
                <w:sz w:val="20"/>
                <w:szCs w:val="20"/>
                <w:color w:val="auto"/>
              </w:rPr>
            </w:pPr>
            <w:r>
              <w:rPr>
                <w:rFonts w:ascii="Arial" w:cs="Arial" w:eastAsia="Arial" w:hAnsi="Arial"/>
                <w:sz w:val="18"/>
                <w:szCs w:val="18"/>
                <w:b w:val="1"/>
                <w:bCs w:val="1"/>
                <w:color w:val="auto"/>
                <w:w w:val="89"/>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RED VIOLET, INC.</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sectPr>
      </w:pPr>
    </w:p>
    <w:p>
      <w:pPr>
        <w:spacing w:after="0" w:line="19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82-2408531</w:t>
      </w:r>
    </w:p>
    <w:p>
      <w:pPr>
        <w:spacing w:after="0" w:line="82" w:lineRule="exact"/>
        <w:rPr>
          <w:sz w:val="24"/>
          <w:szCs w:val="24"/>
          <w:color w:val="auto"/>
        </w:rPr>
      </w:pPr>
    </w:p>
    <w:p>
      <w:pPr>
        <w:sectPr>
          <w:pgSz w:w="11900" w:h="16838" w:orient="portrait"/>
          <w:cols w:equalWidth="0" w:num="2">
            <w:col w:w="7340" w:space="720"/>
            <w:col w:w="3060"/>
          </w:cols>
          <w:pgMar w:left="320" w:top="373" w:right="45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98" w:lineRule="exact"/>
        <w:rPr>
          <w:sz w:val="24"/>
          <w:szCs w:val="24"/>
          <w:color w:val="auto"/>
        </w:rPr>
      </w:pPr>
    </w:p>
    <w:p>
      <w:pPr>
        <w:sectPr>
          <w:pgSz w:w="11900" w:h="16838" w:orient="portrait"/>
          <w:cols w:equalWidth="0" w:num="2">
            <w:col w:w="6680" w:space="720"/>
            <w:col w:w="3720"/>
          </w:cols>
          <w:pgMar w:left="320" w:top="373"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2650 North Military Trail, Suite 300, Boca Raton, Florida 33431</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(561) 757-4000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56515</wp:posOffset>
            </wp:positionV>
            <wp:extent cx="2263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2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3"/>
                <w:szCs w:val="13"/>
                <w:color w:val="auto"/>
              </w:rPr>
              <w:t>Name of each exchange on which registered</w:t>
            </w:r>
          </w:p>
        </w:tc>
      </w:tr>
      <w:tr>
        <w:trPr>
          <w:trHeight w:val="196"/>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2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The NASDAQ Stock Market LLC</w:t>
            </w:r>
          </w:p>
        </w:tc>
      </w:tr>
    </w:tbl>
    <w:p>
      <w:pPr>
        <w:spacing w:after="0" w:line="94"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2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4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6, 2020, the registrant had 12,150,035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560" w:type="dxa"/>
            <w:vAlign w:val="bottom"/>
            <w:gridSpan w:val="7"/>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560" w:type="dxa"/>
            <w:vAlign w:val="bottom"/>
            <w:gridSpan w:val="7"/>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and December 31,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2"/>
                <w:szCs w:val="22"/>
                <w:color w:val="auto"/>
              </w:rPr>
            </w:pPr>
          </w:p>
        </w:tc>
        <w:tc>
          <w:tcPr>
            <w:tcW w:w="9720" w:type="dxa"/>
            <w:vAlign w:val="bottom"/>
            <w:gridSpan w:val="6"/>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and nine months ended September 30, 2020 and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20" w:type="dxa"/>
            <w:vAlign w:val="bottom"/>
            <w:gridSpan w:val="5"/>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changes in shareholders' equity for the three and nine months ended September 30, 2020</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2019</w:t>
              </w:r>
            </w:hyperlink>
          </w:p>
        </w:tc>
        <w:tc>
          <w:tcPr>
            <w:tcW w:w="8500" w:type="dxa"/>
            <w:vAlign w:val="bottom"/>
            <w:tcBorders>
              <w:top w:val="single" w:sz="8" w:color="0000EE"/>
            </w:tcBorders>
            <w:gridSpan w:val="3"/>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840" w:type="dxa"/>
            <w:vAlign w:val="bottom"/>
          </w:tcPr>
          <w:p>
            <w:pPr>
              <w:spacing w:after="0"/>
              <w:rPr>
                <w:sz w:val="24"/>
                <w:szCs w:val="24"/>
                <w:color w:val="auto"/>
              </w:rPr>
            </w:pPr>
          </w:p>
        </w:tc>
        <w:tc>
          <w:tcPr>
            <w:tcW w:w="9720" w:type="dxa"/>
            <w:vAlign w:val="bottom"/>
            <w:gridSpan w:val="6"/>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78"/>
        </w:trPr>
        <w:tc>
          <w:tcPr>
            <w:tcW w:w="10560" w:type="dxa"/>
            <w:vAlign w:val="bottom"/>
            <w:gridSpan w:val="7"/>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PART II -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8"/>
                <w:szCs w:val="18"/>
                <w:color w:val="auto"/>
              </w:rPr>
            </w:pPr>
          </w:p>
        </w:tc>
        <w:tc>
          <w:tcPr>
            <w:tcW w:w="9520" w:type="dxa"/>
            <w:vAlign w:val="bottom"/>
            <w:gridSpan w:val="5"/>
          </w:tcPr>
          <w:p>
            <w:pPr>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Mine Safety Disclosure</w:t>
              </w:r>
            </w:hyperlink>
            <w:r>
              <w:rPr>
                <w:rFonts w:ascii="Arial" w:cs="Arial" w:eastAsia="Arial" w:hAnsi="Arial"/>
                <w:sz w:val="18"/>
                <w:szCs w:val="18"/>
                <w:color w:val="000000"/>
              </w:rPr>
              <w:t>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200" w:type="dxa"/>
            <w:vAlign w:val="bottom"/>
          </w:tcPr>
          <w:p>
            <w:pPr>
              <w:spacing w:after="0"/>
              <w:rPr>
                <w:sz w:val="24"/>
                <w:szCs w:val="24"/>
                <w:color w:val="auto"/>
              </w:rPr>
            </w:pPr>
          </w:p>
        </w:tc>
        <w:tc>
          <w:tcPr>
            <w:tcW w:w="170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Other Information</w:t>
              </w:r>
            </w:hyperlink>
          </w:p>
        </w:tc>
        <w:tc>
          <w:tcPr>
            <w:tcW w:w="60" w:type="dxa"/>
            <w:vAlign w:val="bottom"/>
            <w:tcBorders>
              <w:top w:val="single" w:sz="8" w:color="auto"/>
            </w:tcBorders>
          </w:tcPr>
          <w:p>
            <w:pPr>
              <w:spacing w:after="0"/>
              <w:rPr>
                <w:sz w:val="24"/>
                <w:szCs w:val="24"/>
                <w:color w:val="auto"/>
              </w:rPr>
            </w:pPr>
          </w:p>
        </w:tc>
        <w:tc>
          <w:tcPr>
            <w:tcW w:w="77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200" w:type="dxa"/>
            <w:vAlign w:val="bottom"/>
          </w:tcPr>
          <w:p>
            <w:pPr>
              <w:spacing w:after="0"/>
              <w:rPr>
                <w:sz w:val="22"/>
                <w:szCs w:val="22"/>
                <w:color w:val="auto"/>
              </w:rPr>
            </w:pPr>
          </w:p>
        </w:tc>
        <w:tc>
          <w:tcPr>
            <w:tcW w:w="952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51"/>
        </w:trPr>
        <w:tc>
          <w:tcPr>
            <w:tcW w:w="10560" w:type="dxa"/>
            <w:vAlign w:val="bottom"/>
            <w:gridSpan w:val="7"/>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48"/>
        </w:trPr>
        <w:tc>
          <w:tcPr>
            <w:tcW w:w="840" w:type="dxa"/>
            <w:vAlign w:val="bottom"/>
          </w:tcPr>
          <w:p>
            <w:pPr>
              <w:spacing w:after="0"/>
              <w:rPr>
                <w:sz w:val="24"/>
                <w:szCs w:val="24"/>
                <w:color w:val="auto"/>
              </w:rPr>
            </w:pPr>
          </w:p>
        </w:tc>
        <w:tc>
          <w:tcPr>
            <w:tcW w:w="9360" w:type="dxa"/>
            <w:vAlign w:val="bottom"/>
            <w:gridSpan w:val="5"/>
          </w:tcPr>
          <w:p>
            <w:pPr>
              <w:jc w:val="right"/>
              <w:ind w:right="45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FF0FC"/>
          </w:tcPr>
          <w:p>
            <w:pPr>
              <w:spacing w:after="0"/>
              <w:rPr>
                <w:sz w:val="19"/>
                <w:szCs w:val="19"/>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$20 and $40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September 30, 2020 and December 31, 2019, respectively</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20"/>
                <w:szCs w:val="20"/>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26,977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24,034</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51,108</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tcPr>
          <w:p>
            <w:pPr>
              <w:spacing w:after="0"/>
              <w:rPr>
                <w:sz w:val="22"/>
                <w:szCs w:val="22"/>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September 30, 2020 and December 31, 2019</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12,371,665 and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11,657,912 shares issued, 12,146,910 and 11,554,765 shares outstanding, as of</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September 30, 2020 and December 31, 2019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224,755 and 103,147 shares as of September 30, 2020 and</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(1,255)</w:t>
            </w: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67,082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59,187</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(20,798)</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(15,860)</w:t>
            </w:r>
          </w:p>
        </w:tc>
      </w:tr>
      <w:tr>
        <w:trPr>
          <w:trHeight w:val="22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43,214</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5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56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8,843</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FF0FC"/>
            </w:tcBorders>
          </w:tcPr>
          <w:p>
            <w:pPr>
              <w:spacing w:after="0"/>
              <w:rPr>
                <w:sz w:val="19"/>
                <w:szCs w:val="19"/>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27,579</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Borders>
              <w:bottom w:val="single" w:sz="8" w:color="CFF0FC"/>
            </w:tcBorders>
          </w:tcPr>
          <w:p>
            <w:pPr>
              <w:spacing w:after="0"/>
              <w:rPr>
                <w:sz w:val="22"/>
                <w:szCs w:val="22"/>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5660" w:type="dxa"/>
            <w:vAlign w:val="bottom"/>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12,072,716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10,917,673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11,758,907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10,497,036</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2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94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10,286,613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666,049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Increase in treasury stock resulting</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from shares withheld to cover</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statutory taxes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(103,147)</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Issuance of common stock upon direct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offering to certain investors, net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00"/>
              <w:spacing w:after="0"/>
              <w:rPr>
                <w:sz w:val="20"/>
                <w:szCs w:val="20"/>
                <w:color w:val="auto"/>
              </w:rPr>
            </w:pPr>
            <w:r>
              <w:rPr>
                <w:rFonts w:ascii="Arial" w:cs="Arial" w:eastAsia="Arial" w:hAnsi="Arial"/>
                <w:sz w:val="18"/>
                <w:szCs w:val="18"/>
                <w:color w:val="auto"/>
              </w:rPr>
              <w:t>issuance costs of $55</w:t>
            </w:r>
          </w:p>
        </w:tc>
        <w:tc>
          <w:tcPr>
            <w:tcW w:w="940" w:type="dxa"/>
            <w:vAlign w:val="bottom"/>
          </w:tcPr>
          <w:p>
            <w:pPr>
              <w:jc w:val="right"/>
              <w:spacing w:after="0"/>
              <w:rPr>
                <w:sz w:val="20"/>
                <w:szCs w:val="20"/>
                <w:color w:val="auto"/>
              </w:rPr>
            </w:pPr>
            <w:r>
              <w:rPr>
                <w:rFonts w:ascii="Arial" w:cs="Arial" w:eastAsia="Arial" w:hAnsi="Arial"/>
                <w:sz w:val="18"/>
                <w:szCs w:val="18"/>
                <w:color w:val="auto"/>
              </w:rPr>
              <w:t>681,000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11,633,662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(11,004</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11,707,829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(103,147)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(19,873)</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663,836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Increase in treasury stock resulting</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from shares withheld to cover</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statutory taxes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(121,608)</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12,371,665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460" w:type="dxa"/>
            <w:vAlign w:val="bottom"/>
          </w:tcPr>
          <w:p>
            <w:pPr>
              <w:spacing w:after="0"/>
              <w:rPr>
                <w:sz w:val="24"/>
                <w:szCs w:val="24"/>
                <w:color w:val="auto"/>
              </w:rPr>
            </w:pPr>
          </w:p>
        </w:tc>
        <w:tc>
          <w:tcPr>
            <w:tcW w:w="22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1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2018</w:t>
            </w:r>
          </w:p>
        </w:tc>
        <w:tc>
          <w:tcPr>
            <w:tcW w:w="94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860" w:type="dxa"/>
            <w:vAlign w:val="bottom"/>
            <w:gridSpan w:val="2"/>
          </w:tcPr>
          <w:p>
            <w:pPr>
              <w:jc w:val="center"/>
              <w:ind w:right="241"/>
              <w:spacing w:after="0" w:line="155"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60" w:type="dxa"/>
            <w:vAlign w:val="bottom"/>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10,266,613</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41,052</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686,049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Increase in treasury stock resulting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from shares withheld to cover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00"/>
              <w:spacing w:after="0"/>
              <w:rPr>
                <w:sz w:val="20"/>
                <w:szCs w:val="20"/>
                <w:color w:val="auto"/>
              </w:rPr>
            </w:pPr>
            <w:r>
              <w:rPr>
                <w:rFonts w:ascii="Arial" w:cs="Arial" w:eastAsia="Arial" w:hAnsi="Arial"/>
                <w:sz w:val="18"/>
                <w:szCs w:val="18"/>
                <w:color w:val="auto"/>
              </w:rPr>
              <w:t>statutory taxes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(103,147)</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direct</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offering to certain investors, net of</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issuance costs of $55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(6,220)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September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11,633,662</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(103,147)</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54,302</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(11,004</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11,657,912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(103,147)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59,187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(15,860)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713,753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Increase in treasury stock resulting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from shares withheld to cover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00"/>
              <w:spacing w:after="0"/>
              <w:rPr>
                <w:sz w:val="20"/>
                <w:szCs w:val="20"/>
                <w:color w:val="auto"/>
              </w:rPr>
            </w:pPr>
            <w:r>
              <w:rPr>
                <w:rFonts w:ascii="Arial" w:cs="Arial" w:eastAsia="Arial" w:hAnsi="Arial"/>
                <w:sz w:val="18"/>
                <w:szCs w:val="18"/>
                <w:color w:val="auto"/>
              </w:rPr>
              <w:t>statutory taxes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(121,608)</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(4,938)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12,371,665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(4,938)</w:t>
            </w: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(6,220)</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(1,458)</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(362)</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w:t>
            </w: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6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(4,310)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(4,413)</w:t>
            </w: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(4,408)</w:t>
            </w:r>
          </w:p>
        </w:tc>
        <w:tc>
          <w:tcPr>
            <w:tcW w:w="26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(4,484)</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issuance of shares, net of issuance costs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loan</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(1,828)</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11,776</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12,441</w:t>
            </w:r>
          </w:p>
        </w:tc>
        <w:tc>
          <w:tcPr>
            <w:tcW w:w="2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13,337</w:t>
            </w:r>
          </w:p>
        </w:tc>
        <w:tc>
          <w:tcPr>
            <w:tcW w:w="12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1,480</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Red Violet, Inc. (“red violet” or the “Company”), a Delaware corporation, have been prepared in accordance with accounting principles generally accepted in the United States (“GAAP”) and applicable rules and regulations of the Securities and Exchange Commission regarding interim financial reporting. Certain information and note disclosures normally included in annual financial statements prepared in accordance with GAAP have been condensed or omitted pursuant to those rules and regulations.</w:t>
      </w:r>
    </w:p>
    <w:p>
      <w:pPr>
        <w:spacing w:after="0" w:line="13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2020.</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2019 (“2019 Form 10-K”).</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condensed consolidated balance sheet as of December 31, 2019 included herein was derived from the audited financial statements as of that date included in the 2019 Form 10-K, but does not include all disclosures required by GAAP.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4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August 2018, Financial Accounting Standard Board (“FASB”) issued ASU No. 2018-15 (“ASU 2018-15”),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Internal-Use Software (Subtopic 350-40): Customer's Accounting for Implementation Costs Incurred in a Cloud Computing Arrangement That Is a Service Contract,” </w:t>
      </w:r>
      <w:r>
        <w:rPr>
          <w:rFonts w:ascii="Arial" w:cs="Arial" w:eastAsia="Arial" w:hAnsi="Arial"/>
          <w:sz w:val="17"/>
          <w:szCs w:val="17"/>
          <w:color w:val="auto"/>
        </w:rPr>
        <w:t>which requires an entity (customer) in a hosting arrangement that is a service contract to follow the guidance in Subtopic 350-40 to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The Company is currently evaluating the impact this guidance will have on its consolidated financial statements and related disclosures.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Loss per share</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shares of common stock outstanding during the periods. Diluted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660" w:type="dxa"/>
            <w:vAlign w:val="bottom"/>
            <w:tcBorders>
              <w:bottom w:val="single" w:sz="8" w:color="CFF0FC"/>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(4,938)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 xml:space="preserve">Weighted average shares outstanding - Basic and diluted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12,072,716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10,917,673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11,758,907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10,497,036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80" w:hanging="372"/>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total of 1,529,657 unvested restricted stock units (“RSUs”) have been excluded from the diluted loss per share for the three and nine months ended September 30, 2020, and 1,954,910 RSUs have been excluded for the three and nine months ended September 30, 2019, as the impact is anti-dilutive.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1"/>
              </w:rPr>
              <w:t>September 30, 2020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5"/>
              </w:rPr>
              <w:t>December 31, 2019</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340" w:type="dxa"/>
            <w:vAlign w:val="bottom"/>
            <w:gridSpan w:val="4"/>
          </w:tcPr>
          <w:p>
            <w:pPr>
              <w:jc w:val="center"/>
              <w:ind w:right="35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66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34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5"/>
              </w:rPr>
              <w:t>Amortization</w:t>
            </w: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0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5-10 years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(5,656</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Amortization expenses of $1,063 and $689 for the three months ended September 30, 2020 and 2019, respectively, and $2,847 and $1,860 for the nine months ended September 30, 2020 and 2019, respectively, were included in depreciation and amortization expense. As of September 30, 2020, intangible assets of $2,635, included in the gross amounts of software developed for internal use, have not started amortization, as they are not ready for their intended use.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capitalized costs of software developed for internal use of $1,646 and $1,708 during the three months ended September 30, 2020 and 2019, respectively, and $5,790 and $4,939 during the nine months ended September 30, 2020 and 2019, respectively.</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September 30, 2020, estimated amortization expense related to the Company’s intangible assets for the remainder of 2020 through 2025 and thereafter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w:t>
            </w:r>
          </w:p>
        </w:tc>
        <w:tc>
          <w:tcPr>
            <w:tcW w:w="120" w:type="dxa"/>
            <w:vAlign w:val="bottom"/>
            <w:shd w:val="clear" w:color="auto" w:fill="CFF0FC"/>
          </w:tcPr>
          <w:p>
            <w:pPr>
              <w:spacing w:after="0"/>
              <w:rPr>
                <w:sz w:val="19"/>
                <w:szCs w:val="19"/>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19"/>
                <w:szCs w:val="19"/>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w:t>
            </w:r>
          </w:p>
        </w:tc>
        <w:tc>
          <w:tcPr>
            <w:tcW w:w="120" w:type="dxa"/>
            <w:vAlign w:val="bottom"/>
            <w:shd w:val="clear" w:color="auto" w:fill="CFF0FC"/>
          </w:tcPr>
          <w:p>
            <w:pPr>
              <w:spacing w:after="0"/>
              <w:rPr>
                <w:sz w:val="19"/>
                <w:szCs w:val="19"/>
                <w:color w:val="auto"/>
              </w:rPr>
            </w:pPr>
          </w:p>
        </w:tc>
      </w:tr>
      <w:tr>
        <w:trPr>
          <w:trHeight w:val="229"/>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120" w:type="dxa"/>
            <w:vAlign w:val="bottom"/>
            <w:tcBorders>
              <w:bottom w:val="single" w:sz="8" w:color="CFF0FC"/>
            </w:tcBorders>
          </w:tcPr>
          <w:p>
            <w:pPr>
              <w:spacing w:after="0"/>
              <w:rPr>
                <w:sz w:val="19"/>
                <w:szCs w:val="19"/>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0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September 30, 2020 and December 31, 2019, the balance of goodwill of $5,227 was as a result of the acquisition of Interactive Data, LLC, a wholly-owned subsidiary of red violet, effective on October 2,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ended September 30, 2020 and 2019, no goodwill impairment charges were recorded.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89"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 xml:space="preserve">On January 1, 2018,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modi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retrospective method applied to all contracts that were not completed contracts at the date of initial application. Revenue is recognized when control of goods or services is transferred to the Company’s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4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September 30, 2020 and 2019, 68% and 66% of total revenue was attributable to customers with pricing contracts, respectively, versus 32% and 34% attributable to transactional customers, respectively. For the nine months ended September 30, 2020 and 2019, 71% and 65% of total revenue was attributable to customers with pricing contracts, respectively, versus 29% and 35% attributable to transactional customers, respectively. Pricing contracts are generally annual contracts or longer, with auto renewal.</w:t>
      </w:r>
    </w:p>
    <w:p>
      <w:pPr>
        <w:spacing w:after="0" w:line="160"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If a customer pays consideration before the Company transfers services to the customer, those amounts are classi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as deferred revenue. As of September 30, 2020 and December 31, 2019, the balance of deferred revenue was $180 and $128, respectively, all of which is expected to be realized in the next 12 months. In relation to the deferred revenue balance as of December 31, 2019, $0 and $128 was recognized into revenue during the three and nine months ended September 30, 2020, respectively.</w:t>
      </w:r>
    </w:p>
    <w:p>
      <w:pPr>
        <w:spacing w:after="0" w:line="1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2020, $2,626 of revenue is expected to be recognized in the future for outstanding performance obligations, primarily related to pricing contracts that have a term of more than 12 months. $602 of revenue will be recognized in the remainder of 2020, $1,860 in 2021, $138 in 2022, and $26 in 2023 and thereafter.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43" w:lineRule="exact"/>
        <w:rPr>
          <w:sz w:val="20"/>
          <w:szCs w:val="20"/>
          <w:color w:val="auto"/>
        </w:rPr>
      </w:pPr>
    </w:p>
    <w:p>
      <w:pPr>
        <w:ind w:right="220"/>
        <w:spacing w:after="0" w:line="221"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8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2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three and nine months ended September 30, 2020 and 2019, the Company’s effective income tax rate was 0%, differing from the statutory federal income tax rate of 21%, and the difference is primarily the result of the full valuation allowance applied against the Company’s deferred tax assets.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ind w:right="22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2017 remain open for tax examinations.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September 30, 2020 and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treasury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of September 30, 2020 and December 31, 2019, the number of issued shares of common stock was 12,371,665 and 11,657,912, respectively, which included shares of treasury stock of 224,755 and 103,147, respectively. The change in the number of issued shares of common stock was due to an aggregate of 713,753 shares of common stock issued as a result of the vesting of RSUs.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2020 and December 31, 2019, the Company held 224,755 and 103,147 shares of treasury stock, with a cost of $3,083 and $1,255, respectively, as a result of the shares withheld to pay withholding taxes upon the vesting of RSUs.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8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March 22, 2018, the board of directors of the Company and Fluent, Inc., in its capacity as sole stockholder of the Company at that time, approved the Red Violet, Inc. 2018 Stock Incentive Plan (the “2018 Plan”). A total of 3,000,000 shares of common stock were authorized to be issued under the 2018 Plan. 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 On June 3, 2020, the Company’s stockholders approved an amendment to the 2018 Plan to increase the number of shares of common stock authorized for issuance under the 2018 Plan from 3,000,000 shares to 4,500,000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there were 1,525,624 shares of common stock available for future issuance under the 2018 Plan, as amended.</w:t>
      </w:r>
    </w:p>
    <w:p>
      <w:pPr>
        <w:spacing w:after="0" w:line="18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nine months ended September 30, 2020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2019</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2,237,827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21,500</w:t>
            </w:r>
          </w:p>
        </w:tc>
        <w:tc>
          <w:tcPr>
            <w:tcW w:w="160" w:type="dxa"/>
            <w:vAlign w:val="bottom"/>
          </w:tcPr>
          <w:p>
            <w:pPr>
              <w:spacing w:after="0"/>
              <w:rPr>
                <w:sz w:val="19"/>
                <w:szCs w:val="19"/>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Vested and delivered</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(592,145)</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Withheld as treasury stock</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(121,608)</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Vested not delivered</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(8,417)</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September 30, 2020</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1,529,657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unrecognized share-based compensation expense associated with the granted RSUs amounted to $7,969, which is expected to be recognized over a remaining weighted average period of 1.6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Share-based compensation was allocated to the following accounts in the condensed consolidated financial statements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5"/>
              </w:rPr>
              <w:t>Three Months Ended September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4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August 7, 2018, the Company entered into a services agreement with Mr. Michael Brauser (the “Consultant”), a greater than 10% stockholder, pursuant to which, the Consultant will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then-current term. Under the Services Agreement, the Consultant receives cash compensation of $30 per month and is entitled to participate in the Company’s incentive compensation plan. The Company recognized consulting service fees relating to the Services Agreement of a total of $90 during the three months ended September 30, 2020 and 2019, and $270 during the nine months ended September 30, 2020 and 2019. In addition, amortization of share-based compensation expense of $343 and $343 for the three months ended September 30, 2020 and 2019, respectively, and $1,022 and $1,458 for the nine months ended September 30, 2020 and 2019, respectively, was recognized in relation to the RSUs previously granted to the Consultant.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loan</w:t>
      </w:r>
    </w:p>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May 5, 2020, the Company received funding under a promissory note dated May 5, 2020 (the “Promissory Note”) evidencing an unsecured non-recourse loan in the principal amount of $2,152 under the Coronavirus Aid, Relief, and Economic Security Act (“CARES Act”) (the “Loan”). The Loan to the Company was made through Legacy Bank of Florida (the “Lender”).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Long-term loan as of September 30, 2020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9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Included in condensed consolidated balance sheet:</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loan</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FF0FC"/>
          </w:tcPr>
          <w:p>
            <w:pPr>
              <w:spacing w:after="0"/>
              <w:rPr>
                <w:sz w:val="19"/>
                <w:szCs w:val="19"/>
                <w:color w:val="auto"/>
              </w:rPr>
            </w:pPr>
          </w:p>
        </w:tc>
      </w:tr>
      <w:tr>
        <w:trPr>
          <w:trHeight w:val="229"/>
        </w:trPr>
        <w:tc>
          <w:tcPr>
            <w:tcW w:w="9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loan (non-current)</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FF0FC"/>
            </w:tcBorders>
          </w:tcPr>
          <w:p>
            <w:pPr>
              <w:spacing w:after="0"/>
              <w:rPr>
                <w:sz w:val="19"/>
                <w:szCs w:val="19"/>
                <w:color w:val="auto"/>
              </w:rPr>
            </w:pPr>
          </w:p>
        </w:tc>
      </w:tr>
      <w:tr>
        <w:trPr>
          <w:trHeight w:val="223"/>
        </w:trPr>
        <w:tc>
          <w:tcPr>
            <w:tcW w:w="9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Loan has a two-year term and matures on May 5, 2022. The interest rate on the Loan is 1.0% per annum. Pursuant to the Promissory Note, payments shall be deferred for the first six months of the term of the Loan, followed by 18 approximately equal monthly installments of principal and interest. The Promissory Note contains customary events of default relating to, among other things, payment defaults, and breach of representations and warranties, or other provisions of the Promissory Note. As a result of the passage of the Paycheck Protection Program Flexibility Act of 2020 on June 5, 2020, the U.S. Small Business Administration (“SBA”), provided updated guidance that payments can be deferred until the loan forgiveness is determined, or if the Company does not apply for forgiveness, then 10 months after the Covered Period (as defined below) ends.</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Loan may be forgiven partially or fully if the Loan proceeds are used for covered payroll, rent and utility costs incurred during the 24-week period that commenced on the date of funding (the “Covered Period”), and if at least 60% of the proceeds are used for covered payroll costs. Any forgiveness of the Loan will be subject to approval by the SBA and the Lender. The Company will be required to apply for such forgiveness within 10 months after the Covered Period. Because the Loan exceeds $2,000, the Company anticipates the U.S. Department of Treasury will audit the loan. Although the Company used the proceeds of the Loan for such covered purposes and intends to apply for forgiveness by the end of December 2020, it can provide no assurance that the Company will obtain forgiveness of the Loan in whole or in part.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the Loan was effective in May 2020, the fair value of the Loan approximates its carrying amount as of September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11. Leases</w:t>
      </w:r>
    </w:p>
    <w:p>
      <w:pPr>
        <w:spacing w:after="0" w:line="20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2020 and 2019, a summary of the Company’s lease information is shown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4"/>
                <w:szCs w:val="14"/>
                <w:color w:val="auto"/>
              </w:rPr>
            </w:pPr>
          </w:p>
        </w:tc>
        <w:tc>
          <w:tcPr>
            <w:tcW w:w="258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55"/>
        </w:trPr>
        <w:tc>
          <w:tcPr>
            <w:tcW w:w="570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3"/>
                <w:szCs w:val="13"/>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Lease cost: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Operating lease costs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168</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504</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504</w:t>
            </w:r>
          </w:p>
        </w:tc>
        <w:tc>
          <w:tcPr>
            <w:tcW w:w="160" w:type="dxa"/>
            <w:vAlign w:val="bottom"/>
          </w:tcPr>
          <w:p>
            <w:pPr>
              <w:spacing w:after="0"/>
              <w:rPr>
                <w:sz w:val="18"/>
                <w:szCs w:val="18"/>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information:</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Cash paid for operating leases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527</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513</w:t>
            </w:r>
          </w:p>
        </w:tc>
        <w:tc>
          <w:tcPr>
            <w:tcW w:w="160" w:type="dxa"/>
            <w:vAlign w:val="bottom"/>
          </w:tcPr>
          <w:p>
            <w:pPr>
              <w:spacing w:after="0"/>
              <w:rPr>
                <w:sz w:val="18"/>
                <w:szCs w:val="18"/>
                <w:color w:val="auto"/>
              </w:rPr>
            </w:pPr>
          </w:p>
        </w:tc>
      </w:tr>
      <w:tr>
        <w:trPr>
          <w:trHeight w:val="21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3,042</w:t>
            </w:r>
          </w:p>
        </w:tc>
        <w:tc>
          <w:tcPr>
            <w:tcW w:w="160" w:type="dxa"/>
            <w:vAlign w:val="bottom"/>
            <w:shd w:val="clear" w:color="auto" w:fill="CFF0FC"/>
          </w:tcPr>
          <w:p>
            <w:pPr>
              <w:spacing w:after="0"/>
              <w:rPr>
                <w:sz w:val="19"/>
                <w:szCs w:val="19"/>
                <w:color w:val="auto"/>
              </w:rPr>
            </w:pPr>
          </w:p>
        </w:tc>
      </w:tr>
      <w:tr>
        <w:trPr>
          <w:trHeight w:val="359"/>
        </w:trPr>
        <w:tc>
          <w:tcPr>
            <w:tcW w:w="5700" w:type="dxa"/>
            <w:vAlign w:val="bottom"/>
          </w:tcPr>
          <w:p>
            <w:pPr>
              <w:spacing w:after="0"/>
              <w:rPr>
                <w:sz w:val="20"/>
                <w:szCs w:val="20"/>
                <w:color w:val="auto"/>
              </w:rPr>
            </w:pPr>
            <w:r>
              <w:rPr>
                <w:rFonts w:ascii="Arial" w:cs="Arial" w:eastAsia="Arial" w:hAnsi="Arial"/>
                <w:sz w:val="16"/>
                <w:szCs w:val="16"/>
                <w:color w:val="auto"/>
              </w:rPr>
              <w:t xml:space="preserve">Weighted average discount rate for operating leases </w:t>
            </w:r>
            <w:r>
              <w:rPr>
                <w:rFonts w:ascii="Arial" w:cs="Arial" w:eastAsia="Arial" w:hAnsi="Arial"/>
                <w:sz w:val="27"/>
                <w:szCs w:val="27"/>
                <w:color w:val="auto"/>
                <w:vertAlign w:val="superscript"/>
              </w:rPr>
              <w:t>(1)</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r>
    </w:tbl>
    <w:p>
      <w:pPr>
        <w:spacing w:after="0" w:line="18" w:lineRule="exact"/>
        <w:rPr>
          <w:sz w:val="20"/>
          <w:szCs w:val="20"/>
          <w:color w:val="auto"/>
        </w:rPr>
      </w:pPr>
    </w:p>
    <w:p>
      <w:pPr>
        <w:ind w:left="380" w:right="60" w:hanging="372"/>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used 8.0%, its estimated incremental borrowing rate for similar secured assets, as the discount rate for the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weighted average remaining operating lease term was 4.1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scheduled future maturities and present value of the operating lease liabilities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23"/>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maturities</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Arial" w:cs="Arial" w:eastAsia="Arial" w:hAnsi="Arial"/>
                <w:sz w:val="18"/>
                <w:szCs w:val="18"/>
                <w:color w:val="auto"/>
              </w:rPr>
              <w:t>Present value included in condensed consolidated balance sheet: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incurred data costs of $2,093 and $1,946 for the three months ended September 30, 2020 and 2019, respectively, and $6,396 and $5,501 for the nine months ended September 30, 2020 and 2019, respectively, under certain data licensing agreements. As of September 30, 2020, material capital commitments under certain data licensing agreements were $9,012, shown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6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2021</w:t>
            </w:r>
          </w:p>
        </w:tc>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6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60" w:type="dxa"/>
            <w:vAlign w:val="bottom"/>
            <w:vMerge w:val="restart"/>
          </w:tcPr>
          <w:p>
            <w:pPr>
              <w:jc w:val="right"/>
              <w:ind w:right="371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6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8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the Company’s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34"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Covid-19 update</w:t>
      </w:r>
    </w:p>
    <w:p>
      <w:pPr>
        <w:spacing w:after="0" w:line="18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December 2019, a novel strain of coronavirus, now known as Covid-19, was reported in Wuhan, China and has since extensively impacted the global health and economic environment. In March 2020, the World Health Organization characterized Covid-19 as a pandemic. The Company has taken numerous steps, and will continue to take further actions as appropriate, in its approach to minimizing the impact of the Covid-19 pandemic on the Company’s business, results of operations and financial performance. To ensure the health and well-being of its employees, beginning in March 2020, the Company instructed employees at its offices to work from home on a temporary basis. Starting in the second quarter of 2020, the Company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which resulted in significantly reduced commercial activity, and certain temporary government-imposed moratoria on collection customers’ activities, the Company experienced reduced transaction volume in the second and third quarters of 2020. Transaction volume returned to pre-Covid levels by the end of the third quarter 2020, except for collection customer volume, which was down $1.0 million, primarily attributable to the Company’s idiVERIFIED service, which is an ancillary collections market offering that is purely transactional and of a lower margin profile, for the three months ended September 30, 2020, compared to the three months ended March 31, 2020. The Company expects collection customer transaction volume, including that of its idiVERIFIED service, to return to pre-Covid levels in the first half of 2021. During the second and third quarters of 2020, the Company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second quarter of 2020, the Company provided concessions to a total of 152 customers, representing a $342 reduction in minimum committed spend. During the third quarter of 2020, the Company provided concessions to a total of 22 customers, representing a $94 reduction in minimum committed spend.</w:t>
      </w:r>
    </w:p>
    <w:p>
      <w:pPr>
        <w:spacing w:after="0" w:line="1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To further support the Company’s liquidity, beginning April 1, 2020, the Company elected, under Section 2302 of the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the Company received the Loan under the CARES Act as discussed in Note 10 above. The Company will continue to assess the CARES Act and other applicable government legislation aimed at assisting businesses during the Covid-19 pandemic. In accordance with best practices and guidance from the Centers for Disease Control and Prevention, the Company implemented protective safeguards, including daily temperature checks, mandatory wearing of masks, social distancing, plexiglass protective barriers, and an entire office HVAC UV-C system. The Company began its first phase of employees returning to the Boca Raton, Florida office in June 2020. The Company will continue to assess the need and timing of additional employees returning to the office. Given the dynamic nature of this health emergency, the full impact of the Covid-19 pandemic on the Company’s ongoing business, results of operations and overall financial performance cannot be reasonably estimated at this time.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Quarterly Report on Form 10-Q, as well as the disclosures made in the Company’s Annual Report on Form 10-K for the year ended December 31, 2019 filed on March 12, 2020 (“2019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4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i w:val="1"/>
          <w:iCs w:val="1"/>
          <w:color w:val="auto"/>
        </w:rPr>
        <w:t>References in this discussion and analysis to “we,” “us,” “our,” “red violet,” or the “Company,” refer to Red Violet, Inc. and its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Red Violet, Inc. (“we,” “us,” “our,” “red violet,” or the “Company”), a Delaware corporation, is dedicated to making the world a safer place and reducing the cost of doing business. We specialize in data fusion and analytics, providing cloud-based, mission-critical solutions to enterprises with use cases including fraud detection, risk mitigation, due diligence and marketing.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Leveraging proprietary technology and applying machine learning and advanced analytical and decision-making capabilities, CORE provides compelling solutions to public and private sector organizations through intuitive, easy-to-use analytical applications. We empower clients across markets and industries to better execute all aspects of their business, from managing risk, recovering debt, identifying fraud and abuse, and ensuring legislative compliance, to identifying and acquiring customers. With a massive data repository of approximately nine petabytes of public-record, proprietary and publicly-available data, as well as self-reported consumer information and behavioral signals, we transform data into intelligence for our customers to enable better data-driven decisioning.</w:t>
      </w:r>
    </w:p>
    <w:p>
      <w:pPr>
        <w:spacing w:after="0" w:line="1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legislative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2020 and 2019, idiCORE had 5,758 and 4,781 billable customers and FOREWARN had 44,927 and 23,853 users, respectively. The Company defines a billable customer of idiCORE as a single entity that generated revenue in the last month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right="160"/>
        <w:spacing w:after="0" w:line="255" w:lineRule="auto"/>
        <w:rPr>
          <w:sz w:val="20"/>
          <w:szCs w:val="20"/>
          <w:color w:val="auto"/>
        </w:rPr>
      </w:pPr>
      <w:r>
        <w:rPr>
          <w:rFonts w:ascii="Arial" w:cs="Arial" w:eastAsia="Arial" w:hAnsi="Arial"/>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68% and 71% of total revenue for the three and nine months ended September 30, 2020, respectively, as compared to 66% and 65% for the three and nine months ended September 30, 2019, respectively.</w:t>
      </w:r>
    </w:p>
    <w:p>
      <w:pPr>
        <w:spacing w:after="0" w:line="1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Our sales model generally begins with a free trial followed by an initial purchase on a transactional basis or minimum-committed monthly spend. As organizations derive benefits from our solutions, we are able to “land and expand” within larger organizations as additional use cases expand across departments, divisions and geographic locations and customers become increasingly reliant on our solutions in their daily workflow.</w:t>
      </w:r>
    </w:p>
    <w:p>
      <w:pPr>
        <w:spacing w:after="0" w:line="15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0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December 2019, a novel strain of coronavirus, now known as Covid-19, was reported in Wuhan, China and has since extensively impacted the global health and economic environment. In March 2020, the World Health Organization characterized Covid-19 as a pandemic. We have taken numerous steps, and will continue to take further actions as appropriate, in our approach to minimizing the impact of the Covid-19 pandemic on our business, results of operations and financial performance. To ensure the health and well-being of our employees, beginning in March 2020, we instructed employees at our offices to work from home on a temporary basis. Starting in the second quarter of 2020, we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which resulted in significantly reduced commercial activity, and certain temporary government-imposed moratoria on collection customers’ activities, we experienced reduced transaction volume in the second and third quarters 2020. Transaction volume returned to pre-Covid levels by the end of the third quarter 2020, except for collection customer volume, which was down $1.0 million, primarily attributable to our idiVERIFIED service, which is an ancillary collections market offering that is purely transactional and of a lower margin profile, for the three months ended September 30, 2020, compared to the three months ended March 31, 2020. We expect collection customer transaction volume, including that of our idiVERIFIED service, to return to pre-Covid levels in the first half of 2021. During the second and third quarters of 2020, we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second quarter of 2020, we provided concessions to a total of 152 customers, representing a $342 reduction in minimum committed spend. During the third quarter of 2020, we provided concessions to a total of 22 customers, representing a $94 reduction in minimum committed spend.</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further support our liquidity, beginning April 1, 2020, we elected, under Section 2302 of the Coronavirus Aid, Relief, and Economic Security Act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we received funding under a promissory note dated May 5, 2020 evidencing an unsecured non-recourse loan in the principal amount of $2.2 million under the CARES Act (the “Loan”). We will continue to assess the CARES Act and other applicable government legislation aimed at assisting businesses during the Covid-19 pandemic. In accordance with best practices and guidance from the Centers for Disease Control and Prevention, we implemented protective safeguards, including daily temperature checks, mandatory wearing of masks, social distancing, plexiglass protective barriers, and an entire office HVAC UV-C system. We began our first phase of employees returning to the Boca Raton, Florida office in June 2020. We will continue to assess the need and timing of additional employees returning to the office. Given the dynamic nature of this health emergency, the full impact of the Covid-19 pandemic on our ongoing business, results of operations and overall financial performance cannot be reasonably estimated at this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property and equipment and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additional information, please refer to our 2019 Form 10-K. There have been no material changes to Critical Accounting Policies and Estimates disclosed in our 2019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2020 as compared to the three months ended September 30, 2019:</w:t>
      </w:r>
    </w:p>
    <w:p>
      <w:pPr>
        <w:spacing w:after="0" w:line="198"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revenue increased 12% to $9.3 million. Platform revenue increased 27% to $9.0 million. Services revenue decreased 75% to $0.3 million.</w:t>
      </w:r>
    </w:p>
    <w:p>
      <w:pPr>
        <w:spacing w:after="0" w:line="115" w:lineRule="exact"/>
        <w:rPr>
          <w:rFonts w:ascii="Arial" w:cs="Arial" w:eastAsia="Arial" w:hAnsi="Arial"/>
          <w:sz w:val="17"/>
          <w:szCs w:val="17"/>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narrowed 7% to $0.9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84% to $2.1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increased 24% to $5.5 million. Gross margin increased to 59% from 54%.</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gross profit increased 28% to $6.6 million. Adjusted gross margin increased to 71% from 62%.</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Generated $1.7 million in cash from operating activities in the third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were $12.4 million as of September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121" w:lineRule="exact"/>
        <w:rPr>
          <w:sz w:val="20"/>
          <w:szCs w:val="20"/>
          <w:color w:val="auto"/>
        </w:rPr>
      </w:pPr>
    </w:p>
    <w:p>
      <w:pPr>
        <w:jc w:val="both"/>
        <w:ind w:left="380" w:right="300" w:hanging="372"/>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high-margin, platform revenue demonstrated accelerated growth throughout the third quarter. As a result, we generated a record 71% adjusted gross margin, producing a record adjusted gross profit of $6.6 million. Adjusted EBITDA increased 84% over prior year and increased 130% on a sequential quarter basis to $2.1 million.</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customer adoption of idiCORE™ with over 380 new customers added to the platform in the third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FOREWARN</w:t>
      </w:r>
      <w:r>
        <w:rPr>
          <w:rFonts w:ascii="Arial" w:cs="Arial" w:eastAsia="Arial" w:hAnsi="Arial"/>
          <w:sz w:val="15"/>
          <w:szCs w:val="15"/>
          <w:color w:val="auto"/>
        </w:rPr>
        <w:t>®</w:t>
      </w:r>
      <w:r>
        <w:rPr>
          <w:rFonts w:ascii="Arial" w:cs="Arial" w:eastAsia="Arial" w:hAnsi="Arial"/>
          <w:sz w:val="18"/>
          <w:szCs w:val="18"/>
          <w:color w:val="auto"/>
        </w:rPr>
        <w:t>, our subscription app-based real estate solution, added over 4,000 users in the third quarter.</w:t>
      </w:r>
    </w:p>
    <w:p>
      <w:pPr>
        <w:spacing w:after="0" w:line="117" w:lineRule="exact"/>
        <w:rPr>
          <w:rFonts w:ascii="Arial" w:cs="Arial" w:eastAsia="Arial" w:hAnsi="Arial"/>
          <w:sz w:val="18"/>
          <w:szCs w:val="18"/>
          <w:color w:val="auto"/>
        </w:rPr>
      </w:pPr>
    </w:p>
    <w:p>
      <w:pPr>
        <w:ind w:left="380" w:right="26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revenue growth from existing customer expansion. Growth revenue from existing customers increased 116% over prior year and 151% on a sequential quarter basis.</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Platform revenue consists of both contractual and transactional revenue generated from our data fusion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expense (income), net, depreciation and amortization, share-based compensation expense,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9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5"/>
          </w:tcPr>
          <w:p>
            <w:pPr>
              <w:jc w:val="right"/>
              <w:ind w:right="415"/>
              <w:spacing w:after="0"/>
              <w:rPr>
                <w:sz w:val="20"/>
                <w:szCs w:val="20"/>
                <w:color w:val="auto"/>
              </w:rPr>
            </w:pPr>
            <w:r>
              <w:rPr>
                <w:rFonts w:ascii="Arial" w:cs="Arial" w:eastAsia="Arial" w:hAnsi="Arial"/>
                <w:sz w:val="12"/>
                <w:szCs w:val="12"/>
                <w:b w:val="1"/>
                <w:bCs w:val="1"/>
                <w:color w:val="auto"/>
                <w:w w:val="97"/>
              </w:rPr>
              <w:t>Three Months Ended September 30,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b w:val="1"/>
                <w:bCs w:val="1"/>
                <w:color w:val="auto"/>
                <w:w w:val="89"/>
              </w:rPr>
              <w:t>Three 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2"/>
                <w:szCs w:val="12"/>
                <w:b w:val="1"/>
                <w:bCs w:val="1"/>
                <w:color w:val="auto"/>
                <w:w w:val="97"/>
              </w:rPr>
              <w:t>Nine Months Ended September 30,</w:t>
            </w:r>
          </w:p>
        </w:tc>
        <w:tc>
          <w:tcPr>
            <w:tcW w:w="80" w:type="dxa"/>
            <w:vAlign w:val="bottom"/>
          </w:tcPr>
          <w:p>
            <w:pPr>
              <w:spacing w:after="0"/>
              <w:rPr>
                <w:sz w:val="12"/>
                <w:szCs w:val="12"/>
                <w:color w:val="auto"/>
              </w:rPr>
            </w:pPr>
          </w:p>
        </w:tc>
      </w:tr>
      <w:tr>
        <w:trPr>
          <w:trHeight w:val="142"/>
        </w:trPr>
        <w:tc>
          <w:tcPr>
            <w:tcW w:w="398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Pr>
          <w:p>
            <w:pPr>
              <w:spacing w:after="0"/>
              <w:rPr>
                <w:sz w:val="12"/>
                <w:szCs w:val="12"/>
                <w:color w:val="auto"/>
              </w:rPr>
            </w:pPr>
          </w:p>
        </w:tc>
        <w:tc>
          <w:tcPr>
            <w:tcW w:w="1000" w:type="dxa"/>
            <w:vAlign w:val="bottom"/>
          </w:tcPr>
          <w:p>
            <w:pPr>
              <w:jc w:val="right"/>
              <w:ind w:right="458"/>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55"/>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June 30, 2020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458"/>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95"/>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2"/>
                <w:szCs w:val="12"/>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8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5,290</w:t>
            </w:r>
          </w:p>
        </w:tc>
        <w:tc>
          <w:tcPr>
            <w:tcW w:w="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740" w:type="dxa"/>
            <w:vAlign w:val="bottom"/>
          </w:tcPr>
          <w:p>
            <w:pPr>
              <w:spacing w:after="0"/>
              <w:rPr>
                <w:sz w:val="12"/>
                <w:szCs w:val="12"/>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6"/>
              </w:rPr>
              <w:t>Three Months 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4"/>
          </w:tcPr>
          <w:p>
            <w:pPr>
              <w:ind w:left="200"/>
              <w:spacing w:after="0"/>
              <w:rPr>
                <w:sz w:val="20"/>
                <w:szCs w:val="20"/>
                <w:color w:val="auto"/>
              </w:rPr>
            </w:pPr>
            <w:r>
              <w:rPr>
                <w:rFonts w:ascii="Arial" w:cs="Arial" w:eastAsia="Arial" w:hAnsi="Arial"/>
                <w:sz w:val="12"/>
                <w:szCs w:val="12"/>
                <w:b w:val="1"/>
                <w:bCs w:val="1"/>
                <w:color w:val="auto"/>
              </w:rPr>
              <w:t>Nine Months Ended September 30,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97"/>
              </w:rPr>
              <w:t>June 30, 2020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14"/>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tcBorders>
              <w:top w:val="single" w:sz="8" w:color="auto"/>
            </w:tcBorders>
            <w:shd w:val="clear" w:color="auto" w:fill="CFF0FC"/>
          </w:tcPr>
          <w:p>
            <w:pPr>
              <w:jc w:val="right"/>
              <w:ind w:right="594"/>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1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8,257</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Cost of revenue (exclusive of depreciation</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8"/>
                <w:szCs w:val="18"/>
                <w:color w:val="auto"/>
              </w:rPr>
              <w:t>and amortization)</w:t>
            </w:r>
          </w:p>
        </w:tc>
        <w:tc>
          <w:tcPr>
            <w:tcW w:w="7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(2,703)</w:t>
            </w:r>
          </w:p>
        </w:tc>
        <w:tc>
          <w:tcPr>
            <w:tcW w:w="7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(3,122)</w:t>
            </w: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(2,587)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(8,582)</w:t>
            </w:r>
          </w:p>
        </w:tc>
        <w:tc>
          <w:tcPr>
            <w:tcW w:w="2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w:t>
            </w: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assets</w:t>
            </w:r>
          </w:p>
        </w:tc>
        <w:tc>
          <w:tcPr>
            <w:tcW w:w="740" w:type="dxa"/>
            <w:vAlign w:val="bottom"/>
            <w:shd w:val="clear" w:color="auto" w:fill="CFF0FC"/>
          </w:tcPr>
          <w:p>
            <w:pPr>
              <w:spacing w:after="0"/>
              <w:rPr>
                <w:sz w:val="20"/>
                <w:szCs w:val="20"/>
                <w:color w:val="auto"/>
              </w:rPr>
            </w:pP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(1,063)</w:t>
            </w:r>
          </w:p>
        </w:tc>
        <w:tc>
          <w:tcPr>
            <w:tcW w:w="7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(2,847)</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7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4,446</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w:t>
            </w: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assets</w:t>
            </w:r>
          </w:p>
        </w:tc>
        <w:tc>
          <w:tcPr>
            <w:tcW w:w="7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280" w:type="dxa"/>
            <w:vAlign w:val="bottom"/>
            <w:tcBorders>
              <w:right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2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740" w:type="dxa"/>
            <w:vAlign w:val="bottom"/>
            <w:tcBorders>
              <w:bottom w:val="single" w:sz="8" w:color="auto"/>
            </w:tcBorders>
          </w:tcPr>
          <w:p>
            <w:pPr>
              <w:jc w:val="right"/>
              <w:ind w:right="59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28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612"/>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5,135</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17,041</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4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74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7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w:t>
            </w:r>
          </w:p>
        </w:tc>
        <w:tc>
          <w:tcPr>
            <w:tcW w:w="7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3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2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2020 compared to three months ended September 30, 2019</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$1.0 million or 12% to $9.3 million for the three months ended September 30, 2020 from $8.3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2019. This increase was driven by strong growth in usage from existing customers, with growth revenue from existing customers increasing $1.5 million or 116%. This growth was partially offset by a decrease in revenue from new customers of $0.7 million or 48%, as a result of Covid-19 related factors. As government mandated stay-at-home orders were lifted and our customers adapted and became more efficient transacting in the Covid-19 environment, our transaction volume returned to pre-Covid levels by the end of the third quarter, with the exception of collection customer volume. Collection customer volume was down $0.8 million, primarily attributable to our idiVERIFIED service, which is an ancillary collections market offering that is purely transactional and of a lower margin profile, for the three months ended September 30, 2020, as a result of certain government mandated collections moratoria remaining in place during the period. We continued to take a proactive customer 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Our idiCORE billable customer base grew from 4,781 customers as of September 30, 2019 to 5,758 customers as of September 30, 2020. Our FOREWARN user base grew from 23,853 users to 44,927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3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Cost of revenue (exclusive of depreciation and amortization)</w:t>
      </w:r>
      <w:r>
        <w:rPr>
          <w:rFonts w:ascii="Arial" w:cs="Arial" w:eastAsia="Arial" w:hAnsi="Arial"/>
          <w:sz w:val="17"/>
          <w:szCs w:val="17"/>
          <w:color w:val="auto"/>
        </w:rPr>
        <w:t>. Cost of revenue decreased $0.4 million or 13% to $2.7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2020 from $3.1 million for the three months ended September 30, 2019. Our cost of revenue primarily includes data acquisition costs. Data acquisition costs consist primarily of the costs to acquire data either on a transactional basis or through flat-fee data licensing agreements, including unlimited usage agreements. The decrease in cost of revenue was primarily attributable to the decrease in transactional based data acquisition costs associated with the reduction in our idiVERIFIED services revenue. We continue to enhance the breadth and depth of our data through the addition and expansion of relationships with key data suppliers, including our largest data supplier, which accounted for approximately 48% of our total data acquisition costs for the three months ended September 30, 2020 compared to approximately 40% for the three months ended September 30, 2019. Other cost of revenue items include expenses related to third-party infrastructure fees.</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29% for the three months ended September 30, 2020 from 38% for the three months ended September 30, 2019.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Sales and marketing expenses</w:t>
      </w:r>
      <w:r>
        <w:rPr>
          <w:rFonts w:ascii="Arial" w:cs="Arial" w:eastAsia="Arial" w:hAnsi="Arial"/>
          <w:sz w:val="17"/>
          <w:szCs w:val="17"/>
          <w:color w:val="auto"/>
        </w:rPr>
        <w:t>. Sales and marketing expenses increased $0.3 million or 15% to $2.2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from $1.9 million for the three months ended September 30, 2019. Sales and marketing expenses consist of salaries and benefits, advertising and marketing, travel expenses, and share-based compensation expense, incurred by our sales team, and provision for bad debts. The increase during the three months ended September 30, 2020 was primarily attributable to an aggregate of $0.3 million increase in salaries and benefits, as we continue to invest in the expansion of our sales organization, and sales commissions from increased revenue.</w:t>
      </w:r>
    </w:p>
    <w:p>
      <w:pPr>
        <w:spacing w:after="0" w:line="13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$0.6 million or 19% to $4.1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2020 from $3.5 million for the three months ended September 30, 2019. The increase during the three months ended September 30, 2020 was primarily attributable to the $0.4 million increase in share-based compensation expense.</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months ended September 30, 2020 and 2019, our general and administrative expenses consisted primarily of employee salaries and benefits of $1.2 million and $1.1 million, share-based compensation expense of $1.7 million and $1.3 million, and professional fees of $0.8 million and $0.6 million, respectively.</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$0.3 million or 49% to $1.1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2020 from $0.8 million for the three months ended September 30, 2019. The increase in depreciation and amortization for the three months ended September 30, 2020 resulted primarily from the amortization of software developed for internal use that became ready for its intended use after September 30,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8" w:name="page19"/>
    <w:bookmarkEnd w:id="18"/>
    <w:p>
      <w:pPr>
        <w:ind w:right="60"/>
        <w:spacing w:after="0" w:line="301" w:lineRule="auto"/>
        <w:rPr>
          <w:sz w:val="20"/>
          <w:szCs w:val="20"/>
          <w:color w:val="auto"/>
        </w:rPr>
      </w:pPr>
      <w:r>
        <w:rPr>
          <w:rFonts w:ascii="Arial" w:cs="Arial" w:eastAsia="Arial" w:hAnsi="Arial"/>
          <w:sz w:val="16"/>
          <w:szCs w:val="16"/>
          <w:b w:val="1"/>
          <w:bCs w:val="1"/>
          <w:i w:val="1"/>
          <w:iCs w:val="1"/>
          <w:color w:val="auto"/>
        </w:rPr>
        <w:t>Loss before income taxes</w:t>
      </w:r>
      <w:r>
        <w:rPr>
          <w:rFonts w:ascii="Arial" w:cs="Arial" w:eastAsia="Arial" w:hAnsi="Arial"/>
          <w:sz w:val="16"/>
          <w:szCs w:val="16"/>
          <w:color w:val="auto"/>
        </w:rPr>
        <w:t>. Loss before income taxes narrowed $0.1 million or 9% to $0.9 million for the three months ended September 30, 2020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 million for the three months ended September 30, 2019. The decrease in loss before income taxes was primarily attributable to the increase in revenue and decrease in our cost of revenue as a percentage of revenue, which was partially offset by the increase in share-based compensation expense of $0.5 million, employee salaries and benefits and sales commission of $0.4 million, and depreciation and amortization of $0.3 million.</w:t>
      </w:r>
    </w:p>
    <w:p>
      <w:pPr>
        <w:spacing w:after="0" w:line="130"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three months ended September 30, 2020 and 2019. A full valuation allowance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tax assets was recognized as of September 30, 2020 and 2019. See Note 6, “Income Taxes,” included in “Notes to Condensed Consolidated Financial Statements,” for details.</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narrowed $0.1 million or 7% to $0.9 million for the three months ended September 30, 2020 from $1.0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2019, as a result of the foregoing.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 compared to nine months ended September 30, 2019</w:t>
      </w:r>
    </w:p>
    <w:p>
      <w:pPr>
        <w:spacing w:after="0" w:line="198"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$4.4 million or 21% to $25.6 million for the nine months ended September 30, 2020 from $21.2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2019. This increase was driven by strong growth in usage from existing customers, with base revenue from existing customers increasing $3.8 million or 28% and growth revenue from existing customers increasing $1.8 million or 54%. This growth was partially offset by a decrease in revenue from new customers of $1.2 million or 29%, as a result of Covid-19 related factors. During the second and third quarter of 2020, we experienced reduced transaction volume as a result of government mandated stay-at-home orders and certain moratoria on our customer’s business activities as a result of Covid-19. We continued to take a proactive customer 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As government mandated stay-at-home orders were lifted and our customers adapted and became more efficient transacting in the Covid-19 environment, our transaction volume returned to pre-Covid levels by the end of the third quarter with the exception of collection customer volume. Collection customer volume was down $0.7 million for the nine months ended September 30, 2020, primarily attributable to our idiVERIFIED service, which is an ancillary collections market offering that is purely transactional and of a lower margin profile, as a result of certain government mandated collections moratoria remaining in place during the period. Our idiCORE billable customer base grew from 4,781 customers as of September 30, 2019 to 5,758 customers as of September 30, 2020. Our FOREWARN user base grew from 23,853 users to 44,927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Cost of revenue (exclusive of depreciation and amortization)</w:t>
      </w:r>
      <w:r>
        <w:rPr>
          <w:rFonts w:ascii="Arial" w:cs="Arial" w:eastAsia="Arial" w:hAnsi="Arial"/>
          <w:sz w:val="17"/>
          <w:szCs w:val="17"/>
          <w:color w:val="auto"/>
        </w:rPr>
        <w:t>. Cost of revenue decreased $0.2 million or 3% to $8.6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2020 from $8.8 million for the nine months ended September 30, 2019. Our cost of revenue primarily includes data acquisition costs. Data acquisition costs consist primarily of the costs to acquire data either on a transactional basis or through flat-fee data licensing agreements, including unlimited usage agreements. The decrease in cost of revenue was primarily attributable to the decrease in transactional based data acquisition costs associated with the reduction in our idiVERIFIED services revenue. We continue to enhance the breadth and depth of our data through the addition and expansion of relationships with key data suppliers, including our largest data supplier, which accounted for approximately 45% of our total data acquisition costs for the nine months ended September 30, 2020 compared to approximately 41% for the nine months ended September 30, 2019. Other cost of revenue items include expenses related to third-party infrastructure fees.</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33% for the nine months ended September 30, 2020 from 42% for the nine months ended September 30, 2019.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6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Sales and marketing expenses</w:t>
      </w:r>
      <w:r>
        <w:rPr>
          <w:rFonts w:ascii="Arial" w:cs="Arial" w:eastAsia="Arial" w:hAnsi="Arial"/>
          <w:sz w:val="17"/>
          <w:szCs w:val="17"/>
          <w:color w:val="auto"/>
        </w:rPr>
        <w:t>. Sales and marketing expenses increased $0.7 million or 13% to $6.1 million for the nine months ended September 30,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$5.4 million for the nine months ended September 30, 2019. Sales and marketing expenses consist of salaries and benefits, advertising and marketing, travel expenses, and share-based compensation expense, incurred by our sales team, and provision for bad debts. The increase during the nine months ended September 30, 2020 was primarily attributable to an aggregate of $0.5 million increase in salaries and benefits, as we continue to invest in the expansion of our sales organization, and sales commissions from increased revenue.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ind w:right="280"/>
        <w:spacing w:after="0" w:line="263"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$1.5 million or 14% to $12.8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2020 from $11.3 million for the nine months ended September 30, 2019. The increase during the nine months ended September 30, 2020 was primarily attributable to the $1.0 million increase in share-based compensation expense.</w:t>
      </w:r>
    </w:p>
    <w:p>
      <w:pPr>
        <w:spacing w:after="0" w:line="15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For the nine months ended September 30, 2020 and 2019, our general and administrative expenses consisted primarily of employee salaries and benefits of $3.4 million and $3.1 million, share-based compensation expense of $6.0 million and $5.0 million, and professional fees of $1.9 million and $1.8 million, respectively.</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$1.0 million or 47% to $3.0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2020 from $2.0 million for the nine months ended September 30, 2019. The increase in depreciation and amortization for the nine months ended September 30, 2020 resulted primarily from the amortization of software developed for internal use that became ready for its intended use after September 30, 2019.</w:t>
      </w:r>
    </w:p>
    <w:p>
      <w:pPr>
        <w:spacing w:after="0" w:line="1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Loss before income taxes</w:t>
      </w:r>
      <w:r>
        <w:rPr>
          <w:rFonts w:ascii="Arial" w:cs="Arial" w:eastAsia="Arial" w:hAnsi="Arial"/>
          <w:sz w:val="17"/>
          <w:szCs w:val="17"/>
          <w:color w:val="auto"/>
        </w:rPr>
        <w:t>. Loss before income taxes narrowed $1.3 million or 21% to $4.9 million for the nine months ended September 30, 2020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$6.2 million for the nine months ended September 30, 2019. The decrease in loss before income taxes was primarily attributable to the increase in revenue and the decrease in our cost of revenue as a percentage of revenue, which was partially offset by the increase in share-based compensation expense of $1.1 million, depreciation and amortization of $1.0 million, and salaries and benefits and sales commission of $0.8 million.</w:t>
      </w:r>
    </w:p>
    <w:p>
      <w:pPr>
        <w:spacing w:after="0" w:line="14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nine months ended September 30, 2020 and 2019. A full valuation allowance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tax assets was recognized as of September 30, 2020 and 2019. See Note 6, “Income Taxes,” included in “Notes to Condensed Consolidated Financial Statements,” for details.</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narrowed $1.3 million or 21% to $4.9 million for the nine months ended September 30, 2020 from $6.2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2019, as a result of the foregoing.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Cash flows provided by operating activities</w:t>
      </w:r>
      <w:r>
        <w:rPr>
          <w:rFonts w:ascii="Arial" w:cs="Arial" w:eastAsia="Arial" w:hAnsi="Arial"/>
          <w:sz w:val="16"/>
          <w:szCs w:val="16"/>
          <w:color w:val="auto"/>
        </w:rPr>
        <w:t>. For the nine months ended September 30, 2020, net cash provided by operating activities was $4.7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the net loss of $4.9 million, adjusted for certain non-cash items (consisting of share-based compensation expense, depreciation and amortization, write-off of long-lived assets, provision for bad debts, and noncash lease expenses) totaling $10.3 million, and the cash used as a result of changes in assets and liabilities of $0.6 million, primarily the result of the decrease in accrued expenses and other current liabilities and operating lease liabilities. For the nine months ended September 30, 2019, net cash provided by operating activities was $0.4 million, primarily the result of the net loss of $6.2 million, adjusted for certain non-cash items, as mentioned above, totaling $8.1 million, and the cash used as a result of changes in assets and liabilities of $1.4 million, primarily the result of the increase in accounts receivable and decrease in operating lease liabilities.</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For the nine months ended September 30, 2020 and 2019, net cash used in investing activities was $4.4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$4.5 million, respectively, primarily as a result of capitalized costs included in intangible assets.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Cash flows provided by financing activities</w:t>
      </w:r>
      <w:r>
        <w:rPr>
          <w:rFonts w:ascii="Arial" w:cs="Arial" w:eastAsia="Arial" w:hAnsi="Arial"/>
          <w:sz w:val="17"/>
          <w:szCs w:val="17"/>
          <w:color w:val="auto"/>
        </w:rPr>
        <w:t>. For the nine months ended September 30, 2020, net cash provided by financing activities was $0.3 million. On</w:t>
      </w:r>
      <w:r>
        <w:rPr>
          <w:rFonts w:ascii="Arial" w:cs="Arial" w:eastAsia="Arial" w:hAnsi="Arial"/>
          <w:sz w:val="17"/>
          <w:szCs w:val="17"/>
          <w:i w:val="1"/>
          <w:iCs w:val="1"/>
          <w:color w:val="auto"/>
        </w:rPr>
        <w:t xml:space="preserve"> </w:t>
      </w:r>
      <w:r>
        <w:rPr>
          <w:rFonts w:ascii="Arial" w:cs="Arial" w:eastAsia="Arial" w:hAnsi="Arial"/>
          <w:sz w:val="17"/>
          <w:szCs w:val="17"/>
          <w:color w:val="auto"/>
        </w:rPr>
        <w:t>May 5, 2020, we received funding under a promissory note dated May 5, 2020 evidencing the Loan in the principal amount of $2.2 million under the CARES Act. The Loan has a two-year term and matures on May 5, 2022. The interest rate on the Loan is 1.0% per annum. Payments can be deferred until loan forgiveness is determined, or if we do not apply for forgiveness, then 10 months after the covered period ends. We intend to apply for forgiveness by the end of December 2020. In addition, we paid taxes of $1.8 million related to the net share settlement of vesting of restricted stock units during the nine months ended September 30, 2020. For the nine months ended September 30, 2019, net cash provided by financing activities of $7.4 million was as a result of the net proceeds raised through a registered direct offering in August 2019.</w:t>
      </w:r>
    </w:p>
    <w:p>
      <w:pPr>
        <w:spacing w:after="0" w:line="1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September 30, 2020, we had material commitments under certain data licensing agreements of $9.0 million. We anticipate funding our operations using available cash and cash flow generated from operations within the next twelve months.</w:t>
      </w:r>
    </w:p>
    <w:p>
      <w:pPr>
        <w:spacing w:after="0" w:line="14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reported net loss of $0.9 million and $1.0 million for the three months ended September 30, 2020 and 2019, respectively, and $4.9 million and $6.2 million for the nine months ended September 30, 2020 and 2019, respectively. As of September 30, 2020, we had a total shareholders’ equity balance of $43.2 million.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0" w:name="page21"/>
    <w:bookmarkEnd w:id="20"/>
    <w:p>
      <w:pPr>
        <w:ind w:right="160"/>
        <w:spacing w:after="0" w:line="263" w:lineRule="auto"/>
        <w:rPr>
          <w:sz w:val="20"/>
          <w:szCs w:val="20"/>
          <w:color w:val="auto"/>
        </w:rPr>
      </w:pPr>
      <w:r>
        <w:rPr>
          <w:rFonts w:ascii="Arial" w:cs="Arial" w:eastAsia="Arial" w:hAnsi="Arial"/>
          <w:sz w:val="18"/>
          <w:szCs w:val="18"/>
          <w:color w:val="auto"/>
        </w:rPr>
        <w:t>As of September 30, 2020, we had cash and cash equivalents of approximately $12.4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did not have any off-balance sheet arrangements, as defined in Item 303(a)(4)(ii)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include information required by this item.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September 30, 2020.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September 30,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fiscal quarter ended September 30, 2020 that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identified in the Company’s 2019 Form 10-K, except as noted below.</w:t>
      </w:r>
    </w:p>
    <w:p>
      <w:pPr>
        <w:spacing w:after="0" w:line="18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ongoing and developing Covid-19 pandemic and the global attempt to contain it may adversely impact our business, our future results of operations and our overall financial performance.</w:t>
      </w:r>
    </w:p>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global spread of Covid-19 and the various attempts to contain it have created significant volatility, uncertainty and economic disruption. In response to government mandates and health care advisories, we have altered certain aspects of our operations. A certain segment of our employee base continues to work from home, which may impact productivity. We have curtailed company travel to ensure the safety of our employees, customers, vendors, and shareholders. The economic disruption has adversely impacted many of our customers and vendors.</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availability and cost to access the capital markets; the effect on our customers and customer demand for and ability to pay for our services; and disruptions or restrictions on our employees’ ability to work and travel. In addition, any preventative or protective actions that governments implement or that we take in respect of Covid-19, such as travel restrictions or stay-at-home orders, may interfere with the ability of our employees and vendors to perform their respective responsibilities and obligations relative to the conduct of our business. Such results could have a material adverse effect on our operations, business, financial condition, results of operations, or cash flows.</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closely monitoring the ongoing and developing impact of the Covid-19 pandemic, continually assessing its potential effects on our business. The extent to which our results are affected by Covid-19 will largely depend on future developments which cannot be accurately predicted and are uncertain, but the Covid-19 pandemic or the perception of its effects could have a material adverse effect on our business, financial condition, results of operations, or cash flows.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Our CARES Act Loan may be subject to regulatory review resulting from unclear subjective and objective eligibility requirements for the loan.</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5, 2020, we received funding of $2,152,000 under the CARES Act Loan. The Loan application required us to certify, among other things, that the current economic uncertainty made the Loan request necessary to support our ongoing operations. While we made this certification in good faith after analyzing, among other things, our financial situation and access to alternative forms of capital, and believe that we satisfied all eligibility criteria for the Loan, the certification described above does not contain any objective criteria and is subject to interpretation. If, despite our good faith belief that we satisfied all eligibility requirements for the Loan, we are found to have been ineligible to receive the Loan or in violation of any of the laws or governmental regulations that apply to us in connection with the Loan, we may be subject to penalties, including significant civil, criminal and administrative penalties and could be required to repay the Loan. We intend to seek forgiveness of all or a portion of the Loan. As such, we will be required to make certain certifications which will be subject to audit and review by governmental entities and could subject us to significant penalties and liabilities if found to be inaccurate. In addition, our receipt of the Loan may result in adverse publicity and damage to our reputation, and a review or audit by a government entity could consume significant financial and management resources. Any of these events could harm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November 9, 2020, the Company and each of Derek Dubner, Chief Executive Officer, James Reilly, President, Daniel MacLachlan, Chief Financial Officer and Jeffrey Dell, Chief Information Officer entered into an amendment to their respective employment agreements which extended the term expiration date by three years, from March 26, 2021 to March 26, 2024.</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9"/>
              </w:rPr>
              <w:t>Incorporated by Reference</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42"/>
        </w:trPr>
        <w:tc>
          <w:tcPr>
            <w:tcW w:w="880" w:type="dxa"/>
            <w:vAlign w:val="bottom"/>
          </w:tcPr>
          <w:p>
            <w:pPr>
              <w:spacing w:after="0" w:line="142" w:lineRule="exact"/>
              <w:rPr>
                <w:sz w:val="20"/>
                <w:szCs w:val="20"/>
                <w:color w:val="auto"/>
              </w:rPr>
            </w:pPr>
            <w:r>
              <w:rPr>
                <w:rFonts w:ascii="Arial" w:cs="Arial" w:eastAsia="Arial" w:hAnsi="Arial"/>
                <w:sz w:val="13"/>
                <w:szCs w:val="13"/>
                <w:b w:val="1"/>
                <w:bCs w:val="1"/>
                <w:color w:val="auto"/>
              </w:rPr>
              <w:t>Exhibit No.</w:t>
            </w:r>
          </w:p>
        </w:tc>
        <w:tc>
          <w:tcPr>
            <w:tcW w:w="120" w:type="dxa"/>
            <w:vAlign w:val="bottom"/>
          </w:tcPr>
          <w:p>
            <w:pPr>
              <w:spacing w:after="0"/>
              <w:rPr>
                <w:sz w:val="12"/>
                <w:szCs w:val="12"/>
                <w:color w:val="auto"/>
              </w:rPr>
            </w:pPr>
          </w:p>
        </w:tc>
        <w:tc>
          <w:tcPr>
            <w:tcW w:w="4740" w:type="dxa"/>
            <w:vAlign w:val="bottom"/>
            <w:gridSpan w:val="8"/>
          </w:tcPr>
          <w:p>
            <w:pPr>
              <w:spacing w:after="0" w:line="142" w:lineRule="exact"/>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2"/>
                <w:szCs w:val="12"/>
                <w:color w:val="auto"/>
              </w:rPr>
            </w:pPr>
          </w:p>
        </w:tc>
        <w:tc>
          <w:tcPr>
            <w:tcW w:w="1000" w:type="dxa"/>
            <w:vAlign w:val="bottom"/>
          </w:tcPr>
          <w:p>
            <w:pPr>
              <w:spacing w:after="0" w:line="142" w:lineRule="exact"/>
              <w:rPr>
                <w:sz w:val="20"/>
                <w:szCs w:val="20"/>
                <w:color w:val="auto"/>
              </w:rPr>
            </w:pPr>
            <w:r>
              <w:rPr>
                <w:rFonts w:ascii="Arial" w:cs="Arial" w:eastAsia="Arial" w:hAnsi="Arial"/>
                <w:sz w:val="13"/>
                <w:szCs w:val="13"/>
                <w:b w:val="1"/>
                <w:bCs w:val="1"/>
                <w:color w:val="auto"/>
              </w:rPr>
              <w:t>Form</w:t>
            </w:r>
          </w:p>
        </w:tc>
        <w:tc>
          <w:tcPr>
            <w:tcW w:w="56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w w:val="93"/>
              </w:rPr>
              <w:t>File No.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line="142" w:lineRule="exact"/>
              <w:rPr>
                <w:sz w:val="20"/>
                <w:szCs w:val="20"/>
                <w:color w:val="auto"/>
              </w:rPr>
            </w:pPr>
            <w:r>
              <w:rPr>
                <w:rFonts w:ascii="Arial" w:cs="Arial" w:eastAsia="Arial" w:hAnsi="Arial"/>
                <w:sz w:val="13"/>
                <w:szCs w:val="13"/>
                <w:b w:val="1"/>
                <w:bCs w:val="1"/>
                <w:color w:val="auto"/>
              </w:rPr>
              <w:t>Exhibit</w:t>
            </w:r>
          </w:p>
        </w:tc>
        <w:tc>
          <w:tcPr>
            <w:tcW w:w="140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auto"/>
            </w:tcBorders>
            <w:gridSpan w:val="7"/>
          </w:tcPr>
          <w:p>
            <w:pPr>
              <w:spacing w:after="0" w:line="142" w:lineRule="exact"/>
              <w:rPr>
                <w:rFonts w:ascii="Arial" w:cs="Arial" w:eastAsia="Arial" w:hAnsi="Arial"/>
                <w:sz w:val="14"/>
                <w:szCs w:val="14"/>
                <w:color w:val="0000EE"/>
              </w:rPr>
            </w:pPr>
            <w:hyperlink w:anchor="page26">
              <w:r>
                <w:rPr>
                  <w:rFonts w:ascii="Arial" w:cs="Arial" w:eastAsia="Arial" w:hAnsi="Arial"/>
                  <w:sz w:val="14"/>
                  <w:szCs w:val="14"/>
                  <w:color w:val="0000EE"/>
                </w:rPr>
                <w:t>Certification of Chief Executive Officer filed pursuant to Exchange Act Rules</w:t>
              </w:r>
            </w:hyperlink>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89"/>
              </w:rPr>
            </w:pPr>
            <w:hyperlink w:anchor="page26">
              <w:r>
                <w:rPr>
                  <w:rFonts w:ascii="Arial" w:cs="Arial" w:eastAsia="Arial" w:hAnsi="Arial"/>
                  <w:sz w:val="14"/>
                  <w:szCs w:val="14"/>
                  <w:color w:val="0000EE"/>
                  <w:w w:val="89"/>
                </w:rPr>
                <w:t>13a-14(a) and 15d-14(a) of the Securities and Exchange Act of 1934 as adopted</w:t>
              </w:r>
            </w:hyperlink>
          </w:p>
        </w:tc>
        <w:tc>
          <w:tcPr>
            <w:tcW w:w="60" w:type="dxa"/>
            <w:vAlign w:val="bottom"/>
            <w:tcBorders>
              <w:bottom w:val="single" w:sz="8" w:color="0000EE"/>
            </w:tcBorders>
          </w:tcPr>
          <w:p>
            <w:pPr>
              <w:spacing w:after="0"/>
              <w:rPr>
                <w:sz w:val="11"/>
                <w:szCs w:val="11"/>
                <w:color w:val="auto"/>
              </w:rPr>
            </w:pPr>
          </w:p>
        </w:tc>
        <w:tc>
          <w:tcPr>
            <w:tcW w:w="4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1"/>
                <w:szCs w:val="11"/>
                <w:color w:val="auto"/>
              </w:rPr>
            </w:pPr>
          </w:p>
        </w:tc>
        <w:tc>
          <w:tcPr>
            <w:tcW w:w="3440" w:type="dxa"/>
            <w:vAlign w:val="bottom"/>
            <w:tcBorders>
              <w:bottom w:val="single" w:sz="8" w:color="0000EE"/>
            </w:tcBorders>
            <w:gridSpan w:val="2"/>
          </w:tcPr>
          <w:p>
            <w:pPr>
              <w:spacing w:after="0" w:line="129" w:lineRule="exact"/>
              <w:rPr>
                <w:rFonts w:ascii="Arial" w:cs="Arial" w:eastAsia="Arial" w:hAnsi="Arial"/>
                <w:sz w:val="14"/>
                <w:szCs w:val="14"/>
                <w:color w:val="0000EE"/>
                <w:w w:val="92"/>
              </w:rPr>
            </w:pPr>
            <w:hyperlink w:anchor="page26">
              <w:r>
                <w:rPr>
                  <w:rFonts w:ascii="Arial" w:cs="Arial" w:eastAsia="Arial" w:hAnsi="Arial"/>
                  <w:sz w:val="14"/>
                  <w:szCs w:val="14"/>
                  <w:color w:val="0000EE"/>
                  <w:w w:val="92"/>
                </w:rPr>
                <w:t>pursuant to Section 302 of the Sarbanes-Oxley Act of 2002.</w:t>
              </w:r>
            </w:hyperlink>
          </w:p>
        </w:tc>
        <w:tc>
          <w:tcPr>
            <w:tcW w:w="1160" w:type="dxa"/>
            <w:vAlign w:val="bottom"/>
            <w:gridSpan w:val="5"/>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8"/>
          </w:tcPr>
          <w:p>
            <w:pPr>
              <w:spacing w:after="0" w:line="142" w:lineRule="exact"/>
              <w:rPr>
                <w:rFonts w:ascii="Arial" w:cs="Arial" w:eastAsia="Arial" w:hAnsi="Arial"/>
                <w:sz w:val="14"/>
                <w:szCs w:val="14"/>
                <w:color w:val="0000EE"/>
              </w:rPr>
            </w:pPr>
            <w:hyperlink w:anchor="page27">
              <w:r>
                <w:rPr>
                  <w:rFonts w:ascii="Arial" w:cs="Arial" w:eastAsia="Arial" w:hAnsi="Arial"/>
                  <w:sz w:val="14"/>
                  <w:szCs w:val="14"/>
                  <w:color w:val="0000EE"/>
                </w:rPr>
                <w:t>Certification of Chief Financial Officer filed pursuant to Exchange Act Rules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740" w:type="dxa"/>
            <w:vAlign w:val="bottom"/>
            <w:gridSpan w:val="8"/>
          </w:tcPr>
          <w:p>
            <w:pPr>
              <w:spacing w:after="0" w:line="129" w:lineRule="exact"/>
              <w:rPr>
                <w:rFonts w:ascii="Arial" w:cs="Arial" w:eastAsia="Arial" w:hAnsi="Arial"/>
                <w:sz w:val="14"/>
                <w:szCs w:val="14"/>
                <w:color w:val="0000EE"/>
                <w:w w:val="94"/>
              </w:rPr>
            </w:pPr>
            <w:hyperlink w:anchor="page27">
              <w:r>
                <w:rPr>
                  <w:rFonts w:ascii="Arial" w:cs="Arial" w:eastAsia="Arial" w:hAnsi="Arial"/>
                  <w:sz w:val="14"/>
                  <w:szCs w:val="14"/>
                  <w:color w:val="0000EE"/>
                  <w:w w:val="94"/>
                </w:rPr>
                <w:t>13a-14(a) and 15d-14(a) of the Securities and Exchange Act of 1934 as adopted</w:t>
              </w:r>
            </w:hyperlink>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1"/>
                <w:szCs w:val="11"/>
                <w:color w:val="auto"/>
              </w:rPr>
            </w:pPr>
          </w:p>
        </w:tc>
        <w:tc>
          <w:tcPr>
            <w:tcW w:w="34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2"/>
              </w:rPr>
            </w:pPr>
            <w:hyperlink w:anchor="page27">
              <w:r>
                <w:rPr>
                  <w:rFonts w:ascii="Arial" w:cs="Arial" w:eastAsia="Arial" w:hAnsi="Arial"/>
                  <w:sz w:val="14"/>
                  <w:szCs w:val="14"/>
                  <w:color w:val="0000EE"/>
                  <w:w w:val="92"/>
                </w:rPr>
                <w:t>pursuant to Section 302 of the Sarbanes-Oxley Act of 2002.</w:t>
              </w:r>
            </w:hyperlink>
          </w:p>
        </w:tc>
        <w:tc>
          <w:tcPr>
            <w:tcW w:w="1160" w:type="dxa"/>
            <w:vAlign w:val="bottom"/>
            <w:tcBorders>
              <w:top w:val="single" w:sz="8" w:color="0000EE"/>
            </w:tcBorders>
            <w:gridSpan w:val="5"/>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8"/>
          </w:tcPr>
          <w:p>
            <w:pPr>
              <w:spacing w:after="0" w:line="142" w:lineRule="exact"/>
              <w:rPr>
                <w:rFonts w:ascii="Arial" w:cs="Arial" w:eastAsia="Arial" w:hAnsi="Arial"/>
                <w:sz w:val="14"/>
                <w:szCs w:val="14"/>
                <w:color w:val="0000EE"/>
                <w:w w:val="97"/>
              </w:rPr>
            </w:pPr>
            <w:hyperlink w:anchor="page28">
              <w:r>
                <w:rPr>
                  <w:rFonts w:ascii="Arial" w:cs="Arial" w:eastAsia="Arial" w:hAnsi="Arial"/>
                  <w:sz w:val="14"/>
                  <w:szCs w:val="14"/>
                  <w:color w:val="0000EE"/>
                  <w:w w:val="97"/>
                </w:rPr>
                <w:t>Certification by Chief Executive Officer pursuant to 18 U.S.C. Section 1350, as</w:t>
              </w:r>
            </w:hyperlink>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80" w:type="dxa"/>
            <w:vAlign w:val="bottom"/>
            <w:tcBorders>
              <w:top w:val="single" w:sz="8" w:color="0000EE"/>
            </w:tcBorders>
            <w:gridSpan w:val="6"/>
          </w:tcPr>
          <w:p>
            <w:pPr>
              <w:spacing w:after="0" w:line="137" w:lineRule="exact"/>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adopted pursuant to Section 906 of the Sarbanes-Oxley Act of 2002.</w:t>
              </w:r>
            </w:hyperlink>
          </w:p>
        </w:tc>
        <w:tc>
          <w:tcPr>
            <w:tcW w:w="1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4" w:lineRule="exact"/>
              <w:rPr>
                <w:sz w:val="20"/>
                <w:szCs w:val="20"/>
                <w:color w:val="auto"/>
              </w:rPr>
            </w:pPr>
            <w:r>
              <w:rPr>
                <w:rFonts w:ascii="Arial" w:cs="Arial" w:eastAsia="Arial" w:hAnsi="Arial"/>
                <w:sz w:val="14"/>
                <w:szCs w:val="14"/>
                <w:color w:val="auto"/>
              </w:rPr>
              <w:t>32.2*</w:t>
            </w:r>
          </w:p>
        </w:tc>
        <w:tc>
          <w:tcPr>
            <w:tcW w:w="120" w:type="dxa"/>
            <w:vAlign w:val="bottom"/>
          </w:tcPr>
          <w:p>
            <w:pPr>
              <w:spacing w:after="0"/>
              <w:rPr>
                <w:sz w:val="13"/>
                <w:szCs w:val="13"/>
                <w:color w:val="auto"/>
              </w:rPr>
            </w:pPr>
          </w:p>
        </w:tc>
        <w:tc>
          <w:tcPr>
            <w:tcW w:w="4740" w:type="dxa"/>
            <w:vAlign w:val="bottom"/>
            <w:gridSpan w:val="8"/>
          </w:tcPr>
          <w:p>
            <w:pPr>
              <w:spacing w:after="0" w:line="154" w:lineRule="exact"/>
              <w:rPr>
                <w:rFonts w:ascii="Arial" w:cs="Arial" w:eastAsia="Arial" w:hAnsi="Arial"/>
                <w:sz w:val="14"/>
                <w:szCs w:val="14"/>
                <w:color w:val="0000EE"/>
                <w:w w:val="98"/>
              </w:rPr>
            </w:pPr>
            <w:hyperlink w:anchor="page29">
              <w:r>
                <w:rPr>
                  <w:rFonts w:ascii="Arial" w:cs="Arial" w:eastAsia="Arial" w:hAnsi="Arial"/>
                  <w:sz w:val="14"/>
                  <w:szCs w:val="14"/>
                  <w:color w:val="0000EE"/>
                  <w:w w:val="98"/>
                </w:rPr>
                <w:t>Certification by Chief Financial Officer pursuant to 18 U.S.C. Section 1350, as</w:t>
              </w:r>
            </w:hyperlink>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40" w:type="dxa"/>
            <w:vAlign w:val="bottom"/>
            <w:tcBorders>
              <w:top w:val="single" w:sz="8" w:color="0000EE"/>
            </w:tcBorders>
            <w:gridSpan w:val="5"/>
          </w:tcPr>
          <w:p>
            <w:pPr>
              <w:spacing w:after="0" w:line="137" w:lineRule="exact"/>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adopted pursuant to Section 906 of the Sarbanes-Oxley Act of 2002.</w:t>
              </w:r>
            </w:hyperlink>
          </w:p>
        </w:tc>
        <w:tc>
          <w:tcPr>
            <w:tcW w:w="20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Arial" w:cs="Arial" w:eastAsia="Arial" w:hAnsi="Arial"/>
                <w:sz w:val="14"/>
                <w:szCs w:val="14"/>
                <w:color w:val="auto"/>
              </w:rPr>
              <w:t>101.INS</w:t>
            </w:r>
          </w:p>
        </w:tc>
        <w:tc>
          <w:tcPr>
            <w:tcW w:w="120" w:type="dxa"/>
            <w:vAlign w:val="bottom"/>
          </w:tcPr>
          <w:p>
            <w:pPr>
              <w:spacing w:after="0"/>
              <w:rPr>
                <w:sz w:val="12"/>
                <w:szCs w:val="12"/>
                <w:color w:val="auto"/>
              </w:rPr>
            </w:pPr>
          </w:p>
        </w:tc>
        <w:tc>
          <w:tcPr>
            <w:tcW w:w="4740" w:type="dxa"/>
            <w:vAlign w:val="bottom"/>
            <w:gridSpan w:val="8"/>
          </w:tcPr>
          <w:p>
            <w:pPr>
              <w:spacing w:after="0" w:line="149" w:lineRule="exact"/>
              <w:rPr>
                <w:sz w:val="20"/>
                <w:szCs w:val="20"/>
                <w:color w:val="auto"/>
              </w:rPr>
            </w:pPr>
            <w:r>
              <w:rPr>
                <w:rFonts w:ascii="Arial" w:cs="Arial" w:eastAsia="Arial" w:hAnsi="Arial"/>
                <w:sz w:val="14"/>
                <w:szCs w:val="14"/>
                <w:color w:val="auto"/>
                <w:w w:val="94"/>
              </w:rPr>
              <w:t>Inline XBRL Instance Document – the instance document does not appear in the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8"/>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gridSpan w:val="8"/>
          </w:tcPr>
          <w:p>
            <w:pPr>
              <w:spacing w:after="0"/>
              <w:rPr>
                <w:sz w:val="20"/>
                <w:szCs w:val="20"/>
                <w:color w:val="auto"/>
              </w:rPr>
            </w:pPr>
            <w:r>
              <w:rPr>
                <w:rFonts w:ascii="Arial" w:cs="Arial" w:eastAsia="Arial" w:hAnsi="Arial"/>
                <w:sz w:val="14"/>
                <w:szCs w:val="14"/>
                <w:color w:val="auto"/>
              </w:rPr>
              <w:t>XBRL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101.SCH</w:t>
            </w:r>
          </w:p>
        </w:tc>
        <w:tc>
          <w:tcPr>
            <w:tcW w:w="120" w:type="dxa"/>
            <w:vAlign w:val="bottom"/>
          </w:tcPr>
          <w:p>
            <w:pPr>
              <w:spacing w:after="0"/>
              <w:rPr>
                <w:sz w:val="14"/>
                <w:szCs w:val="14"/>
                <w:color w:val="auto"/>
              </w:rPr>
            </w:pPr>
          </w:p>
        </w:tc>
        <w:tc>
          <w:tcPr>
            <w:tcW w:w="4740" w:type="dxa"/>
            <w:vAlign w:val="bottom"/>
            <w:gridSpan w:val="8"/>
          </w:tcPr>
          <w:p>
            <w:pPr>
              <w:spacing w:after="0"/>
              <w:rPr>
                <w:sz w:val="20"/>
                <w:szCs w:val="20"/>
                <w:color w:val="auto"/>
              </w:rPr>
            </w:pPr>
            <w:r>
              <w:rPr>
                <w:rFonts w:ascii="Arial" w:cs="Arial" w:eastAsia="Arial" w:hAnsi="Arial"/>
                <w:sz w:val="14"/>
                <w:szCs w:val="14"/>
                <w:color w:val="auto"/>
              </w:rPr>
              <w:t>Inline XBRL Taxonomy Extension Schema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120" w:type="dxa"/>
            <w:vAlign w:val="bottom"/>
          </w:tcPr>
          <w:p>
            <w:pPr>
              <w:spacing w:after="0"/>
              <w:rPr>
                <w:sz w:val="14"/>
                <w:szCs w:val="14"/>
                <w:color w:val="auto"/>
              </w:rPr>
            </w:pPr>
          </w:p>
        </w:tc>
        <w:tc>
          <w:tcPr>
            <w:tcW w:w="4740" w:type="dxa"/>
            <w:vAlign w:val="bottom"/>
            <w:gridSpan w:val="8"/>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120" w:type="dxa"/>
            <w:vAlign w:val="bottom"/>
          </w:tcPr>
          <w:p>
            <w:pPr>
              <w:spacing w:after="0"/>
              <w:rPr>
                <w:sz w:val="14"/>
                <w:szCs w:val="14"/>
                <w:color w:val="auto"/>
              </w:rPr>
            </w:pPr>
          </w:p>
        </w:tc>
        <w:tc>
          <w:tcPr>
            <w:tcW w:w="4740" w:type="dxa"/>
            <w:vAlign w:val="bottom"/>
            <w:gridSpan w:val="8"/>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120" w:type="dxa"/>
            <w:vAlign w:val="bottom"/>
          </w:tcPr>
          <w:p>
            <w:pPr>
              <w:spacing w:after="0"/>
              <w:rPr>
                <w:sz w:val="14"/>
                <w:szCs w:val="14"/>
                <w:color w:val="auto"/>
              </w:rPr>
            </w:pPr>
          </w:p>
        </w:tc>
        <w:tc>
          <w:tcPr>
            <w:tcW w:w="4740" w:type="dxa"/>
            <w:vAlign w:val="bottom"/>
            <w:gridSpan w:val="8"/>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120" w:type="dxa"/>
            <w:vAlign w:val="bottom"/>
          </w:tcPr>
          <w:p>
            <w:pPr>
              <w:spacing w:after="0"/>
              <w:rPr>
                <w:sz w:val="14"/>
                <w:szCs w:val="14"/>
                <w:color w:val="auto"/>
              </w:rPr>
            </w:pPr>
          </w:p>
        </w:tc>
        <w:tc>
          <w:tcPr>
            <w:tcW w:w="4740" w:type="dxa"/>
            <w:vAlign w:val="bottom"/>
            <w:gridSpan w:val="8"/>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4740" w:type="dxa"/>
            <w:vAlign w:val="bottom"/>
            <w:gridSpan w:val="8"/>
          </w:tcPr>
          <w:p>
            <w:pPr>
              <w:spacing w:after="0"/>
              <w:rPr>
                <w:sz w:val="20"/>
                <w:szCs w:val="20"/>
                <w:color w:val="auto"/>
              </w:rPr>
            </w:pPr>
            <w:r>
              <w:rPr>
                <w:rFonts w:ascii="Arial" w:cs="Arial" w:eastAsia="Arial" w:hAnsi="Arial"/>
                <w:sz w:val="14"/>
                <w:szCs w:val="14"/>
                <w:color w:val="auto"/>
                <w:w w:val="95"/>
              </w:rPr>
              <w:t>Cover Page Interactive Data File (embedded within the Inline XBRL document).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00" w:right="120" w:hanging="992"/>
        <w:spacing w:after="0" w:line="253" w:lineRule="auto"/>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40"/>
        <w:spacing w:after="0"/>
        <w:tabs>
          <w:tab w:leader="none" w:pos="7140" w:val="left"/>
        </w:tabs>
        <w:rPr>
          <w:sz w:val="20"/>
          <w:szCs w:val="20"/>
          <w:color w:val="auto"/>
        </w:rPr>
      </w:pPr>
      <w:r>
        <w:rPr>
          <w:rFonts w:ascii="Arial" w:cs="Arial" w:eastAsia="Arial" w:hAnsi="Arial"/>
          <w:sz w:val="18"/>
          <w:szCs w:val="18"/>
          <w:color w:val="auto"/>
        </w:rPr>
        <w:t>November 10, 2020</w:t>
      </w:r>
      <w:r>
        <w:rPr>
          <w:sz w:val="20"/>
          <w:szCs w:val="20"/>
          <w:color w:val="auto"/>
        </w:rPr>
        <w:tab/>
      </w:r>
      <w:r>
        <w:rPr>
          <w:rFonts w:ascii="Arial" w:cs="Arial" w:eastAsia="Arial" w:hAnsi="Arial"/>
          <w:sz w:val="16"/>
          <w:szCs w:val="16"/>
          <w:b w:val="1"/>
          <w:bCs w:val="1"/>
          <w:color w:val="auto"/>
        </w:rPr>
        <w:t>Red Violet,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Daniel MacLachlan</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21" w:right="3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November 10, 2020</w:t>
            </w:r>
          </w:p>
        </w:tc>
        <w:tc>
          <w:tcPr>
            <w:tcW w:w="7440" w:type="dxa"/>
            <w:vAlign w:val="bottom"/>
            <w:gridSpan w:val="2"/>
          </w:tcPr>
          <w:p>
            <w:pPr>
              <w:ind w:left="2360"/>
              <w:spacing w:after="0"/>
              <w:rPr>
                <w:sz w:val="20"/>
                <w:szCs w:val="20"/>
                <w:color w:val="auto"/>
              </w:rPr>
            </w:pPr>
            <w:r>
              <w:rPr>
                <w:rFonts w:ascii="Arial" w:cs="Arial" w:eastAsia="Arial" w:hAnsi="Arial"/>
                <w:sz w:val="18"/>
                <w:szCs w:val="18"/>
                <w:color w:val="auto"/>
              </w:rPr>
              <w:t>By: /s/ Derek Dubner</w:t>
            </w:r>
          </w:p>
        </w:tc>
      </w:tr>
      <w:tr>
        <w:trPr>
          <w:trHeight w:val="195"/>
        </w:trPr>
        <w:tc>
          <w:tcPr>
            <w:tcW w:w="3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8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November 10, 2020</w:t>
            </w:r>
          </w:p>
        </w:tc>
        <w:tc>
          <w:tcPr>
            <w:tcW w:w="7440" w:type="dxa"/>
            <w:vAlign w:val="bottom"/>
            <w:gridSpan w:val="2"/>
          </w:tcPr>
          <w:p>
            <w:pPr>
              <w:ind w:left="2360"/>
              <w:spacing w:after="0"/>
              <w:rPr>
                <w:sz w:val="20"/>
                <w:szCs w:val="20"/>
                <w:color w:val="auto"/>
              </w:rPr>
            </w:pPr>
            <w:r>
              <w:rPr>
                <w:rFonts w:ascii="Arial" w:cs="Arial" w:eastAsia="Arial" w:hAnsi="Arial"/>
                <w:sz w:val="18"/>
                <w:szCs w:val="18"/>
                <w:color w:val="auto"/>
              </w:rPr>
              <w:t>By: /s/ Daniel MacLachlan</w:t>
            </w:r>
          </w:p>
        </w:tc>
      </w:tr>
      <w:tr>
        <w:trPr>
          <w:trHeight w:val="195"/>
        </w:trPr>
        <w:tc>
          <w:tcPr>
            <w:tcW w:w="3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8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2020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November 10, 2020</w:t>
            </w:r>
          </w:p>
        </w:tc>
        <w:tc>
          <w:tcPr>
            <w:tcW w:w="7160" w:type="dxa"/>
            <w:vAlign w:val="bottom"/>
            <w:gridSpan w:val="2"/>
          </w:tcPr>
          <w:p>
            <w:pPr>
              <w:ind w:left="2640"/>
              <w:spacing w:after="0"/>
              <w:rPr>
                <w:sz w:val="20"/>
                <w:szCs w:val="20"/>
                <w:color w:val="auto"/>
              </w:rPr>
            </w:pPr>
            <w:r>
              <w:rPr>
                <w:rFonts w:ascii="Arial" w:cs="Arial" w:eastAsia="Arial" w:hAnsi="Arial"/>
                <w:sz w:val="18"/>
                <w:szCs w:val="18"/>
                <w:color w:val="auto"/>
              </w:rPr>
              <w:t>By: /s/ Derek Dubner</w:t>
            </w:r>
          </w:p>
        </w:tc>
      </w:tr>
      <w:tr>
        <w:trPr>
          <w:trHeight w:val="195"/>
        </w:trPr>
        <w:tc>
          <w:tcPr>
            <w:tcW w:w="40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4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2020 (the “Report”), the undersigned hereby certifies pursuant to 18 U.S.C. Section 1350, as adopted pursuant to Section 906 of the Sarbanes-Oxley Act of 2002, to my knowledge and belief, that:</w:t>
      </w:r>
    </w:p>
    <w:p>
      <w:pPr>
        <w:spacing w:after="0" w:line="18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November 10, 2020</w:t>
            </w:r>
          </w:p>
        </w:tc>
        <w:tc>
          <w:tcPr>
            <w:tcW w:w="7160" w:type="dxa"/>
            <w:vAlign w:val="bottom"/>
            <w:gridSpan w:val="2"/>
          </w:tcPr>
          <w:p>
            <w:pPr>
              <w:ind w:left="2640"/>
              <w:spacing w:after="0"/>
              <w:rPr>
                <w:sz w:val="20"/>
                <w:szCs w:val="20"/>
                <w:color w:val="auto"/>
              </w:rPr>
            </w:pPr>
            <w:r>
              <w:rPr>
                <w:rFonts w:ascii="Arial" w:cs="Arial" w:eastAsia="Arial" w:hAnsi="Arial"/>
                <w:sz w:val="18"/>
                <w:szCs w:val="18"/>
                <w:color w:val="auto"/>
              </w:rPr>
              <w:t>By: /s/ Daniel MacLachlan</w:t>
            </w:r>
          </w:p>
        </w:tc>
      </w:tr>
      <w:tr>
        <w:trPr>
          <w:trHeight w:val="195"/>
        </w:trPr>
        <w:tc>
          <w:tcPr>
            <w:tcW w:w="40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4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2020-11-10T15:58:28Z</dcterms:created>
  <dcterms:modified xsi:type="dcterms:W3CDTF">2020-11-10T15:58:28Z</dcterms:modified>
</cp:coreProperties>
</file>