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8"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18"/>
          <w:szCs w:val="18"/>
          <w:b w:val="1"/>
          <w:bCs w:val="1"/>
          <w:color w:val="auto"/>
        </w:rPr>
        <w:t>For the quarterly period ended March 31, 2026</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p>
      <w:pPr>
        <w:spacing w:after="0" w:line="14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82-2408531</w:t>
      </w:r>
    </w:p>
    <w:p>
      <w:pPr>
        <w:spacing w:after="0" w:line="72" w:lineRule="exact"/>
        <w:rPr>
          <w:sz w:val="24"/>
          <w:szCs w:val="24"/>
          <w:color w:val="auto"/>
        </w:rPr>
      </w:pPr>
    </w:p>
    <w:p>
      <w:pPr>
        <w:sectPr>
          <w:pgSz w:w="11900" w:h="16838" w:orient="portrait"/>
          <w:cols w:equalWidth="0" w:num="2">
            <w:col w:w="7340" w:space="720"/>
            <w:col w:w="3180"/>
          </w:cols>
          <w:pgMar w:left="320" w:top="1218"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84" w:lineRule="exact"/>
        <w:rPr>
          <w:sz w:val="24"/>
          <w:szCs w:val="24"/>
          <w:color w:val="auto"/>
        </w:rPr>
      </w:pPr>
    </w:p>
    <w:p>
      <w:pPr>
        <w:sectPr>
          <w:pgSz w:w="11900" w:h="16838" w:orient="portrait"/>
          <w:cols w:equalWidth="0" w:num="2">
            <w:col w:w="6680" w:space="720"/>
            <w:col w:w="3840"/>
          </w:cols>
          <w:pgMar w:left="320" w:top="12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Florida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30480</wp:posOffset>
            </wp:positionV>
            <wp:extent cx="2254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9"/>
        </w:trPr>
        <w:tc>
          <w:tcPr>
            <w:tcW w:w="37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bottom w:val="single" w:sz="8" w:color="auto"/>
              <w:right w:val="single" w:sz="8" w:color="auto"/>
            </w:tcBorders>
          </w:tcPr>
          <w:p>
            <w:pPr>
              <w:ind w:left="7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2026, the registrant had 14,108,921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1068070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20" w:type="dxa"/>
            <w:vAlign w:val="bottom"/>
            <w:vMerge w:val="restart"/>
          </w:tcPr>
          <w:p>
            <w:pPr>
              <w:spacing w:after="0"/>
              <w:rPr>
                <w:sz w:val="16"/>
                <w:szCs w:val="16"/>
                <w:color w:val="auto"/>
              </w:rPr>
            </w:pPr>
          </w:p>
        </w:tc>
        <w:tc>
          <w:tcPr>
            <w:tcW w:w="7440" w:type="dxa"/>
            <w:vAlign w:val="bottom"/>
            <w:gridSpan w:val="9"/>
            <w:vMerge w:val="restart"/>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3000" w:type="dxa"/>
            <w:vAlign w:val="bottom"/>
            <w:tcBorders>
              <w:bottom w:val="single" w:sz="8" w:color="0000FF"/>
            </w:tcBorders>
            <w:gridSpan w:val="8"/>
            <w:vMerge w:val="continue"/>
          </w:tcPr>
          <w:p>
            <w:pPr>
              <w:spacing w:after="0"/>
              <w:rPr>
                <w:sz w:val="13"/>
                <w:szCs w:val="13"/>
                <w:color w:val="auto"/>
              </w:rPr>
            </w:pPr>
          </w:p>
        </w:tc>
        <w:tc>
          <w:tcPr>
            <w:tcW w:w="20" w:type="dxa"/>
            <w:vAlign w:val="bottom"/>
            <w:tcBorders>
              <w:bottom w:val="single" w:sz="8" w:color="0000EE"/>
            </w:tcBorders>
            <w:vMerge w:val="continue"/>
          </w:tcPr>
          <w:p>
            <w:pPr>
              <w:spacing w:after="0"/>
              <w:rPr>
                <w:sz w:val="13"/>
                <w:szCs w:val="13"/>
                <w:color w:val="auto"/>
              </w:rPr>
            </w:pPr>
          </w:p>
        </w:tc>
        <w:tc>
          <w:tcPr>
            <w:tcW w:w="7440" w:type="dxa"/>
            <w:vAlign w:val="bottom"/>
            <w:gridSpan w:val="9"/>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3160" w:type="dxa"/>
            <w:vAlign w:val="bottom"/>
            <w:gridSpan w:val="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60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months ended March 31, 2026 and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960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0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78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0"/>
                <w:szCs w:val="20"/>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63"/>
        </w:trPr>
        <w:tc>
          <w:tcPr>
            <w:tcW w:w="8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0"/>
        </w:trPr>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702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120" w:type="dxa"/>
            <w:vAlign w:val="bottom"/>
            <w:shd w:val="clear" w:color="auto" w:fill="CFF0FC"/>
          </w:tcPr>
          <w:p>
            <w:pPr>
              <w:spacing w:after="0"/>
              <w:rPr>
                <w:sz w:val="18"/>
                <w:szCs w:val="18"/>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$122 and $231 as of</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20" w:type="dxa"/>
            <w:vAlign w:val="bottom"/>
          </w:tcPr>
          <w:p>
            <w:pPr>
              <w:spacing w:after="0"/>
              <w:rPr>
                <w:sz w:val="20"/>
                <w:szCs w:val="20"/>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56,535</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8"/>
                <w:szCs w:val="18"/>
                <w:color w:val="auto"/>
              </w:rPr>
            </w:pPr>
          </w:p>
        </w:tc>
      </w:tr>
      <w:tr>
        <w:trPr>
          <w:trHeight w:val="25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112,634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56"/>
        </w:trPr>
        <w:tc>
          <w:tcPr>
            <w:tcW w:w="77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r>
      <w:tr>
        <w:trPr>
          <w:trHeight w:val="210"/>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6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stock—$0.001 par value, 200,000,000 shares authorized, 14,112,391 and</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14,151,350 shares issued, and 14,111,891 and 14,151,350 shares outstanding, as of</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at cost, 500 and 0 shares as of March 31, 2026 and December 31, 2025</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120" w:type="dxa"/>
            <w:vAlign w:val="bottom"/>
          </w:tcPr>
          <w:p>
            <w:pPr>
              <w:spacing w:after="0"/>
              <w:rPr>
                <w:sz w:val="18"/>
                <w:szCs w:val="18"/>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104,528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120" w:type="dxa"/>
            <w:vAlign w:val="bottom"/>
          </w:tcPr>
          <w:p>
            <w:pPr>
              <w:spacing w:after="0"/>
              <w:rPr>
                <w:sz w:val="18"/>
                <w:szCs w:val="18"/>
                <w:color w:val="auto"/>
              </w:rPr>
            </w:pPr>
          </w:p>
        </w:tc>
      </w:tr>
      <w:tr>
        <w:trPr>
          <w:trHeight w:val="25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112,634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-4079875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-4079875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-2948305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-2965450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-2116455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-2116455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22,003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3,661</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5,407</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6,174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4,211</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4,519</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3,440</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68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0.24</w:t>
            </w:r>
          </w:p>
        </w:tc>
      </w:tr>
      <w:tr>
        <w:trPr>
          <w:trHeight w:val="197"/>
        </w:trPr>
        <w:tc>
          <w:tcPr>
            <w:tcW w:w="7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14,194,696</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13,998,028</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14,394,251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14,491,713</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-1662430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-1379220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-1096645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-488315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-471170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220" w:type="dxa"/>
            <w:vAlign w:val="bottom"/>
            <w:gridSpan w:val="5"/>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020" w:type="dxa"/>
            <w:vAlign w:val="bottom"/>
            <w:gridSpan w:val="4"/>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80" w:type="dxa"/>
            <w:vAlign w:val="bottom"/>
          </w:tcPr>
          <w:p>
            <w:pPr>
              <w:spacing w:after="0"/>
              <w:rPr>
                <w:sz w:val="13"/>
                <w:szCs w:val="13"/>
                <w:color w:val="auto"/>
              </w:rPr>
            </w:pPr>
          </w:p>
        </w:tc>
        <w:tc>
          <w:tcPr>
            <w:tcW w:w="222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1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13,936,329</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13,950,797</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14,151,350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(10,618)</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(63,500)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(73,618)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(3,185)</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14,112,391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-170815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(1,362)</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(2,730)</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r>
      <w:tr>
        <w:trPr>
          <w:trHeight w:val="209"/>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20" w:type="dxa"/>
            <w:vAlign w:val="bottom"/>
            <w:tcBorders>
              <w:top w:val="single" w:sz="8" w:color="CFF0FC"/>
            </w:tcBorders>
          </w:tcPr>
          <w:p>
            <w:pPr>
              <w:spacing w:after="0"/>
              <w:rPr>
                <w:sz w:val="18"/>
                <w:szCs w:val="18"/>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(3,443)</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(3,506)</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(2,519)</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(2,687)</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(4,181)</w:t>
            </w: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(3,185)</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(4,383)</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4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(1,901)</w:t>
            </w: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43,451</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1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9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9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-2553970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4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2026.</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2025 filed with the SEC on March 4, 2026 (“Form 10-K”).</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included herein was derived from the audited financial statements as of that date included in the Form 10-K, but does not include all disclosures required by US GAAP.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0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intercompany transactions and balances have been eliminated in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231F20"/>
        </w:rPr>
        <w:t>In November 2024, the Financial Accounting Standards Board (the “FASB”) issued Accounting Standards Update (“ASU”) No. 2024-03, "</w:t>
      </w:r>
      <w:r>
        <w:rPr>
          <w:rFonts w:ascii="Times New Roman" w:cs="Times New Roman" w:eastAsia="Times New Roman" w:hAnsi="Times New Roman"/>
          <w:sz w:val="18"/>
          <w:szCs w:val="18"/>
          <w:i w:val="1"/>
          <w:iCs w:val="1"/>
          <w:color w:val="231F20"/>
        </w:rPr>
        <w:t>Income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231F20"/>
        </w:rPr>
        <w:t>which requires disclosure within the notes to financial statements of specific 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evaluating the impact this ASU may have on its condensed consolidated financial statements.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 xml:space="preserve">In September 2025, the FASB issued ASU No. 2025-06, </w:t>
      </w:r>
      <w:r>
        <w:rPr>
          <w:rFonts w:ascii="Times New Roman" w:cs="Times New Roman" w:eastAsia="Times New Roman" w:hAnsi="Times New Roman"/>
          <w:sz w:val="18"/>
          <w:szCs w:val="18"/>
          <w:i w:val="1"/>
          <w:iCs w:val="1"/>
          <w:color w:val="231F20"/>
        </w:rPr>
        <w:t>"Intangibles—Goodwill and Other—Internal-Use Software (Subtopic 350-40): Targeted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Improvements to the Accounting for Internal-Use Software." </w:t>
      </w:r>
      <w:r>
        <w:rPr>
          <w:rFonts w:ascii="Times New Roman" w:cs="Times New Roman" w:eastAsia="Times New Roman" w:hAnsi="Times New Roman"/>
          <w:sz w:val="18"/>
          <w:szCs w:val="18"/>
          <w:color w:val="231F20"/>
        </w:rPr>
        <w:t>This ASU removes all references to prescriptive and sequential software development stages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(referred to as “project stages”) and instead requires an entity to start capitalizing software costs when management has authorized and committed to funding the software project and it is probable that the project will be completed and the software will be used to perform the function intended. Additional updates include changes to accounting for website development costs and certain disclosure requirements. This ASU will be effective for annual reporting periods beginning after December 15, 2027, and interim reporting periods within those annual reporting periods. Early adoption is permitted as of the beginning of an annual reporting period.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evaluating the impact this ASU may have on its condensed consolidated financial statements.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 xml:space="preserve">In December 2025, the FASB issued ASU No. 2025-11, </w:t>
      </w:r>
      <w:r>
        <w:rPr>
          <w:rFonts w:ascii="Times New Roman" w:cs="Times New Roman" w:eastAsia="Times New Roman" w:hAnsi="Times New Roman"/>
          <w:sz w:val="18"/>
          <w:szCs w:val="18"/>
          <w:i w:val="1"/>
          <w:iCs w:val="1"/>
          <w:color w:val="231F20"/>
        </w:rPr>
        <w:t>"Interim Reporting (Topic 270): Narrow-Scope Improvements."</w:t>
      </w:r>
      <w:r>
        <w:rPr>
          <w:rFonts w:ascii="Times New Roman" w:cs="Times New Roman" w:eastAsia="Times New Roman" w:hAnsi="Times New Roman"/>
          <w:sz w:val="18"/>
          <w:szCs w:val="18"/>
          <w:color w:val="231F20"/>
        </w:rPr>
        <w:t xml:space="preserve">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using either a prospective or a retrospective approach. Early adoption is permitted. The Company is currently evaluating the impact this ASU may have on its condensed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vested, or converted into common stock and is calculated using the treasury stock method and contingently issuable share guidance, as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80" w:type="dxa"/>
            <w:vAlign w:val="bottom"/>
          </w:tcPr>
          <w:p>
            <w:pPr>
              <w:spacing w:after="0"/>
              <w:rPr>
                <w:sz w:val="15"/>
                <w:szCs w:val="15"/>
                <w:color w:val="auto"/>
              </w:rPr>
            </w:pPr>
          </w:p>
        </w:tc>
        <w:tc>
          <w:tcPr>
            <w:tcW w:w="33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5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4"/>
                <w:szCs w:val="14"/>
                <w:color w:val="auto"/>
              </w:rPr>
            </w:pPr>
          </w:p>
        </w:tc>
        <w:tc>
          <w:tcPr>
            <w:tcW w:w="140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8"/>
                <w:szCs w:val="18"/>
                <w:color w:val="auto"/>
              </w:rPr>
              <w:t>14,194,696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13,998,028</w:t>
            </w:r>
          </w:p>
        </w:tc>
        <w:tc>
          <w:tcPr>
            <w:tcW w:w="0" w:type="dxa"/>
            <w:vAlign w:val="bottom"/>
          </w:tcPr>
          <w:p>
            <w:pPr>
              <w:spacing w:after="0"/>
              <w:rPr>
                <w:sz w:val="1"/>
                <w:szCs w:val="1"/>
                <w:color w:val="auto"/>
              </w:rPr>
            </w:pPr>
          </w:p>
        </w:tc>
      </w:tr>
      <w:tr>
        <w:trPr>
          <w:trHeight w:val="268"/>
        </w:trPr>
        <w:tc>
          <w:tcPr>
            <w:tcW w:w="75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14,394,251</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14,491,713</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3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diluted weighted average shares outstanding reflect the dilutive effect of certain unvested restricted stock units ("RSUs").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0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5-10 years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89,469</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(51,413)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(48,704)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(51,607)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(48,861)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gross carrying amount of software developed for internal use includes capitalized costs related to the design, development, and testing of internal-use software. These costs primarily consist of eligible personnel-related expenses, share-based compensation, and travel expenses incurred by relevant employees, and other directly attributable costs incurred during the application development stage. The gross carrying amount of acquired intangible assets reflects the acquisition cost of certain data assets for which the Company has obtained perpetual usage rights.</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expenses of $2,746 and $2,500 were included in depreciation and amortization expense for the three months ended March 31, 2026 and 2025, respectively. As of March 31, 2026, intangible assets of $7,211, included in the gross carrying amounts of intangible assets, have not yet commenced amortization, as they are not ready for their intended 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costs of intangible assets of $3,661 and $3,991 during the three months ended March 31, 2026 and 2025, respectively.</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2026, estimated amortization expense related to the Company’s intangible assets for the remainder of 2026 through 2031 and thereafter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8,307</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10,177</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7,744</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3,738</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6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Pr>
          <w:p>
            <w:pPr>
              <w:spacing w:after="0"/>
              <w:rPr>
                <w:sz w:val="18"/>
                <w:szCs w:val="18"/>
                <w:color w:val="auto"/>
              </w:rPr>
            </w:pPr>
          </w:p>
        </w:tc>
      </w:tr>
      <w:tr>
        <w:trPr>
          <w:trHeight w:val="25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40,179</w:t>
            </w:r>
          </w:p>
        </w:tc>
      </w:tr>
      <w:tr>
        <w:trPr>
          <w:trHeight w:val="628"/>
        </w:trPr>
        <w:tc>
          <w:tcPr>
            <w:tcW w:w="3500" w:type="dxa"/>
            <w:vAlign w:val="bottom"/>
            <w:tcBorders>
              <w:top w:val="single" w:sz="8" w:color="CFF0FC"/>
            </w:tcBorders>
          </w:tcPr>
          <w:p>
            <w:pPr>
              <w:spacing w:after="0"/>
              <w:rPr>
                <w:sz w:val="24"/>
                <w:szCs w:val="24"/>
                <w:color w:val="auto"/>
              </w:rPr>
            </w:pPr>
          </w:p>
        </w:tc>
        <w:tc>
          <w:tcPr>
            <w:tcW w:w="6020" w:type="dxa"/>
            <w:vAlign w:val="bottom"/>
            <w:tcBorders>
              <w:top w:val="single" w:sz="8" w:color="CFF0FC"/>
            </w:tcBorders>
          </w:tcPr>
          <w:p>
            <w:pPr>
              <w:jc w:val="right"/>
              <w:ind w:right="377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March 31, 2026 and December 31, 2025, the balance of goodwill of $5,227 resulted from the acquisition of Interactive Data, LLC, a wholly-owned subsidiary of red violet, effective on October 2, 2014.</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did not record a goodwill impairment loss during the three months ended March 31, 2026 and 2025, and as of March 31, 2026, there was no accumulated goodwill impairment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March 31, 2026, the current and noncurrent portions of unbilled accounts receivable of $1,408 and $964, respectively, were included within accounts receivable and other noncurrent assets, respectively, on the condensed consolidated balance sheets. As of December 31, 2025, the current and noncurrent portions of unbilled accounts receivable of $1,137 and $880, respectively, were included within accounts receivable and other noncurrent assets, respectively, on the condensed consolidated balance sheets. The Company's revenue arrangements do not contain significant financing components.</w:t>
      </w:r>
    </w:p>
    <w:p>
      <w:pPr>
        <w:spacing w:after="0" w:line="161"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75% and 74% of total revenue was attributable to customers with pricing contracts, respectively, versus 25% and 26% attributable to transactional customers, respectively. Pricing contracts are generally annual contracts or longer, with auto renewal.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before the Company transfers services to the customer, those amounts are classified as deferred revenue. As of March 31, 2026 and December 31, 2025, the balance of deferred revenue was $956 and $1,028, respectively, all of which is expected to be realized in the next 12 months. In relation to the deferred revenue balance as of December 31, 2025, $440 was recognized into revenue during the three months ended March 31, 2026.</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2026, $22,177 of revenue is expected to be recognized in the future for performance obligations that are unsatisfied or partially unsatisfied, related to pricing contracts that have a term of more than 12 months, of which, $9,507 of revenue will be recognized in the remainder of 2026, $8,750 in 2027, $2,986 in 2028, $814 in 2029, and $120 in 2030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The Company concluded that, due to its established historical cumulative positive income before income taxes plus permanent differences for recent years, projections of future taxable income, and the reversal of taxable temporary differences, the realization of deferred tax assets as of March 31, 2026 was more likely than not.</w:t>
      </w:r>
    </w:p>
    <w:p>
      <w:pPr>
        <w:spacing w:after="0" w:line="1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24% for each of the three months ended March 31, 2026 and 2025. The effective tax rate differed from the U.S. federal statutory rate of 21% primarily due to state income taxes and certain nondeductible expenses, partially offset by research and development tax credits and excess tax benefits related to share-based compensation.</w:t>
      </w:r>
    </w:p>
    <w:p>
      <w:pPr>
        <w:spacing w:after="0" w:line="14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unrecognized tax benefits as of March 31, 2026 and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number of issued shares of common stock was 14,112,391 and 14,151,350, respectively, which included shares of treasury stock of 500 and 0, respectively. The changes in the number of issued shares of common stock and treasury stock were due to the following factors:</w:t>
      </w:r>
    </w:p>
    <w:p>
      <w:pPr>
        <w:spacing w:after="0" w:line="149" w:lineRule="exact"/>
        <w:rPr>
          <w:sz w:val="20"/>
          <w:szCs w:val="20"/>
          <w:color w:val="auto"/>
        </w:rPr>
      </w:pPr>
    </w:p>
    <w:p>
      <w:pPr>
        <w:ind w:left="380" w:right="16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34,659 shares of common stock were issued as a result of the vesting of RSUs, of which, 10,618 shares of common stock were withheld to pay withholding taxes upon such vesting, which were reflected in treasury stock, with a cost of $498. All 10,618 shares of treasury stock were retired during the three months ended March 31, 2026.</w:t>
      </w:r>
    </w:p>
    <w:p>
      <w:pPr>
        <w:spacing w:after="0" w:line="135" w:lineRule="exact"/>
        <w:rPr>
          <w:rFonts w:ascii="Times New Roman" w:cs="Times New Roman" w:eastAsia="Times New Roman" w:hAnsi="Times New Roman"/>
          <w:sz w:val="18"/>
          <w:szCs w:val="18"/>
          <w:color w:val="auto"/>
        </w:rPr>
      </w:pPr>
    </w:p>
    <w:p>
      <w:pPr>
        <w:ind w:left="380" w:right="6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repurchased 63,500 shares of common stock under the Stock Repurchase Program, as defined below, which was reflected in treasury stock, with a cost of $2,704. Related treasury stock of 63,000 shares, with a cost of $2,687, was retired during the three months ended March 31, 2026, resulting in a treasury stock balance of $17 as of March 31, 2026.</w:t>
      </w:r>
    </w:p>
    <w:p>
      <w:pPr>
        <w:spacing w:after="0" w:line="13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May 2, 2022, the Company's Board of Directors authorized a stock repurchase program to repurchase the Company's common stock from time to time through open market purchases, privately negotiated transactions or other means, including pursuant to Rule 10b5-1 trading plans, which was subsequently amended on each of December 19, 2023, March 28, 2024, and November 3, 2025, bringing the total authorization to $30.0 million (the "Stock Repurchase Program"). The Stock Repurchase Program does not obligate the Company to repurchase any shares and may be modified, suspended, or terminated at any time at the discretion of the Board of Directors.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Red Violet, Inc. 2018 Stock Incentive Plan, as amended and restated (the “2018 Plan”), 7,500,000 shares of the Company’s common stock are authorized for issuance. The current amended and restated form of the 2018 Plan was approved by the Company’s stockholders on June 10, 2025 and, among other things, increased the number of shares authorized for issuance from 6,500,000 shares to 7,500,000 shares.</w:t>
      </w:r>
    </w:p>
    <w:p>
      <w:pPr>
        <w:spacing w:after="0" w:line="13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is to attract, retain, reward and motivate certain individuals by providing them with an opportunity to acquire or increase a proprietary interest in the Company and to incentivize them to contribute to the growth and success of the Company, so as to strengthen the mutuality of the interests between such individuals and the stockholders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1,636,286 shares of common stock available for future issuance under the 2018 Plan.</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date, all share-based awards granted under the 2018 Plan have been in the form of RSUs. RSUs granted under the 2018 Plan vest upon the satisfaction of either service-based vesting conditions or both service-based and performance-based vesting conditions.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Service-based vesting conditions are generally satisfied over three or four years with annual vesting. Unvested activity related to RSUs subject solely to service-based vesting conditions for the three months ended March 31, 2026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3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654,227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(24,041)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(7,291)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37.62</w:t>
            </w:r>
          </w:p>
        </w:tc>
        <w:tc>
          <w:tcPr>
            <w:tcW w:w="0" w:type="dxa"/>
            <w:vAlign w:val="bottom"/>
          </w:tcPr>
          <w:p>
            <w:pPr>
              <w:spacing w:after="0"/>
              <w:rPr>
                <w:sz w:val="1"/>
                <w:szCs w:val="1"/>
                <w:color w:val="auto"/>
              </w:rPr>
            </w:pPr>
          </w:p>
        </w:tc>
      </w:tr>
      <w:tr>
        <w:trPr>
          <w:trHeight w:val="210"/>
        </w:trPr>
        <w:tc>
          <w:tcPr>
            <w:tcW w:w="7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634,934</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20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granted an aggregate of 22,657 RSUs to certain employees and directors at grant date fair values ranging from $42.39 to $52.81 per share, with vesting periods ranging from three to four years.</w:t>
      </w:r>
    </w:p>
    <w:p>
      <w:pPr>
        <w:spacing w:after="0" w:line="134"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7, "Shareholders' equity" for details.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share-based compensation expense associated with the granted RSUs subject solely to service-based vesting conditions amounted to $18,055, which is expected to be recognized over a remaining weighted average period of 2.3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18, 2024, the Company granted 130,000 RSUs to one non-executive employee, subject to performance-based vesting conditions, with a grant-date fair value of $18.30 per share. The RSUs will vest only upon the achievement of specified revenue targets for a portion of the Company's business on or prior to December 31, 2030, the last achievement date deadline (collectively, the "2024 Performance Criteria"). Of the 130,000 RSUs granted, 15,000 vested and delivered prior to December 31, 2025. No amortization of share-based compensation expense has been recognized for 70,000 RSUs from this grant because, as of March 31, 2026, the Company determined that it is not probable the applicable 2024 Performance Criteria will be met in the future.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9, 2026, the Company granted an aggregate of 832,690 RSUs to certain key executive officers under the 2018 Plan, subject to performance-based vesting conditions, with a grant-date fair value of $52.77 per share. The awards vest upon achievement of specified revenue and adjusted EBITDA margin targets over a trailing twelve-month period on or prior to March 31, 2030 (the "2026 Performance Criteria"). Each recipient received three awards of increasing size tied to progressively higher revenue thresholds, subject to a consistent adjusted EBITDA margin requirement. In the event of a change of control, portions of the awards may vest based on enterprise value at the time of the transaction. Compensation expense for these awards will be recognized if and when the performance conditions are determined to be probable of achievement. No share-based compensation expense related to these awards has been recognized, because, as of March 31, 2026, the 2026 Performance Criteria are not determined to be probable.</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unvested RSUs with the performance-based vesting conditions probable of achievement are 45,000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 w:name="page12"/>
    <w:bookmarkEnd w:id="11"/>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2026, the unrecognized share-based compensation expense associated with the granted RSUs subject to performance-based vesting conditions amounted to $45,582. For awards probable of achievement, the unrecognized share-based compensation expense amounted to $360, which is expected to be recognized over a remaining weighted average period of 2.2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share-based compensation</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months ended March 31,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3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40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-453390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leased an additional office space of 6,003 rentable square feet for its Seattle office in accordance with a non-cancellable operating lease agreement that expired in March 2025. The extension options of such agreements were not included in the determination of the lease terms. On December 20, 2024, the Company entered into a non-cancellable 80-month operating lease agreement for its new Seattle office space of 6,709 rentable square feet, with the lease commencement date on May 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a summary of the Company’s lease information is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3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weighted average remaining operating lease term was 4.4 years and 4.6 years, respectively, and the weighted average discount rate used to measure the operating lease liabilities was 8.16% and 8.23%,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scheduled future maturities and present value of the operating lease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maturities</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9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Present value included in condensed consolidated balance sheet:</w:t>
            </w:r>
          </w:p>
        </w:tc>
        <w:tc>
          <w:tcPr>
            <w:tcW w:w="16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Difference between the maturities and related present value of operating lease liabilities</w:t>
            </w:r>
          </w:p>
        </w:tc>
        <w:tc>
          <w:tcPr>
            <w:tcW w:w="18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9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9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identity and information solutions, as defined under ASC 280, “Segment Reporting.” There have been no significant changes in the basis of segmentation or in the basis of measurement of segment profit since the last annual report.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(the “CODM”) is a group consisting of its Chief Executive Officer, President, and Chief Financial Officer. The CODM assesses performance for the identity and information solutions segment and decides how to allocate resources based on net income that also is reported on the condensed consolidated statements of operations as net income. The measure of segment assets is reported on the condensed consolidated balance sheet as total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reported segment revenue, segment net income, and significant segment expenses is shown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4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marketing and agency expenses</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(3)</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46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1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4,388</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-334010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380" w:right="420" w:hanging="372"/>
        <w:spacing w:after="0" w:line="282" w:lineRule="auto"/>
        <w:tabs>
          <w:tab w:leader="none" w:pos="3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(exclusive of depreciation and amortization) includes certain personnel-related expenses and share-based compensation expense, which are not included in the related line items below.</w:t>
      </w:r>
    </w:p>
    <w:p>
      <w:pPr>
        <w:spacing w:after="0" w:line="161" w:lineRule="exact"/>
        <w:rPr>
          <w:rFonts w:ascii="Times New Roman" w:cs="Times New Roman" w:eastAsia="Times New Roman" w:hAnsi="Times New Roman"/>
          <w:sz w:val="18"/>
          <w:szCs w:val="18"/>
          <w:color w:val="auto"/>
        </w:rPr>
      </w:pPr>
    </w:p>
    <w:p>
      <w:pPr>
        <w:ind w:left="380" w:right="200" w:hanging="372"/>
        <w:spacing w:after="0" w:line="282" w:lineRule="auto"/>
        <w:tabs>
          <w:tab w:leader="none" w:pos="3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for the three months ended March 31, 2026 included $259 of acquisition-related costs incurred in connection with due diligence of potential strategic targets. No acquisition-related costs were incurred during the three months ended March 31, 2025.</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primarily travel and entertainment, write-off of long-lived assets, and other selling,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included within cost of revenue (exclusive of depreciation and amortization), of $2,439 and $2,542 for the three months ended March 31, 2026 and 2025, respectively, under certain data licensing agreements.</w:t>
      </w:r>
    </w:p>
    <w:p>
      <w:pPr>
        <w:spacing w:after="0" w:line="12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w:t>
      </w:r>
    </w:p>
    <w:p>
      <w:pPr>
        <w:spacing w:after="0" w:line="1" w:lineRule="exact"/>
        <w:rPr>
          <w:sz w:val="20"/>
          <w:szCs w:val="20"/>
          <w:color w:val="auto"/>
        </w:rPr>
      </w:pPr>
    </w:p>
    <w:p>
      <w:pPr>
        <w:ind w:right="240" w:firstLine="8"/>
        <w:spacing w:after="0" w:line="26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as internal-use software costs within intangible assets when consumed in the development or enhancement of the Company’s internal-use software.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right="600"/>
        <w:spacing w:after="0" w:line="282" w:lineRule="auto"/>
        <w:rPr>
          <w:sz w:val="20"/>
          <w:szCs w:val="20"/>
          <w:color w:val="auto"/>
        </w:rPr>
      </w:pPr>
      <w:r>
        <w:rPr>
          <w:rFonts w:ascii="Times New Roman" w:cs="Times New Roman" w:eastAsia="Times New Roman" w:hAnsi="Times New Roman"/>
          <w:sz w:val="18"/>
          <w:szCs w:val="18"/>
          <w:color w:val="auto"/>
        </w:rPr>
        <w:t>As of March 31, 2026, the total material capital commitments under certain data licensing agreements and the cloud service agreement amounted to $39,813, shown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0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follows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spacing w:after="0" w:line="14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it was remanded to the Superior Court of New Jersey, Law Division, Monmouth County by order dated November 21, 2024, where the Action is pending. On May 1, 2026, the acting Administrative Director of the Courts denied Atlas’s application to consolidate all cases against various defendants in the Superior Court of New Jersey.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spacing w:after="0" w:line="16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may be involved in litigation from time to time in the ordinary course of business. The Company does not believe that the ultimate resolution of any such matter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2025 filed on March 4, 2026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58"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2026 and 2025, IDI had 10,422 and 9,241 billable customers, respectively, and FOREWARN had 417,680 and 325,336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1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March 31, 2026 and 2025, 75% and 74% of total revenue was attributable to customers with pricing contracts, respectively, versus 25% and 26% attributable to transactional customers, respectively.</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refer to our Form 10-K. There have been no material changes to Critical Accounting Policies and Estimates disclosed in our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as compared to the three months ended March 31, 2025:</w:t>
      </w:r>
    </w:p>
    <w:p>
      <w:pPr>
        <w:spacing w:after="0" w:line="117"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17% to $25.8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22% to $19.3 million. Gross margin increased to 75% from 72%.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20% to $22.0 million. Adjusted gross margin increased to 85% from 83%.</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28% to $4.4 million, which resulted in earnings of $0.31 and $0.30 per basic and diluted share, respectively. Net income margin increased to 17% from 16%.</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27% to $10.7 million. Adjusted EBITDA margin increased to 41% from 38%.</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29% to $6.6 million, which resulted in adjusted earnings of $0.46 per basic and diluted share.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32% to $6.6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$43.5 million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and Recent Business Highlights</w:t>
      </w:r>
    </w:p>
    <w:p>
      <w:pPr>
        <w:spacing w:after="0" w:line="12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400 customers to IDI during the first quarter, ending the quarter with 10,422 customers.</w:t>
      </w:r>
    </w:p>
    <w:p>
      <w:pPr>
        <w:spacing w:after="0" w:line="123" w:lineRule="exact"/>
        <w:rPr>
          <w:rFonts w:ascii="Times New Roman" w:cs="Times New Roman" w:eastAsia="Times New Roman" w:hAnsi="Times New Roman"/>
          <w:sz w:val="18"/>
          <w:szCs w:val="18"/>
          <w:color w:val="auto"/>
        </w:rPr>
      </w:pPr>
    </w:p>
    <w:p>
      <w:pPr>
        <w:ind w:left="380" w:right="160" w:hanging="372"/>
        <w:spacing w:after="0" w:line="23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27,662 users to FOREWARN during the first quarter, ending the quarter with 417,680 users. Over 640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91"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73,250 shares of the Company’s common stock year to date through April 30, 2026, at an average price of $41.90 per share pursuant to the Company’s Stock Repurchase Program. As of April 30, 2026, the Company had $15.6 million remaining under the Stock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6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2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640" w:type="dxa"/>
            <w:vAlign w:val="bottom"/>
            <w:gridSpan w:val="2"/>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25,830</w:t>
            </w:r>
          </w:p>
        </w:tc>
        <w:tc>
          <w:tcPr>
            <w:tcW w:w="280" w:type="dxa"/>
            <w:vAlign w:val="bottom"/>
          </w:tcPr>
          <w:p>
            <w:pPr>
              <w:spacing w:after="0"/>
              <w:rPr>
                <w:sz w:val="17"/>
                <w:szCs w:val="17"/>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-624840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-607695</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-624840</wp:posOffset>
            </wp:positionV>
            <wp:extent cx="111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-607695</wp:posOffset>
            </wp:positionV>
            <wp:extent cx="1117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4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1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19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1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(1)</w:t>
            </w:r>
          </w:p>
        </w:tc>
        <w:tc>
          <w:tcPr>
            <w:tcW w:w="1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(621)</w:t>
            </w:r>
          </w:p>
        </w:tc>
        <w:tc>
          <w:tcPr>
            <w:tcW w:w="4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9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30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1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60" w:type="dxa"/>
            <w:vAlign w:val="bottom"/>
            <w:gridSpan w:val="2"/>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9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60" w:type="dxa"/>
            <w:vAlign w:val="bottom"/>
            <w:gridSpan w:val="2"/>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300" w:type="dxa"/>
            <w:vAlign w:val="bottom"/>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14,194,696</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13,998,028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14,394,251</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14,491,713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-1559560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-1559560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-951230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-934085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-951230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-650875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-633730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-650875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380" w:right="40" w:hanging="372"/>
        <w:spacing w:after="0" w:line="258" w:lineRule="auto"/>
        <w:tabs>
          <w:tab w:leader="none" w:pos="3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combined federal and state statutory tax rate, which was approximately 26.00% for the three months ended March 31, 2026 and 2025. The resulting tax effect may differ from applying such rate to total adjustments due to the tax treatment of certain items. Beginning with the Form 10-K, we updated the methodology for determining the income tax effects of adjustments in calculating non-GAAP adjusted net income. Prior-period amounts have been revised to conform to the current methodology and presentation. These revisions did not affect our previously reported GAAP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60" w:type="dxa"/>
            <w:vAlign w:val="bottom"/>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25,830</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22,003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(3,819)</w:t>
            </w:r>
          </w:p>
        </w:tc>
        <w:tc>
          <w:tcPr>
            <w:tcW w:w="4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related to cost of revenue</w:t>
            </w: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(2,746)</w:t>
            </w:r>
          </w:p>
        </w:tc>
        <w:tc>
          <w:tcPr>
            <w:tcW w:w="4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19,265</w:t>
            </w:r>
          </w:p>
        </w:tc>
        <w:tc>
          <w:tcPr>
            <w:tcW w:w="4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15,842</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Depreciation and amortization of certain intangible assets</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2,709</w:t>
            </w:r>
          </w:p>
        </w:tc>
        <w:tc>
          <w:tcPr>
            <w:tcW w:w="4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21,974</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4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-916305</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-916305</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-633730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-633730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ind w:left="380" w:right="420" w:hanging="372"/>
        <w:spacing w:after="0" w:line="282" w:lineRule="auto"/>
        <w:tabs>
          <w:tab w:leader="none" w:pos="3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certain intangible assets primarily consists of the amortization of capitalized internal-use software development costs, which are included within intangible assets and amortized over their estimated useful lives.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6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3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6,585</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(3,443)</w:t>
            </w:r>
          </w:p>
        </w:tc>
        <w:tc>
          <w:tcPr>
            <w:tcW w:w="4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3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3,079</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and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Revenue increased $3.8 million, or 17%, to $25.8 million for the three months ended March 31, 2026, compared to $22.0 million for the same period in 2025. The increase was driven by volume expansion across the existing customer base, partially offset by the decrease in revenue from new customers.</w:t>
      </w:r>
    </w:p>
    <w:p>
      <w:pPr>
        <w:spacing w:after="0" w:line="54"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existing customers increased $4.6 million, or 24%, to $23.7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decreased $0.8 million, or 28%, to $2.1 million.</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2026, our IDI billable customer base increased to 10,422 customers, up from 9,241 customers a year earlier. Our FOREWARN user base increased to 417,680 users, up from 325,336 users a year earlier.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$0.1 million, or 4%, to $3.8 million for the three months ended March 31, 2026, compared to $3.7 million for the same period in 2025.</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cost of revenue primarily consists of data acquisition costs, which include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46% and 43% of our total data acquisition costs for the three months ended March 31, 2026 and 2025, respectively. Effective on May 1, 2025, we entered into an amendment with our largest data supplier, extending the term of the agreement through April 30, 2031.</w:t>
      </w:r>
    </w:p>
    <w:p>
      <w:pPr>
        <w:spacing w:after="0" w:line="14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Additional components of our cost of revenue include cloud infrastructure fees, and pertinent personnel-related costs and share-based compensation expense.</w:t>
      </w:r>
    </w:p>
    <w:p>
      <w:pPr>
        <w:spacing w:after="0" w:line="13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Due to the fixed-cost nature of our primary data licensing structure, cost of revenue as a percentage of revenue decreased to 15% for the three months ended March 31, 2026, compared to 17% for the same period in 2025. We expect this percentage to continue to decline over time as our revenue increases.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$0.5 million, or 8%, to $5.9 million for the three months ended March 31, 2026, compared to $5.4 million for the same period in 2025. We continued to invest in expanding our go-to-market capabilities to support long-term revenue growth.</w:t>
      </w:r>
    </w:p>
    <w:p>
      <w:pPr>
        <w:spacing w:after="0" w:line="13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advertising, marketing and agency expenses, travel expenses, and share-based compensation expense incurred by our sales team, and provision for bad debts.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sales and marketing expenses consisted primarily of:</w:t>
      </w:r>
    </w:p>
    <w:p>
      <w:pPr>
        <w:spacing w:after="0" w:line="117"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$4.7 million and $4.6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$0.2 million and $0.2 million, respectively;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marketing and agency expenses of $0.3 million and $0.2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$1.7 million, or 28%, to $7.9 million for the three months ended March 31, 2026, compared to $6.2 million for the same period in 2025. The increase reflects higher personnel-related expenses and share-based compensation expense to support the continued growth of the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general and administrative expenses consisted primarily of:</w:t>
      </w:r>
    </w:p>
    <w:p>
      <w:pPr>
        <w:spacing w:after="0" w:line="117"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$4.0 million and $3.1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$1.8 million and $1.4 million, respectively; and</w:t>
      </w:r>
    </w:p>
    <w:p>
      <w:pPr>
        <w:spacing w:after="0" w:line="117"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$1.5 million and $1.1 million, respectively. Professional fees included $0.3 million and $0, respectively, of acquisition-related costs incurred in connection with the due diligence of potential strategic targets.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$0.2 million, or 10%, to $2.8 million for the three months ended March 31, 2026, compared to $2.6 million for the same period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 the amortization of intangible assets that became ready for their intended use after March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$0.3 million for each of the three months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income was primarily attributable to yields on money market fund investments.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$1.3 million, or 28%, to $5.8 million for the three months ended March 31, 2026, compared to $4.5 million for the same period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$3.8 million in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share-based compensation expense;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professional fees;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depreciation and amortization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$1.4 million for the three months ended March 31, 2026, compared to $1.1 million for the same period in 2025.</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was primarily attributable to higher pre-tax income, as the Company’s effective tax rate remained consistent at 24% in both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Note 6, “Income taxes,” in the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income increased $1.0 million, or 28%, to $4.4 million for the three months ended March 31, 2026, compared to $3.4 million for the same period in 2025, as a result of the foregoing.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While the pace of inflation has shown signs of moderation more recently, macroeconomic uncertainty and higher interest rates have continued to influence business sentiment and spending patterns in certain sectors. These conditions have resulted in — and may continue to contribute to — fluctuations in transaction volumes, pricing dynamics, and operating margins across our services.</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elevated interest rates implemented to curb inflation may reduce demand for credit, which could in turn lead to lower usage of our services by customers in the banking, financial services, and adjacent industries.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net cash provided by operating activities was $6.6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$4.4 million;</w:t>
      </w:r>
    </w:p>
    <w:p>
      <w:pPr>
        <w:spacing w:after="0" w:line="117" w:lineRule="exact"/>
        <w:rPr>
          <w:rFonts w:ascii="Times New Roman" w:cs="Times New Roman" w:eastAsia="Times New Roman" w:hAnsi="Times New Roman"/>
          <w:sz w:val="18"/>
          <w:szCs w:val="18"/>
          <w:color w:val="auto"/>
        </w:rPr>
      </w:pPr>
    </w:p>
    <w:p>
      <w:pPr>
        <w:ind w:left="380" w:right="40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$6.1 million, including share-based compensation expense, depreciation and amortization, write-off of long-lived assets,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$4.0 million, primarily due to an increase in accounts receivable, and a decrease in accrued expenses and other current liabilities, partially offset by the decrease in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net cash provided by operating activities was $5.0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$3.4 million;</w:t>
      </w:r>
    </w:p>
    <w:p>
      <w:pPr>
        <w:spacing w:after="0" w:line="117" w:lineRule="exact"/>
        <w:rPr>
          <w:rFonts w:ascii="Times New Roman" w:cs="Times New Roman" w:eastAsia="Times New Roman" w:hAnsi="Times New Roman"/>
          <w:sz w:val="18"/>
          <w:szCs w:val="18"/>
          <w:color w:val="auto"/>
        </w:rPr>
      </w:pPr>
    </w:p>
    <w:p>
      <w:pPr>
        <w:ind w:left="380" w:right="40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$5.3 million, including share-based compensation expense, depreciation and amortization, write-off of long-lived assets,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$3.7 million, primarily due to an increase in accounts receivable and other noncurrent assets, and a decrease in accrued expenses and other current liabilities.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net cash used in investing activities was $3.5 million and $2.5 million, respectively, primarily as a result of capitalized costs included in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net cash used in financing activities was $3.2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$0.5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totaling $2.7 million, conducted pursuant to our Stock Repurchase Program (as defined below).</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Stock Repurchase Program was originally authorized by the Company's Board of Directors on May 2, 2022, permitting repurchases of our common stock from time to time, which was subsequently amended on each of December 19, 2023, March 28, 2024, and November 3, 2025, bringing the total authorization to $30.0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net cash used in financing activities was $4.4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 special cash dividend totaling $4.2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$0.2 million.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sectPr>
      </w:pPr>
    </w:p>
    <w:bookmarkStart w:id="22" w:name="page23"/>
    <w:bookmarkEnd w:id="22"/>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3, 2024, we declared a special cash dividend of $0.30 per share on our common stock to shareholders of record as of January 31, 2025. The dividend, totaling $4.2 million, was paid on February 14,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material commitments under data licensing agreements and a cloud service agreement totaling $39.8 million.</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expect to fund these commitments, as well as our ongoing operating and capital requirements, using available cash on hand and cash flows generated from operations over the next twelve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reported net income of $4.4 million and $3.4 million for the three months ended March 31, 2026 and 2025, respectively. As of March 31, 2026, we had total shareholders’ equity of $104.5 million and cash and cash equivalents of $43.5 million.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our projected growth in revenue and operating results over the next twelve months, and the available cash on hand, we believe that our existing resources will be sufficient to fund operations and expected capital expenditures for at least the next twelve months.</w:t>
      </w:r>
    </w:p>
    <w:p>
      <w:pPr>
        <w:spacing w:after="0" w:line="13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While we anticipate continuing to fund our business through internally generated cash flows, future capital needs may arise based on the pace of revenue growth, investment in technology, or strategic initiatives. In such cases, we may seek to raise additional capital through the issuance of equity and/or debt securities. However, any such financing, if available, could result in dilution to existing stockholders and may involve terms that are not favorable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did not have any off-balance sheet arrangements, as defined in Item 303 of Regulation 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March 31, 2026.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quarter ended March 31, 2026 that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11, “Commitments and contingencies,” included in “Notes to Condensed Consolidated Financial Statements” contained in Part I, Item 1 of this Form 10-Q,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three months ended March 31, 2026 pursuant to the Stock Repurchase Program: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3"/>
                <w:szCs w:val="13"/>
                <w:color w:val="auto"/>
              </w:rPr>
            </w:pPr>
          </w:p>
        </w:tc>
        <w:tc>
          <w:tcPr>
            <w:tcW w:w="1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3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12"/>
                <w:szCs w:val="12"/>
                <w:color w:val="auto"/>
              </w:rPr>
            </w:pPr>
          </w:p>
        </w:tc>
        <w:tc>
          <w:tcPr>
            <w:tcW w:w="19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4"/>
              <w:spacing w:after="0" w:line="175"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18,136,305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46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40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15,960,996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right="2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1, 2026 to April 30, 2026, the Company purchased an additional 9,750 shares at an average price of $37.74 per share pursuant to the Stock Repurchase Program.</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commission fees incurred in relation to the repurchase of common stock.</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 2022, the Company's Board of Directors authorized the Stock Repurchase Program to repurchase the Company's common stock from time to time through open market purchases, privately negotiated transactions or other means, including pursuant to Rule 10b5-1 trading plans, which was subsequently amended on each of December 19, 2023, March 28, 2024, and November 3, 2025, bringing the total authorization to $30.0 million. The Stock Repurchase Program does not obligate the Company to repurchase any shares and may be modified, suspended, or terminated at any time at the discretion of the Board of Directors.</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50,000 shares were repurchased through a Rule 10b5-1 plan, and the remaining were made in open-market transactions outside of any Rule 10b5-1 trading plan. Such repurchases were made in accordance with the limitations set forth in Rule 10b-18 and applicable securities laws.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Since the inception of the Stock Repurchase Program and through April 30, 2026, the Company has purchased a total of $14.4 million of common stock at an average price of $22.79 per share.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Filed</w:t>
            </w: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1"/>
                <w:szCs w:val="11"/>
                <w:color w:val="auto"/>
              </w:rPr>
            </w:pPr>
          </w:p>
        </w:tc>
        <w:tc>
          <w:tcPr>
            <w:tcW w:w="4860" w:type="dxa"/>
            <w:vAlign w:val="bottom"/>
            <w:gridSpan w:val="20"/>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02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1"/>
                <w:szCs w:val="11"/>
                <w:color w:val="auto"/>
              </w:rPr>
            </w:pPr>
          </w:p>
        </w:tc>
        <w:tc>
          <w:tcPr>
            <w:tcW w:w="100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1"/>
                <w:szCs w:val="11"/>
                <w:color w:val="auto"/>
              </w:rPr>
            </w:pPr>
          </w:p>
        </w:tc>
        <w:tc>
          <w:tcPr>
            <w:tcW w:w="10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1"/>
                <w:szCs w:val="11"/>
                <w:color w:val="auto"/>
              </w:rPr>
            </w:pPr>
          </w:p>
        </w:tc>
        <w:tc>
          <w:tcPr>
            <w:tcW w:w="12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28"/>
        </w:trPr>
        <w:tc>
          <w:tcPr>
            <w:tcW w:w="8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4760" w:type="dxa"/>
            <w:vAlign w:val="bottom"/>
            <w:tcBorders>
              <w:top w:val="single" w:sz="8" w:color="auto"/>
            </w:tcBorders>
            <w:gridSpan w:val="19"/>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Third Amendment to Employment Agreement dated January 9, 2026 by and</w:t>
              </w:r>
            </w:hyperlink>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4"/>
                <w:szCs w:val="14"/>
                <w:color w:val="auto"/>
                <w:w w:val="98"/>
              </w:rPr>
              <w:t>001-38407</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January 13, 2026</w:t>
            </w: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between Red Violet, Inc. and Derek Dubner.</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2560" w:type="dxa"/>
            <w:vAlign w:val="bottom"/>
            <w:tcBorders>
              <w:top w:val="single" w:sz="8" w:color="0000FF"/>
            </w:tcBorders>
            <w:gridSpan w:val="3"/>
          </w:tcPr>
          <w:p>
            <w:pPr>
              <w:spacing w:after="0" w:line="129" w:lineRule="exact"/>
              <w:rPr>
                <w:rFonts w:ascii="Times New Roman" w:cs="Times New Roman" w:eastAsia="Times New Roman" w:hAnsi="Times New Roman"/>
                <w:sz w:val="14"/>
                <w:szCs w:val="14"/>
                <w:color w:val="0000FF"/>
                <w:w w:val="97"/>
              </w:rPr>
            </w:pPr>
            <w:hyperlink r:id="rId160">
              <w:r>
                <w:rPr>
                  <w:rFonts w:ascii="Times New Roman" w:cs="Times New Roman" w:eastAsia="Times New Roman" w:hAnsi="Times New Roman"/>
                  <w:sz w:val="14"/>
                  <w:szCs w:val="14"/>
                  <w:color w:val="0000FF"/>
                  <w:w w:val="97"/>
                </w:rPr>
                <w:t>Third Amendment to Employment Agreement</w:t>
              </w:r>
            </w:hyperlink>
          </w:p>
        </w:tc>
        <w:tc>
          <w:tcPr>
            <w:tcW w:w="20" w:type="dxa"/>
            <w:vAlign w:val="bottom"/>
            <w:tcBorders>
              <w:top w:val="single" w:sz="8" w:color="0000EE"/>
            </w:tcBorders>
          </w:tcPr>
          <w:p>
            <w:pPr>
              <w:spacing w:after="0"/>
              <w:rPr>
                <w:sz w:val="11"/>
                <w:szCs w:val="11"/>
                <w:color w:val="auto"/>
              </w:rPr>
            </w:pPr>
          </w:p>
        </w:tc>
        <w:tc>
          <w:tcPr>
            <w:tcW w:w="2280" w:type="dxa"/>
            <w:vAlign w:val="bottom"/>
            <w:gridSpan w:val="16"/>
          </w:tcPr>
          <w:p>
            <w:pPr>
              <w:ind w:left="120"/>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dated January 9, 2026 by and</w:t>
              </w:r>
            </w:hyperlink>
          </w:p>
        </w:tc>
        <w:tc>
          <w:tcPr>
            <w:tcW w:w="10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31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3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January 13, 2026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44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between Red Violet, Inc. and James Reilly.</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10.3</w:t>
            </w: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January 13, 2026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20"/>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Third Amendment to Employment Agreement dated January 9, 2026 by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44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between Red Violet, Inc. and Daniel MacLachlan.</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10.4</w:t>
            </w: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January 13, 2026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20"/>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Fourth Amendment to Employment Agreement dated January 9, 2026 by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1"/>
                <w:szCs w:val="11"/>
                <w:color w:val="auto"/>
              </w:rPr>
            </w:pPr>
          </w:p>
        </w:tc>
        <w:tc>
          <w:tcPr>
            <w:tcW w:w="24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between Red Violet, Inc. and Jeffrey Dell.</w:t>
              </w:r>
            </w:hyperlink>
          </w:p>
        </w:tc>
        <w:tc>
          <w:tcPr>
            <w:tcW w:w="40" w:type="dxa"/>
            <w:vAlign w:val="bottom"/>
            <w:tcBorders>
              <w:top w:val="single" w:sz="8" w:color="0000FF"/>
              <w:bottom w:val="single" w:sz="8" w:color="0000EE"/>
            </w:tcBorders>
          </w:tcPr>
          <w:p>
            <w:pPr>
              <w:spacing w:after="0"/>
              <w:rPr>
                <w:sz w:val="11"/>
                <w:szCs w:val="11"/>
                <w:color w:val="auto"/>
              </w:rPr>
            </w:pPr>
          </w:p>
        </w:tc>
        <w:tc>
          <w:tcPr>
            <w:tcW w:w="20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10.27</w:t>
            </w: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March 4, 2026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20"/>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Performance-Based Restrictive Stock Unit Agreement</w:t>
              </w:r>
            </w:hyperlink>
            <w:r>
              <w:rPr>
                <w:rFonts w:ascii="Times New Roman" w:cs="Times New Roman" w:eastAsia="Times New Roman" w:hAnsi="Times New Roman"/>
                <w:sz w:val="14"/>
                <w:szCs w:val="14"/>
                <w:color w:val="000000"/>
              </w:rPr>
              <w:t>.</w:t>
            </w:r>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20" w:type="dxa"/>
            <w:vAlign w:val="bottom"/>
            <w:tcBorders>
              <w:top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r>
              <w:rPr>
                <w:rFonts w:ascii="Times New Roman" w:cs="Times New Roman" w:eastAsia="Times New Roman" w:hAnsi="Times New Roman"/>
                <w:sz w:val="14"/>
                <w:szCs w:val="14"/>
                <w:color w:val="000000"/>
              </w:rPr>
              <w:t>.</w:t>
            </w:r>
          </w:p>
        </w:tc>
        <w:tc>
          <w:tcPr>
            <w:tcW w:w="10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340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w:t>
            </w:r>
          </w:p>
        </w:tc>
        <w:tc>
          <w:tcPr>
            <w:tcW w:w="20" w:type="dxa"/>
            <w:vAlign w:val="bottom"/>
            <w:tcBorders>
              <w:top w:val="single" w:sz="8" w:color="0000EE"/>
            </w:tcBorders>
          </w:tcPr>
          <w:p>
            <w:pPr>
              <w:spacing w:after="0"/>
              <w:rPr>
                <w:sz w:val="11"/>
                <w:szCs w:val="11"/>
                <w:color w:val="auto"/>
              </w:rPr>
            </w:pPr>
          </w:p>
        </w:tc>
        <w:tc>
          <w:tcPr>
            <w:tcW w:w="1440" w:type="dxa"/>
            <w:vAlign w:val="bottom"/>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Exchange Act Rules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tcBorders>
              <w:top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1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1"/>
                <w:szCs w:val="11"/>
                <w:color w:val="auto"/>
              </w:rPr>
            </w:pPr>
          </w:p>
        </w:tc>
        <w:tc>
          <w:tcPr>
            <w:tcW w:w="43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5"/>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Borders>
              <w:right w:val="single" w:sz="8" w:color="0000EE"/>
            </w:tcBorders>
            <w:gridSpan w:val="8"/>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1"/>
                <w:szCs w:val="11"/>
                <w:color w:val="auto"/>
              </w:rPr>
            </w:pPr>
          </w:p>
        </w:tc>
        <w:tc>
          <w:tcPr>
            <w:tcW w:w="4620" w:type="dxa"/>
            <w:vAlign w:val="bottom"/>
            <w:tcBorders>
              <w:top w:val="single" w:sz="8" w:color="0000FF"/>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r>
              <w:rPr>
                <w:rFonts w:ascii="Times New Roman" w:cs="Times New Roman" w:eastAsia="Times New Roman" w:hAnsi="Times New Roman"/>
                <w:sz w:val="14"/>
                <w:szCs w:val="14"/>
                <w:color w:val="000000"/>
              </w:rPr>
              <w:t>.</w:t>
            </w: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Borders>
              <w:right w:val="single" w:sz="8" w:color="0000EE"/>
            </w:tcBorders>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80" w:type="dxa"/>
            <w:vAlign w:val="bottom"/>
            <w:tcBorders>
              <w:top w:val="single" w:sz="8" w:color="0000FF"/>
            </w:tcBorders>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8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100" w:type="dxa"/>
            <w:vAlign w:val="bottom"/>
          </w:tcPr>
          <w:p>
            <w:pPr>
              <w:spacing w:after="0"/>
              <w:rPr>
                <w:sz w:val="10"/>
                <w:szCs w:val="10"/>
                <w:color w:val="auto"/>
              </w:rPr>
            </w:pPr>
          </w:p>
        </w:tc>
        <w:tc>
          <w:tcPr>
            <w:tcW w:w="3940" w:type="dxa"/>
            <w:vAlign w:val="bottom"/>
            <w:tcBorders>
              <w:top w:val="single" w:sz="8" w:color="0000FF"/>
            </w:tcBorders>
            <w:gridSpan w:val="11"/>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 – the instance document does not</w:t>
            </w:r>
          </w:p>
        </w:tc>
        <w:tc>
          <w:tcPr>
            <w:tcW w:w="920" w:type="dxa"/>
            <w:vAlign w:val="bottom"/>
            <w:gridSpan w:val="9"/>
          </w:tcPr>
          <w:p>
            <w:pPr>
              <w:spacing w:after="0" w:line="119" w:lineRule="exact"/>
              <w:rPr>
                <w:sz w:val="20"/>
                <w:szCs w:val="20"/>
                <w:color w:val="auto"/>
              </w:rPr>
            </w:pPr>
            <w:r>
              <w:rPr>
                <w:rFonts w:ascii="Times New Roman" w:cs="Times New Roman" w:eastAsia="Times New Roman" w:hAnsi="Times New Roman"/>
                <w:sz w:val="13"/>
                <w:szCs w:val="13"/>
                <w:color w:val="auto"/>
              </w:rPr>
              <w:t>appear in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2"/>
                <w:szCs w:val="12"/>
                <w:color w:val="auto"/>
              </w:rPr>
            </w:pPr>
          </w:p>
        </w:tc>
        <w:tc>
          <w:tcPr>
            <w:tcW w:w="48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2"/>
                <w:szCs w:val="12"/>
                <w:color w:val="auto"/>
              </w:rPr>
            </w:pPr>
          </w:p>
        </w:tc>
        <w:tc>
          <w:tcPr>
            <w:tcW w:w="48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auto"/>
              </w:rPr>
              <w:t>Documents.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96" w:lineRule="exact"/>
        <w:rPr>
          <w:sz w:val="20"/>
          <w:szCs w:val="20"/>
          <w:color w:val="auto"/>
        </w:rPr>
      </w:pPr>
    </w:p>
    <w:p>
      <w:pPr>
        <w:ind w:right="200" w:firstLine="8"/>
        <w:spacing w:after="0" w:line="261" w:lineRule="auto"/>
        <w:tabs>
          <w:tab w:leader="none" w:pos="1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Certain portions of this exhibit (indicated by “***”) have been redacted pursuant to Regulation S-K, Item 601(a)(6).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0"/>
        <w:spacing w:after="0"/>
        <w:tabs>
          <w:tab w:leader="none" w:pos="718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29"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546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60" w:val="left"/>
          <w:tab w:leader="none" w:pos="654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Derek Dubner</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60" w:val="left"/>
          <w:tab w:leader="none" w:pos="654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March 31, 2026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p>
      <w:pPr>
        <w:spacing w:after="0"/>
        <w:tabs>
          <w:tab w:leader="none" w:pos="6620" w:val="left"/>
          <w:tab w:leader="none" w:pos="708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Derek Dubner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March 31, 2026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p>
      <w:pPr>
        <w:spacing w:after="0"/>
        <w:tabs>
          <w:tab w:leader="none" w:pos="6620" w:val="left"/>
          <w:tab w:leader="none" w:pos="708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lowerRoman"/>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59" Type="http://schemas.openxmlformats.org/officeDocument/2006/relationships/hyperlink" Target="https://www.sec.gov/Archives/edgar/data/1720116/000119312526011891/rdvt-ex10_1.htm" TargetMode="External"/><Relationship Id="rId160" Type="http://schemas.openxmlformats.org/officeDocument/2006/relationships/hyperlink" Target="https://www.sec.gov/Archives/edgar/data/1720116/000119312526011891/rdvt-ex10_2.htm" TargetMode="External"/><Relationship Id="rId161" Type="http://schemas.openxmlformats.org/officeDocument/2006/relationships/hyperlink" Target="https://www.sec.gov/Archives/edgar/data/1720116/000119312526011891/rdvt-ex10_3.htm" TargetMode="External"/><Relationship Id="rId162" Type="http://schemas.openxmlformats.org/officeDocument/2006/relationships/hyperlink" Target="https://www.sec.gov/Archives/edgar/data/1720116/000119312526011891/rdvt-ex10_4.htm" TargetMode="External"/><Relationship Id="rId163" Type="http://schemas.openxmlformats.org/officeDocument/2006/relationships/hyperlink" Target="https://www.sec.gov/Archives/edgar/data/1720116/000119312526091708/rdvt-ex10_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2026-05-06T15:58:21Z</dcterms:created>
  <dcterms:modified xsi:type="dcterms:W3CDTF">2026-05-06T15:58:21Z</dcterms:modified>
</cp:coreProperties>
</file>