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173355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190500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51435</wp:posOffset>
            </wp:positionV>
            <wp:extent cx="1426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76835</wp:posOffset>
            </wp:positionV>
            <wp:extent cx="1426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7"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-290830</wp:posOffset>
            </wp:positionV>
            <wp:extent cx="102870" cy="10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4140"/>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-102235</wp:posOffset>
            </wp:positionV>
            <wp:extent cx="102235" cy="104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235" cy="104140"/>
                    </a:xfrm>
                    <a:prstGeom prst="rect">
                      <a:avLst/>
                    </a:prstGeom>
                    <a:noFill/>
                  </pic:spPr>
                </pic:pic>
              </a:graphicData>
            </a:graphic>
          </wp:anchor>
        </w:drawing>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Arial" w:cs="Arial" w:eastAsia="Arial" w:hAnsi="Arial"/>
                <w:sz w:val="18"/>
                <w:szCs w:val="18"/>
                <w:b w:val="1"/>
                <w:bCs w:val="1"/>
                <w:color w:val="auto"/>
                <w:w w:val="91"/>
              </w:rPr>
              <w:t>For the transition period from</w:t>
            </w:r>
          </w:p>
        </w:tc>
        <w:tc>
          <w:tcPr>
            <w:tcW w:w="840" w:type="dxa"/>
            <w:vAlign w:val="bottom"/>
          </w:tcPr>
          <w:p>
            <w:pPr>
              <w:spacing w:after="0"/>
              <w:rPr>
                <w:sz w:val="17"/>
                <w:szCs w:val="17"/>
                <w:color w:val="auto"/>
              </w:rPr>
            </w:pPr>
          </w:p>
        </w:tc>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38"/>
        </w:trPr>
        <w:tc>
          <w:tcPr>
            <w:tcW w:w="23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8"/>
                <w:szCs w:val="18"/>
                <w:b w:val="1"/>
                <w:bCs w:val="1"/>
                <w:color w:val="auto"/>
                <w:w w:val="88"/>
              </w:rPr>
              <w:t>Commission file number 001-38407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68580</wp:posOffset>
            </wp:positionV>
            <wp:extent cx="1426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RED VIOLET,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61595</wp:posOffset>
            </wp:positionV>
            <wp:extent cx="1426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6845" cy="8255"/>
                    </a:xfrm>
                    <a:prstGeom prst="rect">
                      <a:avLst/>
                    </a:prstGeom>
                    <a:noFill/>
                  </pic:spPr>
                </pic:pic>
              </a:graphicData>
            </a:graphic>
          </wp:anchor>
        </w:drawing>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6400" w:type="dxa"/>
            <w:vAlign w:val="bottom"/>
            <w:gridSpan w:val="4"/>
          </w:tcPr>
          <w:p>
            <w:pPr>
              <w:jc w:val="center"/>
              <w:ind w:right="683"/>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82-2408531</w:t>
            </w:r>
          </w:p>
        </w:tc>
      </w:tr>
      <w:tr>
        <w:trPr>
          <w:trHeight w:val="216"/>
        </w:trPr>
        <w:tc>
          <w:tcPr>
            <w:tcW w:w="6400" w:type="dxa"/>
            <w:vAlign w:val="bottom"/>
            <w:gridSpan w:val="4"/>
          </w:tcPr>
          <w:p>
            <w:pPr>
              <w:jc w:val="center"/>
              <w:ind w:right="683"/>
              <w:spacing w:after="0"/>
              <w:rPr>
                <w:sz w:val="20"/>
                <w:szCs w:val="20"/>
                <w:color w:val="auto"/>
              </w:rPr>
            </w:pPr>
            <w:r>
              <w:rPr>
                <w:rFonts w:ascii="Arial" w:cs="Arial" w:eastAsia="Arial" w:hAnsi="Arial"/>
                <w:sz w:val="14"/>
                <w:szCs w:val="14"/>
                <w:b w:val="1"/>
                <w:bCs w:val="1"/>
                <w:color w:val="auto"/>
                <w:w w:val="92"/>
              </w:rPr>
              <w:t>(State or Other Jurisdiction of Incorporation or Organization)</w:t>
            </w:r>
          </w:p>
        </w:tc>
        <w:tc>
          <w:tcPr>
            <w:tcW w:w="3200" w:type="dxa"/>
            <w:vAlign w:val="bottom"/>
            <w:gridSpan w:val="2"/>
          </w:tcPr>
          <w:p>
            <w:pPr>
              <w:jc w:val="center"/>
              <w:ind w:left="905"/>
              <w:spacing w:after="0"/>
              <w:rPr>
                <w:sz w:val="20"/>
                <w:szCs w:val="20"/>
                <w:color w:val="auto"/>
              </w:rPr>
            </w:pPr>
            <w:r>
              <w:rPr>
                <w:rFonts w:ascii="Arial" w:cs="Arial" w:eastAsia="Arial" w:hAnsi="Arial"/>
                <w:sz w:val="14"/>
                <w:szCs w:val="14"/>
                <w:b w:val="1"/>
                <w:bCs w:val="1"/>
                <w:color w:val="auto"/>
                <w:w w:val="94"/>
              </w:rPr>
              <w:t>(I.R.S. Employer Identification No.)</w:t>
            </w:r>
          </w:p>
        </w:tc>
      </w:tr>
      <w:tr>
        <w:trPr>
          <w:trHeight w:val="268"/>
        </w:trPr>
        <w:tc>
          <w:tcPr>
            <w:tcW w:w="3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38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1"/>
              </w:rPr>
              <w:t>2650 North Military Trail, Suite 300, Boca Raton, Florida 33431</w:t>
            </w:r>
          </w:p>
        </w:tc>
      </w:tr>
      <w:tr>
        <w:trPr>
          <w:trHeight w:val="184"/>
        </w:trPr>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380" w:type="dxa"/>
            <w:vAlign w:val="bottom"/>
            <w:gridSpan w:val="4"/>
          </w:tcPr>
          <w:p>
            <w:pPr>
              <w:jc w:val="center"/>
              <w:ind w:right="1580"/>
              <w:spacing w:after="0"/>
              <w:rPr>
                <w:sz w:val="20"/>
                <w:szCs w:val="20"/>
                <w:color w:val="auto"/>
              </w:rPr>
            </w:pPr>
            <w:r>
              <w:rPr>
                <w:rFonts w:ascii="Arial" w:cs="Arial" w:eastAsia="Arial" w:hAnsi="Arial"/>
                <w:sz w:val="14"/>
                <w:szCs w:val="14"/>
                <w:b w:val="1"/>
                <w:bCs w:val="1"/>
                <w:color w:val="auto"/>
                <w:w w:val="91"/>
              </w:rPr>
              <w:t>(Address of Principal Executive Offices) (Zip Code)</w:t>
            </w:r>
          </w:p>
        </w:tc>
      </w:tr>
      <w:tr>
        <w:trPr>
          <w:trHeight w:val="281"/>
        </w:trPr>
        <w:tc>
          <w:tcPr>
            <w:tcW w:w="3060" w:type="dxa"/>
            <w:vAlign w:val="bottom"/>
          </w:tcPr>
          <w:p>
            <w:pPr>
              <w:spacing w:after="0"/>
              <w:rPr>
                <w:sz w:val="24"/>
                <w:szCs w:val="24"/>
                <w:color w:val="auto"/>
              </w:rPr>
            </w:pPr>
          </w:p>
        </w:tc>
        <w:tc>
          <w:tcPr>
            <w:tcW w:w="3340" w:type="dxa"/>
            <w:vAlign w:val="bottom"/>
            <w:gridSpan w:val="3"/>
          </w:tcPr>
          <w:p>
            <w:pPr>
              <w:jc w:val="center"/>
              <w:ind w:left="1720"/>
              <w:spacing w:after="0"/>
              <w:rPr>
                <w:sz w:val="20"/>
                <w:szCs w:val="20"/>
                <w:color w:val="auto"/>
              </w:rPr>
            </w:pPr>
            <w:r>
              <w:rPr>
                <w:rFonts w:ascii="Arial" w:cs="Arial" w:eastAsia="Arial" w:hAnsi="Arial"/>
                <w:sz w:val="18"/>
                <w:szCs w:val="18"/>
                <w:b w:val="1"/>
                <w:bCs w:val="1"/>
                <w:color w:val="auto"/>
                <w:w w:val="89"/>
              </w:rPr>
              <w:t>(561) 757-4000</w:t>
            </w:r>
          </w:p>
        </w:tc>
        <w:tc>
          <w:tcPr>
            <w:tcW w:w="13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84"/>
        </w:trPr>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380" w:type="dxa"/>
            <w:vAlign w:val="bottom"/>
            <w:gridSpan w:val="4"/>
          </w:tcPr>
          <w:p>
            <w:pPr>
              <w:jc w:val="center"/>
              <w:ind w:right="156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81"/>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jc w:val="center"/>
              <w:ind w:left="543"/>
              <w:spacing w:after="0"/>
              <w:rPr>
                <w:sz w:val="20"/>
                <w:szCs w:val="20"/>
                <w:color w:val="auto"/>
              </w:rPr>
            </w:pPr>
            <w:r>
              <w:rPr>
                <w:rFonts w:ascii="Arial" w:cs="Arial" w:eastAsia="Arial" w:hAnsi="Arial"/>
                <w:sz w:val="18"/>
                <w:szCs w:val="18"/>
                <w:b w:val="1"/>
                <w:bCs w:val="1"/>
                <w:color w:val="auto"/>
                <w:w w:val="88"/>
              </w:rPr>
              <w:t>None</w:t>
            </w:r>
          </w:p>
        </w:tc>
        <w:tc>
          <w:tcPr>
            <w:tcW w:w="13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84"/>
        </w:trPr>
        <w:tc>
          <w:tcPr>
            <w:tcW w:w="3060" w:type="dxa"/>
            <w:vAlign w:val="bottom"/>
          </w:tcPr>
          <w:p>
            <w:pPr>
              <w:spacing w:after="0"/>
              <w:rPr>
                <w:sz w:val="16"/>
                <w:szCs w:val="16"/>
                <w:color w:val="auto"/>
              </w:rPr>
            </w:pPr>
          </w:p>
        </w:tc>
        <w:tc>
          <w:tcPr>
            <w:tcW w:w="6540" w:type="dxa"/>
            <w:vAlign w:val="bottom"/>
            <w:gridSpan w:val="5"/>
          </w:tcPr>
          <w:p>
            <w:pPr>
              <w:jc w:val="center"/>
              <w:ind w:right="1400"/>
              <w:spacing w:after="0"/>
              <w:rPr>
                <w:sz w:val="20"/>
                <w:szCs w:val="20"/>
                <w:color w:val="auto"/>
              </w:rPr>
            </w:pPr>
            <w:r>
              <w:rPr>
                <w:rFonts w:ascii="Arial" w:cs="Arial" w:eastAsia="Arial" w:hAnsi="Arial"/>
                <w:sz w:val="14"/>
                <w:szCs w:val="14"/>
                <w:b w:val="1"/>
                <w:bCs w:val="1"/>
                <w:color w:val="auto"/>
                <w:w w:val="91"/>
              </w:rPr>
              <w:t>(Former name, former address and former fiscal year, if changed since last report)</w:t>
            </w:r>
          </w:p>
        </w:tc>
      </w:tr>
      <w:tr>
        <w:trPr>
          <w:trHeight w:val="78"/>
        </w:trPr>
        <w:tc>
          <w:tcPr>
            <w:tcW w:w="3220" w:type="dxa"/>
            <w:vAlign w:val="bottom"/>
            <w:gridSpan w:val="2"/>
          </w:tcPr>
          <w:p>
            <w:pPr>
              <w:spacing w:after="0"/>
              <w:rPr>
                <w:sz w:val="6"/>
                <w:szCs w:val="6"/>
                <w:color w:val="auto"/>
              </w:rPr>
            </w:pPr>
          </w:p>
        </w:tc>
        <w:tc>
          <w:tcPr>
            <w:tcW w:w="1000" w:type="dxa"/>
            <w:vAlign w:val="bottom"/>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820" w:type="dxa"/>
            <w:vAlign w:val="bottom"/>
          </w:tcPr>
          <w:p>
            <w:pPr>
              <w:spacing w:after="0"/>
              <w:rPr>
                <w:sz w:val="6"/>
                <w:szCs w:val="6"/>
                <w:color w:val="auto"/>
              </w:rPr>
            </w:pPr>
          </w:p>
        </w:tc>
      </w:tr>
      <w:tr>
        <w:trPr>
          <w:trHeight w:val="311"/>
        </w:trPr>
        <w:tc>
          <w:tcPr>
            <w:tcW w:w="640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08"/>
        </w:trPr>
        <w:tc>
          <w:tcPr>
            <w:tcW w:w="3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gridSpan w:val="2"/>
          </w:tcPr>
          <w:p>
            <w:pPr>
              <w:spacing w:after="0"/>
              <w:rPr>
                <w:sz w:val="9"/>
                <w:szCs w:val="9"/>
                <w:color w:val="auto"/>
              </w:rPr>
            </w:pPr>
          </w:p>
        </w:tc>
      </w:tr>
      <w:tr>
        <w:trPr>
          <w:trHeight w:val="193"/>
        </w:trPr>
        <w:tc>
          <w:tcPr>
            <w:tcW w:w="3060" w:type="dxa"/>
            <w:vAlign w:val="bottom"/>
            <w:tcBorders>
              <w:left w:val="single" w:sz="8" w:color="auto"/>
              <w:bottom w:val="single" w:sz="8" w:color="auto"/>
            </w:tcBorders>
          </w:tcPr>
          <w:p>
            <w:pPr>
              <w:jc w:val="center"/>
              <w:ind w:left="82"/>
              <w:spacing w:after="0"/>
              <w:rPr>
                <w:sz w:val="20"/>
                <w:szCs w:val="20"/>
                <w:color w:val="auto"/>
              </w:rPr>
            </w:pPr>
            <w:r>
              <w:rPr>
                <w:rFonts w:ascii="Arial" w:cs="Arial" w:eastAsia="Arial" w:hAnsi="Arial"/>
                <w:sz w:val="12"/>
                <w:szCs w:val="12"/>
                <w:color w:val="auto"/>
                <w:w w:val="93"/>
              </w:rPr>
              <w:t>Title of each class</w:t>
            </w:r>
          </w:p>
        </w:tc>
        <w:tc>
          <w:tcPr>
            <w:tcW w:w="16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jc w:val="center"/>
              <w:ind w:right="943"/>
              <w:spacing w:after="0"/>
              <w:rPr>
                <w:sz w:val="20"/>
                <w:szCs w:val="20"/>
                <w:color w:val="auto"/>
              </w:rPr>
            </w:pPr>
            <w:r>
              <w:rPr>
                <w:rFonts w:ascii="Arial" w:cs="Arial" w:eastAsia="Arial" w:hAnsi="Arial"/>
                <w:sz w:val="12"/>
                <w:szCs w:val="12"/>
                <w:color w:val="auto"/>
                <w:w w:val="94"/>
              </w:rPr>
              <w:t>Trading Symbol (s)</w:t>
            </w:r>
          </w:p>
        </w:tc>
        <w:tc>
          <w:tcPr>
            <w:tcW w:w="320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2"/>
                <w:szCs w:val="12"/>
                <w:color w:val="auto"/>
              </w:rPr>
              <w:t>Name of each exchange on which registered</w:t>
            </w:r>
          </w:p>
        </w:tc>
      </w:tr>
      <w:tr>
        <w:trPr>
          <w:trHeight w:val="193"/>
        </w:trPr>
        <w:tc>
          <w:tcPr>
            <w:tcW w:w="3060" w:type="dxa"/>
            <w:vAlign w:val="bottom"/>
            <w:tcBorders>
              <w:left w:val="single" w:sz="8" w:color="auto"/>
              <w:bottom w:val="single" w:sz="8" w:color="auto"/>
            </w:tcBorders>
          </w:tcPr>
          <w:p>
            <w:pPr>
              <w:jc w:val="center"/>
              <w:ind w:left="82"/>
              <w:spacing w:after="0"/>
              <w:rPr>
                <w:sz w:val="20"/>
                <w:szCs w:val="20"/>
                <w:color w:val="auto"/>
              </w:rPr>
            </w:pPr>
            <w:r>
              <w:rPr>
                <w:rFonts w:ascii="Arial" w:cs="Arial" w:eastAsia="Arial" w:hAnsi="Arial"/>
                <w:sz w:val="16"/>
                <w:szCs w:val="16"/>
                <w:color w:val="auto"/>
                <w:w w:val="89"/>
              </w:rPr>
              <w:t>Common Stock, $0.001 par value per share</w:t>
            </w:r>
          </w:p>
        </w:tc>
        <w:tc>
          <w:tcPr>
            <w:tcW w:w="16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jc w:val="center"/>
              <w:ind w:right="943"/>
              <w:spacing w:after="0"/>
              <w:rPr>
                <w:sz w:val="20"/>
                <w:szCs w:val="20"/>
                <w:color w:val="auto"/>
              </w:rPr>
            </w:pPr>
            <w:r>
              <w:rPr>
                <w:rFonts w:ascii="Arial" w:cs="Arial" w:eastAsia="Arial" w:hAnsi="Arial"/>
                <w:sz w:val="16"/>
                <w:szCs w:val="16"/>
                <w:color w:val="auto"/>
              </w:rPr>
              <w:t>RDVT</w:t>
            </w:r>
          </w:p>
        </w:tc>
        <w:tc>
          <w:tcPr>
            <w:tcW w:w="320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6"/>
                <w:szCs w:val="16"/>
                <w:color w:val="auto"/>
              </w:rPr>
              <w:t>The NASDAQ Stock Market LLC</w:t>
            </w:r>
          </w:p>
        </w:tc>
      </w:tr>
    </w:tbl>
    <w:p>
      <w:pPr>
        <w:spacing w:after="0" w:line="94" w:lineRule="exact"/>
        <w:rPr>
          <w:sz w:val="24"/>
          <w:szCs w:val="24"/>
          <w:color w:val="auto"/>
        </w:rPr>
      </w:pPr>
    </w:p>
    <w:p>
      <w:pPr>
        <w:ind w:right="4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7" w:lineRule="exact"/>
        <w:rPr>
          <w:sz w:val="24"/>
          <w:szCs w:val="24"/>
          <w:color w:val="auto"/>
        </w:rPr>
      </w:pPr>
    </w:p>
    <w:p>
      <w:pPr>
        <w:ind w:right="48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7"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60" w:type="dxa"/>
        <w:tblCellMar>
          <w:top w:w="0" w:type="dxa"/>
          <w:left w:w="0" w:type="dxa"/>
          <w:bottom w:w="0" w:type="dxa"/>
          <w:right w:w="0" w:type="dxa"/>
        </w:tblCellMar>
      </w:tblPr>
      <w:tr>
        <w:trPr>
          <w:trHeight w:val="26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0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right="1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700"/>
        <w:spacing w:after="0" w:line="28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8, 2020, the registrant had 11,598,015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FOR FORM 10-Q</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380" w:type="dxa"/>
            <w:vAlign w:val="bottom"/>
            <w:gridSpan w:val="4"/>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0380" w:type="dxa"/>
            <w:vAlign w:val="bottom"/>
            <w:gridSpan w:val="4"/>
            <w:vMerge w:val="continu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months ended March 31, 2020 and 2019</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9540" w:type="dxa"/>
            <w:vAlign w:val="bottom"/>
            <w:gridSpan w:val="3"/>
          </w:tcPr>
          <w:p>
            <w:pPr>
              <w:ind w:left="200"/>
              <w:spacing w:after="0"/>
              <w:rPr>
                <w:rFonts w:ascii="Arial" w:cs="Arial" w:eastAsia="Arial" w:hAnsi="Arial"/>
                <w:sz w:val="18"/>
                <w:szCs w:val="18"/>
                <w:u w:val="single" w:color="auto"/>
                <w:color w:val="0000EE"/>
                <w:w w:val="93"/>
              </w:rPr>
            </w:pPr>
            <w:hyperlink w:anchor="page5">
              <w:r>
                <w:rPr>
                  <w:rFonts w:ascii="Arial" w:cs="Arial" w:eastAsia="Arial" w:hAnsi="Arial"/>
                  <w:sz w:val="18"/>
                  <w:szCs w:val="18"/>
                  <w:u w:val="single" w:color="auto"/>
                  <w:color w:val="0000EE"/>
                  <w:w w:val="93"/>
                </w:rPr>
                <w:t>Condensed consolidated statements of changes in shareholders' equity for the three months ended March 31, 2020 and 2019</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three months ended March 31, 2020 and 2019</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Quantitative and Qualitative Disclosures About Market Risk</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Controls and Procedures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72"/>
        </w:trPr>
        <w:tc>
          <w:tcPr>
            <w:tcW w:w="10380" w:type="dxa"/>
            <w:vAlign w:val="bottom"/>
            <w:gridSpan w:val="4"/>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PART II - OTHER INFORMATION</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Unregistered Sales of Equity Securities and Use of Proceeds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Defaults Upon Senior Securities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3"/>
          </w:tcPr>
          <w:p>
            <w:pPr>
              <w:ind w:left="200"/>
              <w:spacing w:after="0"/>
              <w:rPr>
                <w:rFonts w:ascii="Arial" w:cs="Arial" w:eastAsia="Arial" w:hAnsi="Arial"/>
                <w:sz w:val="18"/>
                <w:szCs w:val="18"/>
                <w:color w:val="0000EE"/>
              </w:rPr>
            </w:pPr>
            <w:hyperlink w:anchor="page22">
              <w:r>
                <w:rPr>
                  <w:rFonts w:ascii="Arial" w:cs="Arial" w:eastAsia="Arial" w:hAnsi="Arial"/>
                  <w:sz w:val="18"/>
                  <w:szCs w:val="18"/>
                  <w:u w:val="single" w:color="auto"/>
                  <w:color w:val="0000EE"/>
                </w:rPr>
                <w:t>Mine Safety Disclosure</w:t>
              </w:r>
            </w:hyperlink>
            <w:r>
              <w:rPr>
                <w:rFonts w:ascii="Arial" w:cs="Arial" w:eastAsia="Arial" w:hAnsi="Arial"/>
                <w:sz w:val="18"/>
                <w:szCs w:val="18"/>
                <w:color w:val="000000"/>
              </w:rPr>
              <w:t>s</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1"/>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1880" w:type="dxa"/>
            <w:vAlign w:val="bottom"/>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60" w:type="dxa"/>
            <w:vAlign w:val="bottom"/>
            <w:tcBorders>
              <w:top w:val="single" w:sz="8" w:color="auto"/>
            </w:tcBorders>
          </w:tcPr>
          <w:p>
            <w:pPr>
              <w:spacing w:after="0"/>
              <w:rPr>
                <w:sz w:val="23"/>
                <w:szCs w:val="23"/>
                <w:color w:val="auto"/>
              </w:rPr>
            </w:pPr>
          </w:p>
        </w:tc>
        <w:tc>
          <w:tcPr>
            <w:tcW w:w="7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3"/>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Exhibits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46"/>
        </w:trPr>
        <w:tc>
          <w:tcPr>
            <w:tcW w:w="10380" w:type="dxa"/>
            <w:vAlign w:val="bottom"/>
            <w:gridSpan w:val="4"/>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SIGNATURES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38"/>
        </w:trPr>
        <w:tc>
          <w:tcPr>
            <w:tcW w:w="840" w:type="dxa"/>
            <w:vAlign w:val="bottom"/>
          </w:tcPr>
          <w:p>
            <w:pPr>
              <w:spacing w:after="0"/>
              <w:rPr>
                <w:sz w:val="24"/>
                <w:szCs w:val="24"/>
                <w:color w:val="auto"/>
              </w:rPr>
            </w:pPr>
          </w:p>
        </w:tc>
        <w:tc>
          <w:tcPr>
            <w:tcW w:w="9540" w:type="dxa"/>
            <w:vAlign w:val="bottom"/>
            <w:gridSpan w:val="3"/>
          </w:tcPr>
          <w:p>
            <w:pPr>
              <w:ind w:left="474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84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4"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2019</w:t>
            </w:r>
          </w:p>
        </w:tc>
      </w:tr>
      <w:tr>
        <w:trPr>
          <w:trHeight w:val="179"/>
        </w:trPr>
        <w:tc>
          <w:tcPr>
            <w:tcW w:w="6900" w:type="dxa"/>
            <w:vAlign w:val="bottom"/>
            <w:tcBorders>
              <w:top w:val="single" w:sz="8" w:color="CFF0FC"/>
            </w:tcBorders>
            <w:gridSpan w:val="3"/>
            <w:shd w:val="clear" w:color="auto" w:fill="CFF0FC"/>
          </w:tcPr>
          <w:p>
            <w:pPr>
              <w:spacing w:after="0" w:line="180" w:lineRule="exact"/>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40"/>
        </w:trPr>
        <w:tc>
          <w:tcPr>
            <w:tcW w:w="720" w:type="dxa"/>
            <w:vAlign w:val="bottom"/>
            <w:shd w:val="clear" w:color="auto" w:fill="000000"/>
          </w:tcPr>
          <w:p>
            <w:pPr>
              <w:spacing w:after="0"/>
              <w:rPr>
                <w:sz w:val="3"/>
                <w:szCs w:val="3"/>
                <w:color w:val="auto"/>
              </w:rPr>
            </w:pPr>
          </w:p>
        </w:tc>
        <w:tc>
          <w:tcPr>
            <w:tcW w:w="3160" w:type="dxa"/>
            <w:vAlign w:val="bottom"/>
            <w:shd w:val="clear" w:color="auto" w:fill="CFF0FC"/>
          </w:tcPr>
          <w:p>
            <w:pPr>
              <w:spacing w:after="0"/>
              <w:rPr>
                <w:sz w:val="3"/>
                <w:szCs w:val="3"/>
                <w:color w:val="auto"/>
              </w:rPr>
            </w:pPr>
          </w:p>
        </w:tc>
        <w:tc>
          <w:tcPr>
            <w:tcW w:w="302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13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r>
      <w:tr>
        <w:trPr>
          <w:trHeight w:val="225"/>
        </w:trPr>
        <w:tc>
          <w:tcPr>
            <w:tcW w:w="69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FF0FC"/>
          </w:tcPr>
          <w:p>
            <w:pPr>
              <w:spacing w:after="0"/>
              <w:rPr>
                <w:sz w:val="19"/>
                <w:szCs w:val="19"/>
                <w:color w:val="auto"/>
              </w:rPr>
            </w:pPr>
          </w:p>
        </w:tc>
      </w:tr>
      <w:tr>
        <w:trPr>
          <w:trHeight w:val="214"/>
        </w:trPr>
        <w:tc>
          <w:tcPr>
            <w:tcW w:w="690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$19 and $40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6900" w:type="dxa"/>
            <w:vAlign w:val="bottom"/>
            <w:gridSpan w:val="3"/>
          </w:tcPr>
          <w:p>
            <w:pPr>
              <w:ind w:left="100"/>
              <w:spacing w:after="0"/>
              <w:rPr>
                <w:sz w:val="20"/>
                <w:szCs w:val="20"/>
                <w:color w:val="auto"/>
              </w:rPr>
            </w:pPr>
            <w:r>
              <w:rPr>
                <w:rFonts w:ascii="Arial" w:cs="Arial" w:eastAsia="Arial" w:hAnsi="Arial"/>
                <w:sz w:val="18"/>
                <w:szCs w:val="18"/>
                <w:color w:val="auto"/>
              </w:rPr>
              <w:t>as of March 31, 2020 and December 31, 2019, respectively</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19"/>
                <w:szCs w:val="19"/>
                <w:color w:val="auto"/>
              </w:rPr>
            </w:pPr>
          </w:p>
        </w:tc>
      </w:tr>
      <w:tr>
        <w:trPr>
          <w:trHeight w:val="227"/>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FF0FC"/>
          </w:tcPr>
          <w:p>
            <w:pPr>
              <w:spacing w:after="0"/>
              <w:rPr>
                <w:sz w:val="19"/>
                <w:szCs w:val="19"/>
                <w:color w:val="auto"/>
              </w:rPr>
            </w:pPr>
          </w:p>
        </w:tc>
      </w:tr>
      <w:tr>
        <w:trPr>
          <w:trHeight w:val="219"/>
        </w:trPr>
        <w:tc>
          <w:tcPr>
            <w:tcW w:w="690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9"/>
                <w:szCs w:val="19"/>
                <w:color w:val="auto"/>
              </w:rPr>
            </w:pPr>
          </w:p>
        </w:tc>
      </w:tr>
      <w:tr>
        <w:trPr>
          <w:trHeight w:val="227"/>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19"/>
                <w:szCs w:val="19"/>
                <w:color w:val="auto"/>
              </w:rPr>
            </w:pPr>
          </w:p>
        </w:tc>
      </w:tr>
      <w:tr>
        <w:trPr>
          <w:trHeight w:val="225"/>
        </w:trPr>
        <w:tc>
          <w:tcPr>
            <w:tcW w:w="690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25,310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24,034</w:t>
            </w:r>
          </w:p>
        </w:tc>
        <w:tc>
          <w:tcPr>
            <w:tcW w:w="120" w:type="dxa"/>
            <w:vAlign w:val="bottom"/>
          </w:tcPr>
          <w:p>
            <w:pPr>
              <w:spacing w:after="0"/>
              <w:rPr>
                <w:sz w:val="19"/>
                <w:szCs w:val="19"/>
                <w:color w:val="auto"/>
              </w:rPr>
            </w:pPr>
          </w:p>
        </w:tc>
      </w:tr>
      <w:tr>
        <w:trPr>
          <w:trHeight w:val="227"/>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r>
      <w:tr>
        <w:trPr>
          <w:trHeight w:val="225"/>
        </w:trPr>
        <w:tc>
          <w:tcPr>
            <w:tcW w:w="690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r>
      <w:tr>
        <w:trPr>
          <w:trHeight w:val="227"/>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8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r>
      <w:tr>
        <w:trPr>
          <w:trHeight w:val="259"/>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49,497</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Pr>
          <w:p>
            <w:pPr>
              <w:spacing w:after="0"/>
              <w:rPr>
                <w:sz w:val="22"/>
                <w:szCs w:val="22"/>
                <w:color w:val="auto"/>
              </w:rPr>
            </w:pPr>
          </w:p>
        </w:tc>
      </w:tr>
      <w:tr>
        <w:trPr>
          <w:trHeight w:val="187"/>
        </w:trPr>
        <w:tc>
          <w:tcPr>
            <w:tcW w:w="3880" w:type="dxa"/>
            <w:vAlign w:val="bottom"/>
            <w:tcBorders>
              <w:top w:val="single" w:sz="8" w:color="CFF0FC"/>
              <w:bottom w:val="single" w:sz="8" w:color="auto"/>
            </w:tcBorders>
            <w:gridSpan w:val="2"/>
            <w:shd w:val="clear" w:color="auto" w:fill="CFF0FC"/>
          </w:tcPr>
          <w:p>
            <w:pPr>
              <w:spacing w:after="0" w:line="167" w:lineRule="exact"/>
              <w:rPr>
                <w:sz w:val="20"/>
                <w:szCs w:val="20"/>
                <w:color w:val="auto"/>
              </w:rPr>
            </w:pPr>
            <w:r>
              <w:rPr>
                <w:rFonts w:ascii="Arial" w:cs="Arial" w:eastAsia="Arial" w:hAnsi="Arial"/>
                <w:sz w:val="18"/>
                <w:szCs w:val="18"/>
                <w:b w:val="1"/>
                <w:bCs w:val="1"/>
                <w:color w:val="auto"/>
              </w:rPr>
              <w:t>LIABILITIES AND SHAREHOLDERS' EQUITY:</w:t>
            </w:r>
          </w:p>
        </w:tc>
        <w:tc>
          <w:tcPr>
            <w:tcW w:w="3020" w:type="dxa"/>
            <w:vAlign w:val="bottom"/>
            <w:tcBorders>
              <w:top w:val="single" w:sz="8" w:color="CFF0FC"/>
              <w:bottom w:val="single" w:sz="8" w:color="CFF0FC"/>
            </w:tcBorders>
            <w:shd w:val="clear" w:color="auto" w:fill="CFF0FC"/>
          </w:tcPr>
          <w:p>
            <w:pPr>
              <w:spacing w:after="0"/>
              <w:rPr>
                <w:sz w:val="16"/>
                <w:szCs w:val="16"/>
                <w:color w:val="auto"/>
              </w:rPr>
            </w:pPr>
          </w:p>
        </w:tc>
        <w:tc>
          <w:tcPr>
            <w:tcW w:w="86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1340" w:type="dxa"/>
            <w:vAlign w:val="bottom"/>
            <w:tcBorders>
              <w:top w:val="single" w:sz="8" w:color="auto"/>
              <w:bottom w:val="single" w:sz="8" w:color="CFF0FC"/>
            </w:tcBorders>
            <w:shd w:val="clear" w:color="auto" w:fill="CFF0FC"/>
          </w:tcPr>
          <w:p>
            <w:pPr>
              <w:spacing w:after="0"/>
              <w:rPr>
                <w:sz w:val="16"/>
                <w:szCs w:val="16"/>
                <w:color w:val="auto"/>
              </w:rPr>
            </w:pP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40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25"/>
        </w:trPr>
        <w:tc>
          <w:tcPr>
            <w:tcW w:w="69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19"/>
                <w:szCs w:val="19"/>
                <w:color w:val="auto"/>
              </w:rPr>
            </w:pPr>
          </w:p>
        </w:tc>
      </w:tr>
      <w:tr>
        <w:trPr>
          <w:trHeight w:val="225"/>
        </w:trPr>
        <w:tc>
          <w:tcPr>
            <w:tcW w:w="690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r>
      <w:tr>
        <w:trPr>
          <w:trHeight w:val="227"/>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19"/>
                <w:szCs w:val="19"/>
                <w:color w:val="auto"/>
              </w:rPr>
            </w:pPr>
          </w:p>
        </w:tc>
      </w:tr>
      <w:tr>
        <w:trPr>
          <w:trHeight w:val="225"/>
        </w:trPr>
        <w:tc>
          <w:tcPr>
            <w:tcW w:w="69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Deferred revenue</w:t>
            </w:r>
          </w:p>
        </w:tc>
        <w:tc>
          <w:tcPr>
            <w:tcW w:w="8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FF0FC"/>
            </w:tcBorders>
          </w:tcPr>
          <w:p>
            <w:pPr>
              <w:spacing w:after="0"/>
              <w:rPr>
                <w:sz w:val="19"/>
                <w:szCs w:val="19"/>
                <w:color w:val="auto"/>
              </w:rPr>
            </w:pPr>
          </w:p>
        </w:tc>
      </w:tr>
      <w:tr>
        <w:trPr>
          <w:trHeight w:val="220"/>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w:t>
            </w:r>
          </w:p>
        </w:tc>
        <w:tc>
          <w:tcPr>
            <w:tcW w:w="120" w:type="dxa"/>
            <w:vAlign w:val="bottom"/>
            <w:shd w:val="clear" w:color="auto" w:fill="CFF0FC"/>
          </w:tcPr>
          <w:p>
            <w:pPr>
              <w:spacing w:after="0"/>
              <w:rPr>
                <w:sz w:val="19"/>
                <w:szCs w:val="19"/>
                <w:color w:val="auto"/>
              </w:rPr>
            </w:pPr>
          </w:p>
        </w:tc>
      </w:tr>
      <w:tr>
        <w:trPr>
          <w:trHeight w:val="225"/>
        </w:trPr>
        <w:tc>
          <w:tcPr>
            <w:tcW w:w="69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Noncurrent operating lease liabilities</w:t>
            </w:r>
          </w:p>
        </w:tc>
        <w:tc>
          <w:tcPr>
            <w:tcW w:w="8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FF0FC"/>
            </w:tcBorders>
          </w:tcPr>
          <w:p>
            <w:pPr>
              <w:spacing w:after="0"/>
              <w:rPr>
                <w:sz w:val="19"/>
                <w:szCs w:val="19"/>
                <w:color w:val="auto"/>
              </w:rPr>
            </w:pPr>
          </w:p>
        </w:tc>
      </w:tr>
      <w:tr>
        <w:trPr>
          <w:trHeight w:val="220"/>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r>
      <w:tr>
        <w:trPr>
          <w:trHeight w:val="225"/>
        </w:trPr>
        <w:tc>
          <w:tcPr>
            <w:tcW w:w="69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4"/>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5"/>
        </w:trPr>
        <w:tc>
          <w:tcPr>
            <w:tcW w:w="69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March 31, 2020 and December 31, 2019</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4"/>
        </w:trPr>
        <w:tc>
          <w:tcPr>
            <w:tcW w:w="690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11,693,162 and</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6900" w:type="dxa"/>
            <w:vAlign w:val="bottom"/>
            <w:gridSpan w:val="3"/>
          </w:tcPr>
          <w:p>
            <w:pPr>
              <w:ind w:left="100"/>
              <w:spacing w:after="0"/>
              <w:rPr>
                <w:sz w:val="20"/>
                <w:szCs w:val="20"/>
                <w:color w:val="auto"/>
              </w:rPr>
            </w:pPr>
            <w:r>
              <w:rPr>
                <w:rFonts w:ascii="Arial" w:cs="Arial" w:eastAsia="Arial" w:hAnsi="Arial"/>
                <w:sz w:val="18"/>
                <w:szCs w:val="18"/>
                <w:color w:val="auto"/>
              </w:rPr>
              <w:t>11,657,912 shares issued, 11,590,015 and 11,554,765 shares outstanding, as of</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6900" w:type="dxa"/>
            <w:vAlign w:val="bottom"/>
            <w:gridSpan w:val="3"/>
          </w:tcPr>
          <w:p>
            <w:pPr>
              <w:ind w:left="100"/>
              <w:spacing w:after="0"/>
              <w:rPr>
                <w:sz w:val="20"/>
                <w:szCs w:val="20"/>
                <w:color w:val="auto"/>
              </w:rPr>
            </w:pPr>
            <w:r>
              <w:rPr>
                <w:rFonts w:ascii="Arial" w:cs="Arial" w:eastAsia="Arial" w:hAnsi="Arial"/>
                <w:sz w:val="18"/>
                <w:szCs w:val="18"/>
                <w:color w:val="auto"/>
              </w:rPr>
              <w:t>March 31, 2020 and December 31, 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27"/>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103,147 shares as of March 31, 2020 and December 31, 2019</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(1,255)</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(1,255)</w:t>
            </w:r>
          </w:p>
        </w:tc>
      </w:tr>
      <w:tr>
        <w:trPr>
          <w:trHeight w:val="225"/>
        </w:trPr>
        <w:tc>
          <w:tcPr>
            <w:tcW w:w="690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61,996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59,187</w:t>
            </w:r>
          </w:p>
        </w:tc>
        <w:tc>
          <w:tcPr>
            <w:tcW w:w="120" w:type="dxa"/>
            <w:vAlign w:val="bottom"/>
          </w:tcPr>
          <w:p>
            <w:pPr>
              <w:spacing w:after="0"/>
              <w:rPr>
                <w:sz w:val="19"/>
                <w:szCs w:val="19"/>
                <w:color w:val="auto"/>
              </w:rPr>
            </w:pPr>
          </w:p>
        </w:tc>
      </w:tr>
      <w:tr>
        <w:trPr>
          <w:trHeight w:val="227"/>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(17,341)</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(15,860)</w:t>
            </w:r>
          </w:p>
        </w:tc>
      </w:tr>
      <w:tr>
        <w:trPr>
          <w:trHeight w:val="219"/>
        </w:trPr>
        <w:tc>
          <w:tcPr>
            <w:tcW w:w="69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8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43,412</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20" w:type="dxa"/>
            <w:vAlign w:val="bottom"/>
            <w:tcBorders>
              <w:bottom w:val="single" w:sz="8" w:color="CFF0FC"/>
            </w:tcBorders>
          </w:tcPr>
          <w:p>
            <w:pPr>
              <w:spacing w:after="0"/>
              <w:rPr>
                <w:sz w:val="19"/>
                <w:szCs w:val="19"/>
                <w:color w:val="auto"/>
              </w:rPr>
            </w:pPr>
          </w:p>
        </w:tc>
      </w:tr>
      <w:tr>
        <w:trPr>
          <w:trHeight w:val="219"/>
        </w:trPr>
        <w:tc>
          <w:tcPr>
            <w:tcW w:w="69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shd w:val="clear" w:color="auto" w:fill="CFF0FC"/>
          </w:tcPr>
          <w:p>
            <w:pPr>
              <w:spacing w:after="0"/>
              <w:rPr>
                <w:sz w:val="19"/>
                <w:szCs w:val="19"/>
                <w:color w:val="auto"/>
              </w:rPr>
            </w:pPr>
          </w:p>
        </w:tc>
      </w:tr>
      <w:tr>
        <w:trPr>
          <w:trHeight w:val="20"/>
        </w:trPr>
        <w:tc>
          <w:tcPr>
            <w:tcW w:w="720" w:type="dxa"/>
            <w:vAlign w:val="bottom"/>
            <w:tcBorders>
              <w:top w:val="single" w:sz="8" w:color="CFF0FC"/>
            </w:tcBorders>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5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3"/>
        </w:trPr>
        <w:tc>
          <w:tcPr>
            <w:tcW w:w="5920" w:type="dxa"/>
            <w:vAlign w:val="bottom"/>
            <w:tcBorders>
              <w:bottom w:val="single" w:sz="8" w:color="CFF0FC"/>
            </w:tcBorders>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4"/>
              <w:spacing w:after="0" w:line="15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3"/>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19"/>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FF0FC"/>
          </w:tcPr>
          <w:p>
            <w:pPr>
              <w:spacing w:after="0"/>
              <w:rPr>
                <w:sz w:val="19"/>
                <w:szCs w:val="19"/>
                <w:color w:val="auto"/>
              </w:rPr>
            </w:pPr>
          </w:p>
        </w:tc>
      </w:tr>
      <w:tr>
        <w:trPr>
          <w:trHeight w:val="226"/>
        </w:trPr>
        <w:tc>
          <w:tcPr>
            <w:tcW w:w="59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1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FF0FC"/>
          </w:tcPr>
          <w:p>
            <w:pPr>
              <w:spacing w:after="0"/>
              <w:rPr>
                <w:sz w:val="19"/>
                <w:szCs w:val="19"/>
                <w:color w:val="auto"/>
              </w:rPr>
            </w:pPr>
          </w:p>
        </w:tc>
      </w:tr>
      <w:tr>
        <w:trPr>
          <w:trHeight w:val="225"/>
        </w:trPr>
        <w:tc>
          <w:tcPr>
            <w:tcW w:w="59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FF0FC"/>
          </w:tcPr>
          <w:p>
            <w:pPr>
              <w:spacing w:after="0"/>
              <w:rPr>
                <w:sz w:val="19"/>
                <w:szCs w:val="19"/>
                <w:color w:val="auto"/>
              </w:rPr>
            </w:pPr>
          </w:p>
        </w:tc>
      </w:tr>
      <w:tr>
        <w:trPr>
          <w:trHeight w:val="225"/>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FF0FC"/>
            </w:tcBorders>
          </w:tcPr>
          <w:p>
            <w:pPr>
              <w:spacing w:after="0"/>
              <w:rPr>
                <w:sz w:val="19"/>
                <w:szCs w:val="19"/>
                <w:color w:val="auto"/>
              </w:rPr>
            </w:pPr>
          </w:p>
        </w:tc>
      </w:tr>
      <w:tr>
        <w:trPr>
          <w:trHeight w:val="220"/>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16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7,152</w:t>
            </w:r>
          </w:p>
        </w:tc>
        <w:tc>
          <w:tcPr>
            <w:tcW w:w="120" w:type="dxa"/>
            <w:vAlign w:val="bottom"/>
            <w:shd w:val="clear" w:color="auto" w:fill="CFF0FC"/>
          </w:tcPr>
          <w:p>
            <w:pPr>
              <w:spacing w:after="0"/>
              <w:rPr>
                <w:sz w:val="19"/>
                <w:szCs w:val="19"/>
                <w:color w:val="auto"/>
              </w:rPr>
            </w:pPr>
          </w:p>
        </w:tc>
      </w:tr>
      <w:tr>
        <w:trPr>
          <w:trHeight w:val="219"/>
        </w:trPr>
        <w:tc>
          <w:tcPr>
            <w:tcW w:w="59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(1,418)</w:t>
            </w: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16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r>
      <w:tr>
        <w:trPr>
          <w:trHeight w:val="219"/>
        </w:trPr>
        <w:tc>
          <w:tcPr>
            <w:tcW w:w="592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(1,378)</w:t>
            </w:r>
          </w:p>
        </w:tc>
      </w:tr>
      <w:tr>
        <w:trPr>
          <w:trHeight w:val="227"/>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6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59"/>
        </w:trPr>
        <w:tc>
          <w:tcPr>
            <w:tcW w:w="59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(1,481)</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(1,378)</w:t>
            </w:r>
          </w:p>
        </w:tc>
      </w:tr>
      <w:tr>
        <w:trPr>
          <w:trHeight w:val="207"/>
        </w:trPr>
        <w:tc>
          <w:tcPr>
            <w:tcW w:w="5920" w:type="dxa"/>
            <w:vAlign w:val="bottom"/>
            <w:tcBorders>
              <w:top w:val="single" w:sz="8" w:color="CFF0FC"/>
            </w:tcBorders>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Loss per share:</w:t>
            </w:r>
          </w:p>
        </w:tc>
        <w:tc>
          <w:tcPr>
            <w:tcW w:w="16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65"/>
        </w:trPr>
        <w:tc>
          <w:tcPr>
            <w:tcW w:w="5920" w:type="dxa"/>
            <w:vAlign w:val="bottom"/>
          </w:tcPr>
          <w:p>
            <w:pPr>
              <w:spacing w:after="0"/>
              <w:rPr>
                <w:sz w:val="20"/>
                <w:szCs w:val="20"/>
                <w:color w:val="auto"/>
              </w:rPr>
            </w:pPr>
            <w:r>
              <w:rPr>
                <w:rFonts w:ascii="Arial" w:cs="Arial" w:eastAsia="Arial" w:hAnsi="Arial"/>
                <w:sz w:val="18"/>
                <w:szCs w:val="18"/>
                <w:color w:val="auto"/>
              </w:rPr>
              <w:t>Basic and diluted</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r>
      <w:tr>
        <w:trPr>
          <w:trHeight w:val="207"/>
        </w:trPr>
        <w:tc>
          <w:tcPr>
            <w:tcW w:w="5920" w:type="dxa"/>
            <w:vAlign w:val="bottom"/>
            <w:tcBorders>
              <w:top w:val="single" w:sz="8" w:color="CFF0FC"/>
            </w:tcBorders>
            <w:shd w:val="clear" w:color="auto" w:fill="CFF0FC"/>
          </w:tcPr>
          <w:p>
            <w:pPr>
              <w:spacing w:after="0" w:line="206" w:lineRule="exact"/>
              <w:rPr>
                <w:sz w:val="20"/>
                <w:szCs w:val="20"/>
                <w:color w:val="auto"/>
              </w:rPr>
            </w:pPr>
            <w:r>
              <w:rPr>
                <w:rFonts w:ascii="Arial" w:cs="Arial" w:eastAsia="Arial" w:hAnsi="Arial"/>
                <w:sz w:val="18"/>
                <w:szCs w:val="18"/>
                <w:b w:val="1"/>
                <w:bCs w:val="1"/>
                <w:color w:val="auto"/>
              </w:rPr>
              <w:t>Weighted average number of shares outstanding:</w:t>
            </w:r>
          </w:p>
        </w:tc>
        <w:tc>
          <w:tcPr>
            <w:tcW w:w="16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25"/>
        </w:trPr>
        <w:tc>
          <w:tcPr>
            <w:tcW w:w="5920" w:type="dxa"/>
            <w:vAlign w:val="bottom"/>
          </w:tcPr>
          <w:p>
            <w:pPr>
              <w:spacing w:after="0"/>
              <w:rPr>
                <w:sz w:val="20"/>
                <w:szCs w:val="20"/>
                <w:color w:val="auto"/>
              </w:rPr>
            </w:pPr>
            <w:r>
              <w:rPr>
                <w:rFonts w:ascii="Arial" w:cs="Arial" w:eastAsia="Arial" w:hAnsi="Arial"/>
                <w:sz w:val="18"/>
                <w:szCs w:val="18"/>
                <w:color w:val="auto"/>
              </w:rPr>
              <w:t>Basic and diluted</w:t>
            </w:r>
          </w:p>
        </w:tc>
        <w:tc>
          <w:tcPr>
            <w:tcW w:w="16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11,583,214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10,267,680</w:t>
            </w:r>
          </w:p>
        </w:tc>
        <w:tc>
          <w:tcPr>
            <w:tcW w:w="1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16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paid-in</w:t>
            </w:r>
          </w:p>
        </w:tc>
        <w:tc>
          <w:tcPr>
            <w:tcW w:w="2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74"/>
              <w:spacing w:after="0" w:line="153"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93"/>
              <w:spacing w:after="0" w:line="153"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93"/>
              <w:spacing w:after="0" w:line="153"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5"/>
              <w:spacing w:after="0" w:line="153" w:lineRule="exact"/>
              <w:rPr>
                <w:sz w:val="20"/>
                <w:szCs w:val="20"/>
                <w:color w:val="auto"/>
              </w:rPr>
            </w:pPr>
            <w:r>
              <w:rPr>
                <w:rFonts w:ascii="Arial" w:cs="Arial" w:eastAsia="Arial" w:hAnsi="Arial"/>
                <w:sz w:val="14"/>
                <w:szCs w:val="14"/>
                <w:b w:val="1"/>
                <w:bCs w:val="1"/>
                <w:color w:val="auto"/>
                <w:w w:val="90"/>
              </w:rPr>
              <w:t>capital</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3"/>
              <w:spacing w:after="0" w:line="153"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3"/>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10,266,613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41,052</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(4,784)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8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10,286,613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41,476</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(6,162)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11,657,912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(103,147)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59,187</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(15,860)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35,250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8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11,693,162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(103,147)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61,996</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(17,341)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6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9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82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(1,481)</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Accounts receivable</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(394)</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8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96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9"/>
        </w:trPr>
        <w:tc>
          <w:tcPr>
            <w:tcW w:w="6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Capitalized costs included in intangible assets</w:t>
            </w: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(1,538)</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96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(1,571)</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960" w:type="dxa"/>
            <w:vAlign w:val="bottom"/>
            <w:vMerge w:val="continue"/>
          </w:tcPr>
          <w:p>
            <w:pPr>
              <w:spacing w:after="0"/>
              <w:rPr>
                <w:sz w:val="19"/>
                <w:szCs w:val="19"/>
                <w:color w:val="auto"/>
              </w:rPr>
            </w:pPr>
          </w:p>
        </w:tc>
        <w:tc>
          <w:tcPr>
            <w:tcW w:w="1780" w:type="dxa"/>
            <w:vAlign w:val="bottom"/>
            <w:gridSpan w:val="2"/>
          </w:tcPr>
          <w:p>
            <w:pPr>
              <w:jc w:val="right"/>
              <w:ind w:right="82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8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11,776</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96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780" w:type="dxa"/>
            <w:vAlign w:val="bottom"/>
            <w:gridSpan w:val="2"/>
          </w:tcPr>
          <w:p>
            <w:pPr>
              <w:jc w:val="right"/>
              <w:ind w:right="82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11,454</w:t>
            </w:r>
          </w:p>
        </w:tc>
        <w:tc>
          <w:tcPr>
            <w:tcW w:w="260" w:type="dxa"/>
            <w:vAlign w:val="bottom"/>
          </w:tcPr>
          <w:p>
            <w:pPr>
              <w:spacing w:after="0"/>
              <w:rPr>
                <w:sz w:val="22"/>
                <w:szCs w:val="22"/>
                <w:color w:val="auto"/>
              </w:rPr>
            </w:pP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960" w:type="dxa"/>
            <w:vAlign w:val="bottom"/>
            <w:tcBorders>
              <w:top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SUPPLEMENTAL DISCLOSURE INFORMATION</w:t>
            </w:r>
          </w:p>
        </w:tc>
        <w:tc>
          <w:tcPr>
            <w:tcW w:w="8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780" w:type="dxa"/>
            <w:vAlign w:val="bottom"/>
            <w:gridSpan w:val="2"/>
          </w:tcPr>
          <w:p>
            <w:pPr>
              <w:jc w:val="right"/>
              <w:ind w:right="82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780" w:type="dxa"/>
            <w:vAlign w:val="bottom"/>
            <w:gridSpan w:val="2"/>
            <w:shd w:val="clear" w:color="auto" w:fill="CFF0FC"/>
          </w:tcPr>
          <w:p>
            <w:pPr>
              <w:jc w:val="right"/>
              <w:ind w:right="82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1780" w:type="dxa"/>
            <w:vAlign w:val="bottom"/>
            <w:gridSpan w:val="2"/>
          </w:tcPr>
          <w:p>
            <w:pPr>
              <w:jc w:val="right"/>
              <w:ind w:right="82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1780" w:type="dxa"/>
            <w:vAlign w:val="bottom"/>
            <w:gridSpan w:val="2"/>
            <w:shd w:val="clear" w:color="auto" w:fill="CFF0FC"/>
          </w:tcPr>
          <w:p>
            <w:pPr>
              <w:jc w:val="right"/>
              <w:ind w:right="82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60" w:type="dxa"/>
            <w:vAlign w:val="bottom"/>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1780" w:type="dxa"/>
            <w:vAlign w:val="bottom"/>
            <w:gridSpan w:val="2"/>
          </w:tcPr>
          <w:p>
            <w:pPr>
              <w:jc w:val="right"/>
              <w:ind w:right="82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2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accompanying unaudited condensed consolidated financial statements of Red Violet, Inc. (“red violet” or the “Company”), a Delaware corporation, have been prepared in accordance with accounting principles generally accepted in the United States (“GAAP”) and applicable rules and regulations of the Securities and Exchange Commission regarding interim financial reporting. Certain information and note disclosures normally included in annual financial statements prepared in accordance with GAAP have been condensed or omitted pursuant to those rules and regulations.</w:t>
      </w:r>
    </w:p>
    <w:p>
      <w:pPr>
        <w:spacing w:after="0" w:line="162"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2020.</w:t>
      </w:r>
    </w:p>
    <w:p>
      <w:pPr>
        <w:spacing w:after="0" w:line="189"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color w:val="auto"/>
        </w:rPr>
        <w:t>The information included in this quarterly report on Form 10-Q should be read in conjunction with the consolidated financial statements and accompanying notes included in the Company’s Annual Report on Form 10-K for the year ended December 31, 2019 (“2019 Form 10-K”).</w:t>
      </w:r>
    </w:p>
    <w:p>
      <w:pPr>
        <w:spacing w:after="0" w:line="15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condensed consolidated balance sheet as of December 31, 2019 included herein was derived from the audited financial statements as of that date included in the 2019 Form 10-K, but does not include all disclosures required by GAAP.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1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2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8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June 2016, FASB issued ASU No. 2016-13 (“ASU 2016-13”), </w:t>
      </w:r>
      <w:r>
        <w:rPr>
          <w:rFonts w:ascii="Arial" w:cs="Arial" w:eastAsia="Arial" w:hAnsi="Arial"/>
          <w:sz w:val="16"/>
          <w:szCs w:val="16"/>
          <w:i w:val="1"/>
          <w:iCs w:val="1"/>
          <w:color w:val="auto"/>
        </w:rPr>
        <w:t>“Financial Instruments - 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In November 2018, FASB issued ASU No. 2018-19, “Codification Improvements to Topic 326, Financial Instruments-Credit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became effective for public companies beginning January 1, 2020, and the Company adopted it on a modified retrospective approach. The guidance had no material impact on the Company’s condensed consolidated financial statements and related disclosures.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August 2018, FASB issued ASU No. 2018-15 (“ASU 2018-15”), </w:t>
      </w:r>
      <w:r>
        <w:rPr>
          <w:rFonts w:ascii="Arial" w:cs="Arial" w:eastAsia="Arial" w:hAnsi="Arial"/>
          <w:sz w:val="16"/>
          <w:szCs w:val="16"/>
          <w:i w:val="1"/>
          <w:iCs w:val="1"/>
          <w:color w:val="auto"/>
        </w:rPr>
        <w:t>“Intangibles—Goodwill and Other—Internal-Use Software (Subtopic 350-40):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Accounting for Implementation Costs Incurred in a Cloud Computing Arrangement That Is a Service Contract,” </w:t>
      </w:r>
      <w:r>
        <w:rPr>
          <w:rFonts w:ascii="Arial" w:cs="Arial" w:eastAsia="Arial" w:hAnsi="Arial"/>
          <w:sz w:val="16"/>
          <w:szCs w:val="16"/>
          <w:color w:val="auto"/>
        </w:rPr>
        <w:t>which requires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in a hosting arrangement that is a service contract to follow the guidance in Subtopic 350-40 to determine which implementation costs to capitalize as an asset related to the service contract and which costs to expense. It also requires the entity (customer) to expense the capitalized implementation costs of a hosting arrangement that is a service contract over the term of the hosting arrangement, which includes reasonably certain renewals. This guidance will be effective for the Company for annual reporting periods beginning after December 15, 2020, on a retrospective or prospective basis and early adoption is permitted. The Company is currently evaluating the impact this guidance will have on its consolidated financial statements and related disclosures.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Loss per share</w:t>
      </w:r>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Basic loss per share is computed by dividing net loss by the weighted average number of shares of common stock outstanding during the periods. Diluted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5880" w:type="dxa"/>
            <w:vAlign w:val="bottom"/>
            <w:tcBorders>
              <w:bottom w:val="single" w:sz="8" w:color="CFF0FC"/>
            </w:tcBorders>
            <w:vMerge w:val="continue"/>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8"/>
              <w:spacing w:after="0" w:line="153"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6"/>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Net loss</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(1,481)</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 xml:space="preserve">Weighted average shares outstanding - Basic and diluted </w:t>
            </w:r>
            <w:r>
              <w:rPr>
                <w:rFonts w:ascii="Arial" w:cs="Arial" w:eastAsia="Arial" w:hAnsi="Arial"/>
                <w:sz w:val="15"/>
                <w:szCs w:val="15"/>
                <w:color w:val="auto"/>
              </w:rPr>
              <w:t>(1)</w:t>
            </w:r>
          </w:p>
        </w:tc>
        <w:tc>
          <w:tcPr>
            <w:tcW w:w="1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11,583,214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10,267,680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1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Basic and diluted:</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80" w:right="340" w:hanging="374"/>
        <w:spacing w:after="0" w:line="266"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total of 2,185,577 and 2,267,500 unvested restricted stock units (“RSUs”) have been excluded from the diluted loss per share for the three months ended March 31, 2020 and 2019, respectively, as the impact is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 net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4"/>
              </w:rPr>
              <w:t>March 31, 2020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0"/>
              </w:rPr>
              <w:t>December 31, 2019</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83"/>
              <w:spacing w:after="0" w:line="131"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300" w:type="dxa"/>
            <w:vAlign w:val="bottom"/>
            <w:gridSpan w:val="4"/>
          </w:tcPr>
          <w:p>
            <w:pPr>
              <w:jc w:val="center"/>
              <w:ind w:right="42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6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2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63"/>
              <w:spacing w:after="0" w:line="131"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300" w:type="dxa"/>
            <w:vAlign w:val="bottom"/>
            <w:gridSpan w:val="4"/>
          </w:tcPr>
          <w:p>
            <w:pPr>
              <w:jc w:val="center"/>
              <w:ind w:right="42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7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80" w:type="dxa"/>
            <w:vAlign w:val="bottom"/>
            <w:tcBorders>
              <w:bottom w:val="single" w:sz="8" w:color="CFF0FC"/>
            </w:tcBorders>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Software developed for internal use</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5-10 years</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31,816</w:t>
            </w:r>
          </w:p>
        </w:tc>
        <w:tc>
          <w:tcPr>
            <w:tcW w:w="46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(6,506)  $</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29,690</w:t>
            </w:r>
          </w:p>
        </w:tc>
        <w:tc>
          <w:tcPr>
            <w:tcW w:w="46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(5,656)  $</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5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Amortization expenses of $850 and $554 for the three months ended March 31, 2020 and 2019, respectively, were included in depreciation and amortization expense. As of March 31, 2020, intangible assets of $4,136, included in the gross amounts of software developed for internal use, have not started amortization, as they are not ready for their intended use.</w:t>
      </w:r>
    </w:p>
    <w:p>
      <w:pPr>
        <w:spacing w:after="0" w:line="189"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The Company capitalized costs of software developed for internal use of $2,126 and $1,580 during the three months ended March 31, 2020 and 2019, respectively.</w:t>
      </w:r>
    </w:p>
    <w:p>
      <w:pPr>
        <w:spacing w:after="0" w:line="17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As of March 31, 2020, estimated amortization expense related to the Company’s intangible assets for the remainder of 2020 through 2025 and thereafter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5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Year</w:t>
            </w:r>
          </w:p>
        </w:tc>
        <w:tc>
          <w:tcPr>
            <w:tcW w:w="40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FF0FC"/>
            </w:tcBorders>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4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CFF0FC"/>
          </w:tcPr>
          <w:p>
            <w:pPr>
              <w:spacing w:after="0"/>
              <w:rPr>
                <w:sz w:val="19"/>
                <w:szCs w:val="19"/>
                <w:color w:val="auto"/>
              </w:rPr>
            </w:pPr>
          </w:p>
        </w:tc>
      </w:tr>
      <w:tr>
        <w:trPr>
          <w:trHeight w:val="225"/>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19"/>
                <w:szCs w:val="19"/>
                <w:color w:val="auto"/>
              </w:rPr>
            </w:pPr>
          </w:p>
        </w:tc>
      </w:tr>
      <w:tr>
        <w:trPr>
          <w:trHeight w:val="22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w:t>
            </w:r>
          </w:p>
        </w:tc>
        <w:tc>
          <w:tcPr>
            <w:tcW w:w="120" w:type="dxa"/>
            <w:vAlign w:val="bottom"/>
            <w:shd w:val="clear" w:color="auto" w:fill="CFF0FC"/>
          </w:tcPr>
          <w:p>
            <w:pPr>
              <w:spacing w:after="0"/>
              <w:rPr>
                <w:sz w:val="19"/>
                <w:szCs w:val="19"/>
                <w:color w:val="auto"/>
              </w:rPr>
            </w:pPr>
          </w:p>
        </w:tc>
      </w:tr>
      <w:tr>
        <w:trPr>
          <w:trHeight w:val="225"/>
        </w:trPr>
        <w:tc>
          <w:tcPr>
            <w:tcW w:w="5460" w:type="dxa"/>
            <w:vAlign w:val="bottom"/>
          </w:tcPr>
          <w:p>
            <w:pPr>
              <w:spacing w:after="0"/>
              <w:rPr>
                <w:sz w:val="20"/>
                <w:szCs w:val="20"/>
                <w:color w:val="auto"/>
              </w:rPr>
            </w:pPr>
            <w:r>
              <w:rPr>
                <w:rFonts w:ascii="Arial" w:cs="Arial" w:eastAsia="Arial" w:hAnsi="Arial"/>
                <w:sz w:val="18"/>
                <w:szCs w:val="18"/>
                <w:color w:val="auto"/>
              </w:rPr>
              <w:t>2023</w:t>
            </w:r>
          </w:p>
        </w:tc>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4,245</w:t>
            </w:r>
          </w:p>
        </w:tc>
        <w:tc>
          <w:tcPr>
            <w:tcW w:w="120" w:type="dxa"/>
            <w:vAlign w:val="bottom"/>
          </w:tcPr>
          <w:p>
            <w:pPr>
              <w:spacing w:after="0"/>
              <w:rPr>
                <w:sz w:val="19"/>
                <w:szCs w:val="19"/>
                <w:color w:val="auto"/>
              </w:rPr>
            </w:pPr>
          </w:p>
        </w:tc>
      </w:tr>
      <w:tr>
        <w:trPr>
          <w:trHeight w:val="22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w:t>
            </w:r>
          </w:p>
        </w:tc>
        <w:tc>
          <w:tcPr>
            <w:tcW w:w="120" w:type="dxa"/>
            <w:vAlign w:val="bottom"/>
            <w:shd w:val="clear" w:color="auto" w:fill="CFF0FC"/>
          </w:tcPr>
          <w:p>
            <w:pPr>
              <w:spacing w:after="0"/>
              <w:rPr>
                <w:sz w:val="19"/>
                <w:szCs w:val="19"/>
                <w:color w:val="auto"/>
              </w:rPr>
            </w:pPr>
          </w:p>
        </w:tc>
      </w:tr>
      <w:tr>
        <w:trPr>
          <w:trHeight w:val="225"/>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40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w:t>
            </w:r>
          </w:p>
        </w:tc>
        <w:tc>
          <w:tcPr>
            <w:tcW w:w="120" w:type="dxa"/>
            <w:vAlign w:val="bottom"/>
            <w:tcBorders>
              <w:bottom w:val="single" w:sz="8" w:color="CFF0FC"/>
            </w:tcBorders>
          </w:tcPr>
          <w:p>
            <w:pPr>
              <w:spacing w:after="0"/>
              <w:rPr>
                <w:sz w:val="19"/>
                <w:szCs w:val="19"/>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4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25,310</w:t>
            </w:r>
          </w:p>
        </w:tc>
        <w:tc>
          <w:tcPr>
            <w:tcW w:w="120" w:type="dxa"/>
            <w:vAlign w:val="bottom"/>
            <w:shd w:val="clear" w:color="auto" w:fill="CFF0FC"/>
          </w:tcPr>
          <w:p>
            <w:pPr>
              <w:spacing w:after="0"/>
              <w:rPr>
                <w:sz w:val="19"/>
                <w:szCs w:val="19"/>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22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March 31, 2020 and December 31, 2019, the balance of goodwill of $5,227 was as a result of the acquisition of Interactive Data, LLC, a wholly-owned subsidiary of red violet, effective on October 2, 2014.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line="253"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no goodwill impairment charges were recorded.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224" w:lineRule="exact"/>
        <w:rPr>
          <w:sz w:val="20"/>
          <w:szCs w:val="20"/>
          <w:color w:val="auto"/>
        </w:rPr>
      </w:pPr>
    </w:p>
    <w:p>
      <w:pPr>
        <w:ind w:right="300"/>
        <w:spacing w:after="0" w:line="214" w:lineRule="exact"/>
        <w:rPr>
          <w:sz w:val="20"/>
          <w:szCs w:val="20"/>
          <w:color w:val="auto"/>
        </w:rPr>
      </w:pPr>
      <w:r>
        <w:rPr>
          <w:rFonts w:ascii="Arial" w:cs="Arial" w:eastAsia="Arial" w:hAnsi="Arial"/>
          <w:sz w:val="18"/>
          <w:szCs w:val="18"/>
          <w:color w:val="auto"/>
        </w:rPr>
        <w:t xml:space="preserve">On January 1, 2018, 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modi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retrospective method applied to all contracts that were not completed contracts at the date of initial application. Revenue is recognized when control of goods or services is transferred to the Company’s customers, in an amount that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ects the consideration the Company expects to be entitled to in exchange for those goods or services. The Company’s performance obligation is to provide on demand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20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91"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Revenue is recognized over a period of time since the performance obligation is delivered in a series.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62"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For the three months ended March 31, 2020 and 2019, 69% and 67% of total revenue was attributable to customers with pricing contracts, respectively, versus 31% and 33% attributable to transactional customers, respectively. Pricing contracts are generally annual contracts or longer, with auto renewal.</w:t>
      </w:r>
    </w:p>
    <w:p>
      <w:pPr>
        <w:spacing w:after="0" w:line="134" w:lineRule="exact"/>
        <w:rPr>
          <w:sz w:val="20"/>
          <w:szCs w:val="20"/>
          <w:color w:val="auto"/>
        </w:rPr>
      </w:pPr>
    </w:p>
    <w:p>
      <w:pPr>
        <w:ind w:right="80"/>
        <w:spacing w:after="0" w:line="216" w:lineRule="exact"/>
        <w:rPr>
          <w:sz w:val="20"/>
          <w:szCs w:val="20"/>
          <w:color w:val="auto"/>
        </w:rPr>
      </w:pPr>
      <w:r>
        <w:rPr>
          <w:rFonts w:ascii="Arial" w:cs="Arial" w:eastAsia="Arial" w:hAnsi="Arial"/>
          <w:sz w:val="14"/>
          <w:szCs w:val="14"/>
          <w:color w:val="auto"/>
        </w:rPr>
        <w:t>If a customer pays consideration before the Company transfers services to the customer, those amounts are classi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as deferred revenue. As of March 31, 2020 and December 31, 2019, the balance of deferred revenue was $207 and $128, respectively, all of which is expected to be realized in the next 12 months. In relation to the deferred revenue balance as of December 31, 2019, $91 was recognized into revenue during the three months ended March 31, 2020.</w:t>
      </w:r>
    </w:p>
    <w:p>
      <w:pPr>
        <w:spacing w:after="0" w:line="20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As of March 31, 2020, $3,868 of revenue is expected to be recognized in the future for outstanding performance obligations, primarily related to pricing contracts that have a term of more than 12 months. $1,967 of revenue will be recognized in the remainder of 2020, $1,820 in 2021, $65 in 2022, and $16 in 2023 and thereafter.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79"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In addition, the Company elected the practical expedient to not disclose the value of unsatis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obligations for (i) contracts with an original expected length of one year or less and (ii) contracts for which the Company recognizes revenue at the amount to which it has the right to invoice for services performed.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4" w:lineRule="exact"/>
        <w:rPr>
          <w:sz w:val="20"/>
          <w:szCs w:val="20"/>
          <w:color w:val="auto"/>
        </w:rPr>
      </w:pPr>
    </w:p>
    <w:p>
      <w:pPr>
        <w:ind w:right="400"/>
        <w:spacing w:after="0" w:line="303" w:lineRule="auto"/>
        <w:rPr>
          <w:sz w:val="20"/>
          <w:szCs w:val="20"/>
          <w:color w:val="auto"/>
        </w:rPr>
      </w:pPr>
      <w:r>
        <w:rPr>
          <w:rFonts w:ascii="Arial" w:cs="Arial" w:eastAsia="Arial" w:hAnsi="Arial"/>
          <w:sz w:val="16"/>
          <w:szCs w:val="16"/>
          <w:color w:val="auto"/>
        </w:rPr>
        <w:t>The Company is subject to federal and state income taxes in the United States. The Company’s tax provision for interim periods is determined using an estimate of its annual effective tax rate, adjusted for discrete items arising in that quarter. In each quarter, the Company updates its estimate of the annual effective tax rate, and if its estimated annual tax rate changes, the Company makes a cumulative adjustment in that quarter.</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effective income tax rate differed from the statutory federal income tax rate of 21% for the three months ended March 31, 2020 and 2019. For the three months ended March 31, 2020 and 2019, the effective income tax rate was 0%, and the difference is primarily the result of the full valuation allowance applied against the Company’s deferred tax assets.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ind w:right="80"/>
        <w:spacing w:after="0" w:line="251"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2016 remain open for tax examinations.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unrecognized tax benefits as of March 31, 2020 and December 31,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 and treasury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March 31, 2020 and December 31, 2019, the number of issued shares of common stock was 11,693,162 and 11,657,912, respectively, which included shares of treasury stock of 103,147 and 103,147, respectively. The change in the number of issued shares of common stock was due to an aggregate of 35,250 shares of common stock issued as a result of the vesting of RSUs.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1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As of March 31, 2020 and December 31, 2019, the Company held 103,147 shares of treasury stock, with a cost of $1,255, as a result of the shares withheld to pay withholding taxes upon the vesting of RSUs.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22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March 22, 2018, the board of directors of the Company and Fluent, Inc., in its capacity as sole stockholder of the Company at that time, approved the Red Violet, Inc. 2018 Stock Incentive Plan (the “2018 Plan”). A total of 3,000,000 shares of common stock were authorized to be issued under the 2018 Plan. 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there were 44,624 shares of common stock available for future issuance under the 2018 Plan.</w:t>
      </w:r>
    </w:p>
    <w:p>
      <w:pPr>
        <w:spacing w:after="0" w:line="21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On April 17, 2020, the board of directors of the Company approved, subject to stockholder approval, an amendment to the 2018 Plan to increase the number of shares of common stock authorized for issuance under the 2018 Plan from 3,000,000 shares to 4,500,000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Details of unvested RSU activity during the three months ended March 31, 2020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Number of units</w:t>
            </w:r>
          </w:p>
        </w:tc>
        <w:tc>
          <w:tcPr>
            <w:tcW w:w="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9"/>
        </w:trPr>
        <w:tc>
          <w:tcPr>
            <w:tcW w:w="4040" w:type="dxa"/>
            <w:vAlign w:val="bottom"/>
            <w:tcBorders>
              <w:bottom w:val="single" w:sz="8" w:color="CFF0FC"/>
            </w:tcBorders>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grant-date fair 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Unvested as of December 31, 2019</w:t>
            </w:r>
          </w:p>
        </w:tc>
        <w:tc>
          <w:tcPr>
            <w:tcW w:w="5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2,237,827</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spacing w:after="0"/>
              <w:rPr>
                <w:sz w:val="20"/>
                <w:szCs w:val="20"/>
                <w:color w:val="auto"/>
              </w:rPr>
            </w:pPr>
            <w:r>
              <w:rPr>
                <w:rFonts w:ascii="Arial" w:cs="Arial" w:eastAsia="Arial" w:hAnsi="Arial"/>
                <w:sz w:val="18"/>
                <w:szCs w:val="18"/>
                <w:color w:val="auto"/>
              </w:rPr>
              <w:t>Vested and delivered</w:t>
            </w:r>
          </w:p>
        </w:tc>
        <w:tc>
          <w:tcPr>
            <w:tcW w:w="5260" w:type="dxa"/>
            <w:vAlign w:val="bottom"/>
            <w:gridSpan w:val="3"/>
          </w:tcPr>
          <w:p>
            <w:pPr>
              <w:jc w:val="right"/>
              <w:ind w:right="120"/>
              <w:spacing w:after="0"/>
              <w:rPr>
                <w:sz w:val="20"/>
                <w:szCs w:val="20"/>
                <w:color w:val="auto"/>
              </w:rPr>
            </w:pPr>
            <w:r>
              <w:rPr>
                <w:rFonts w:ascii="Arial" w:cs="Arial" w:eastAsia="Arial" w:hAnsi="Arial"/>
                <w:sz w:val="18"/>
                <w:szCs w:val="18"/>
                <w:color w:val="auto"/>
              </w:rPr>
              <w:t>(35,250)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Vested not delivered</w:t>
            </w:r>
          </w:p>
        </w:tc>
        <w:tc>
          <w:tcPr>
            <w:tcW w:w="5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(12,000)</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40" w:type="dxa"/>
            <w:vAlign w:val="bottom"/>
          </w:tcPr>
          <w:p>
            <w:pPr>
              <w:spacing w:after="0"/>
              <w:rPr>
                <w:sz w:val="20"/>
                <w:szCs w:val="20"/>
                <w:color w:val="auto"/>
              </w:rPr>
            </w:pPr>
            <w:r>
              <w:rPr>
                <w:rFonts w:ascii="Arial" w:cs="Arial" w:eastAsia="Arial" w:hAnsi="Arial"/>
                <w:sz w:val="18"/>
                <w:szCs w:val="18"/>
                <w:color w:val="auto"/>
              </w:rPr>
              <w:t>Forfeited</w:t>
            </w:r>
          </w:p>
        </w:tc>
        <w:tc>
          <w:tcPr>
            <w:tcW w:w="3380" w:type="dxa"/>
            <w:vAlign w:val="bottom"/>
          </w:tcPr>
          <w:p>
            <w:pPr>
              <w:spacing w:after="0"/>
              <w:rPr>
                <w:sz w:val="19"/>
                <w:szCs w:val="19"/>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March 31, 2020</w:t>
            </w:r>
          </w:p>
        </w:tc>
        <w:tc>
          <w:tcPr>
            <w:tcW w:w="33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2,185,577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380" w:type="dxa"/>
            <w:vAlign w:val="bottom"/>
            <w:vMerge w:val="restart"/>
          </w:tcPr>
          <w:p>
            <w:pPr>
              <w:jc w:val="right"/>
              <w:ind w:right="1671"/>
              <w:spacing w:after="0"/>
              <w:rPr>
                <w:sz w:val="20"/>
                <w:szCs w:val="20"/>
                <w:color w:val="auto"/>
              </w:rPr>
            </w:pPr>
            <w:r>
              <w:rPr>
                <w:rFonts w:ascii="Arial" w:cs="Arial" w:eastAsia="Arial" w:hAnsi="Arial"/>
                <w:sz w:val="18"/>
                <w:szCs w:val="18"/>
                <w:color w:val="auto"/>
              </w:rPr>
              <w:t>9</w:t>
            </w: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0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4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0" w:name="page11"/>
    <w:bookmarkEnd w:id="10"/>
    <w:p>
      <w:pPr>
        <w:jc w:val="both"/>
        <w:ind w:right="40"/>
        <w:spacing w:after="0" w:line="322" w:lineRule="auto"/>
        <w:rPr>
          <w:sz w:val="20"/>
          <w:szCs w:val="20"/>
          <w:color w:val="auto"/>
        </w:rPr>
      </w:pPr>
      <w:r>
        <w:rPr>
          <w:rFonts w:ascii="Arial" w:cs="Arial" w:eastAsia="Arial" w:hAnsi="Arial"/>
          <w:sz w:val="14"/>
          <w:szCs w:val="14"/>
          <w:color w:val="auto"/>
        </w:rPr>
        <w:t>On September 5, 2018 and January 16, 2019, the Company granted an aggregate of 1,487,500 RSUs and 90,000 RSUs, respectively, subject to both time- and performance-based requirements, to certain of its employees and directors, at a grant date fair value of $7.69 per share and $7.25 per share, respectively, with a three-year vesting period. Such RSU grants shall not vest unless and until the Company has, for any fiscal quarter in which the RSUs are outstanding,</w:t>
      </w:r>
    </w:p>
    <w:p>
      <w:pPr>
        <w:spacing w:after="0" w:line="1" w:lineRule="exact"/>
        <w:rPr>
          <w:sz w:val="20"/>
          <w:szCs w:val="20"/>
          <w:color w:val="auto"/>
        </w:rPr>
      </w:pPr>
    </w:p>
    <w:p>
      <w:pPr>
        <w:ind w:left="220" w:hanging="214"/>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revenue determined in accordance with the Company’s reviewed or audited financial statements in excess of $7.0 million for such fiscal quarter,</w:t>
      </w:r>
    </w:p>
    <w:p>
      <w:pPr>
        <w:spacing w:after="0" w:line="28" w:lineRule="exact"/>
        <w:rPr>
          <w:rFonts w:ascii="Arial" w:cs="Arial" w:eastAsia="Arial" w:hAnsi="Arial"/>
          <w:sz w:val="16"/>
          <w:szCs w:val="16"/>
          <w:color w:val="auto"/>
        </w:rPr>
      </w:pPr>
    </w:p>
    <w:p>
      <w:pPr>
        <w:ind w:right="40" w:firstLine="6"/>
        <w:spacing w:after="0" w:line="247" w:lineRule="auto"/>
        <w:tabs>
          <w:tab w:leader="none" w:pos="261"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positive adjusted EBITDA, as determined based on amounts derived from the Company’s reviewed or audited financial statements for such fiscal quarter, and (iii) the participant continues to provide services to the Company either as an employee, director or consultant on the last day of the quarter that the performance criteria are met (collectively, the “2018 Performance Criteria”). Provided the 2018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2018 Performance Criteria have not been met. As of June 30, 2019, the Company determined that the 2018 Performance Criteria were met and one-third of the applicable awards vested and shares underlying such awards were issued in August 2019. The remaining shares underlying such awards are expected to vest and be issued in accordance with their time-based vesting requirement.</w:t>
      </w:r>
    </w:p>
    <w:p>
      <w:pPr>
        <w:spacing w:after="0" w:line="19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a result of meeting the 2018 Performance Criteria as of June 30, 2019, the Company recognized a total of $971 of share-based compensation expense relating to RSUs with the 2018 Performance Criteria for the three months ended March 31, 2020. No share-based compensation expense of such RSUs was recognized during the three months ended March 31, 2019 because the Company determined at that period end that it was not probable that the 2018 Performance Criteria would be met.</w:t>
      </w:r>
    </w:p>
    <w:p>
      <w:pPr>
        <w:spacing w:after="0" w:line="19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On August 28, 2019 and October 28, 2019, the Company granted an aggregate of 681,000 RSUs, subject to both time- and performance-based requirements, to certain employees, at a grant date fair value of $11.42 per share and $16.42 per share, respectively, with time vesting periods of either three or four years. Such RSU grants shall not vest unless and until the Company has, for any fiscal quarter in which the RSUs are outstanding, (i) gross revenue determined in accordance with the Company’s reviewed or audited financial statements in excess of (a) $10.0 million for such fiscal quarter and positive adjusted EBITDA of at least $1.5 million, as determined based on amounts derived from the Company’s reviewed or audited financial statements for such fiscal quarter for 256,000 RSUs, and (b) $12.5 million for such fiscal quarter and positive adjusted EBITDA of at least $2.0 million, as determined based on amounts derived from the Company’s reviewed or audited financial statements for such fiscal quarter for 425,000 RSUs, and (ii) the recipient continues to provide services to the Company either as an employee, director or consultant on the last day of the quarter that the performance criteria is met (collectively, the “2019 Performance Criteria”). Provided the respective 2019 Performance Criteria are met, the RSUs will vest in accordance with the time-based requirements contained in the award agreement over three or four years. In the event of a change of control, all RSUs which have not vested on the date of such change of control shall immediately vest even if the 2019 Performance Criteria have not been met. As of the respective grant dates, the Company determined that it is probable that the 2019 Performance Criteria will be met and therefore, began to record the related amortization expense on the grant dates. The Company recognized a total of $1,389 of share-based compensation expense relating to RSUs with the 2019 Performance Criteria for the three months ended March 31, 2020.</w:t>
      </w:r>
    </w:p>
    <w:p>
      <w:pPr>
        <w:spacing w:after="0" w:line="192"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As of March 31, 2020, unrecognized share-based compensation expense associated with the granted RSUs amounted to $12,654, which is expected to be recognized over a remaining weighted average period of 2.0 years.</w:t>
      </w:r>
    </w:p>
    <w:p>
      <w:pPr>
        <w:spacing w:after="0" w:line="17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Share-based compensation was allocated to the following accounts in the condensed consolidated financial statements for the three months ended March 31, 2020 and 2019: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3"/>
        </w:trPr>
        <w:tc>
          <w:tcPr>
            <w:tcW w:w="4080" w:type="dxa"/>
            <w:vAlign w:val="bottom"/>
            <w:tcBorders>
              <w:bottom w:val="single" w:sz="8" w:color="CFF0FC"/>
            </w:tcBorders>
            <w:vMerge w:val="continue"/>
          </w:tcPr>
          <w:p>
            <w:pPr>
              <w:spacing w:after="0"/>
              <w:rPr>
                <w:sz w:val="13"/>
                <w:szCs w:val="13"/>
                <w:color w:val="auto"/>
              </w:rPr>
            </w:pPr>
          </w:p>
        </w:tc>
        <w:tc>
          <w:tcPr>
            <w:tcW w:w="334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16"/>
              <w:spacing w:after="0" w:line="153"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34"/>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3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33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3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in intangible assets</w:t>
            </w:r>
          </w:p>
        </w:tc>
        <w:tc>
          <w:tcPr>
            <w:tcW w:w="33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bottom w:val="single" w:sz="8" w:color="CFF0FC"/>
            </w:tcBorders>
            <w:vMerge w:val="restart"/>
          </w:tcPr>
          <w:p>
            <w:pPr>
              <w:jc w:val="right"/>
              <w:ind w:right="1611"/>
              <w:spacing w:after="0"/>
              <w:rPr>
                <w:sz w:val="20"/>
                <w:szCs w:val="20"/>
                <w:color w:val="auto"/>
              </w:rPr>
            </w:pPr>
            <w:r>
              <w:rPr>
                <w:rFonts w:ascii="Arial" w:cs="Arial" w:eastAsia="Arial" w:hAnsi="Arial"/>
                <w:sz w:val="18"/>
                <w:szCs w:val="18"/>
                <w:color w:val="auto"/>
              </w:rPr>
              <w:t>10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0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8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9. Related party transactions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21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August 7, 2018, the Company entered into an executive chairman services agreement with Mr. Michael Brauser, the then Executive Chairman of the Company, pursuant to which Mr. Brauser will be providing recommendations on organizational and capital structure, future financing needs and future acquisitions or strategic transactions (“Services Agreement”), for a term of one year, automatically renewing for additional one-year periods unless either party provides written notice to the other of its intent not to renew not fewer than 30 days prior to the expiration of the then-current term. Mr. Brauser continues to provide services as a consultant under the Services Agreement after his resignation as Executive Chairman and as a member of the board of directors effective on September 9, 2018. Under the Services Agreement, Mr. Brauser receives cash compensation of $30 per month and is entitled to participate in the Company’s incentive compensation plan. The Company recognized consulting service fees relating to the Services Agreement of a total of $90 and $90 during the three months ended March 31, 2020 and 2019, respectively. In addition, amortization of share-based compensation expense of $339 in relation to the RSUs with the 2018 Performance Criteria previously granted to Mr. Brauser was recognized during the three months ended March 31, 2020. No amortization of share-based compensation expense was recognized during the three months ended March 31,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4" w:lineRule="exact"/>
        <w:rPr>
          <w:sz w:val="20"/>
          <w:szCs w:val="20"/>
          <w:color w:val="auto"/>
        </w:rPr>
      </w:pPr>
    </w:p>
    <w:p>
      <w:pPr>
        <w:ind w:right="420"/>
        <w:spacing w:after="0" w:line="303" w:lineRule="auto"/>
        <w:rPr>
          <w:sz w:val="20"/>
          <w:szCs w:val="20"/>
          <w:color w:val="auto"/>
        </w:rPr>
      </w:pPr>
      <w:r>
        <w:rPr>
          <w:rFonts w:ascii="Arial" w:cs="Arial" w:eastAsia="Arial" w:hAnsi="Arial"/>
          <w:sz w:val="16"/>
          <w:szCs w:val="16"/>
          <w:color w:val="auto"/>
        </w:rPr>
        <w:t>On January 1, 2019, the Company adopted Leases (Topic 842) using the modified retrospective method applied to all leases existing at the date of initial application. The Company elected the practical expedients to not reassess whether any existing contracts are or contain leases, not reassess the lease classification for any existing leases, and not reassess initial direct costs for any existing leases, upon the adoption of Leases (Topic 842).</w:t>
      </w:r>
    </w:p>
    <w:p>
      <w:pPr>
        <w:spacing w:after="0" w:line="154"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The Company leases its corporate headquarters of 21,020 rentable square feet in accordance with a non-cancelable 89-month operating lease agreement as amended and effective in January 2017. The Company also leases an additional office space of 6,003 rentable square feet in accordance with a non-cancellable 90-month operating lease agreement entered into in April 2017, with an option to extend for additional 60 months. The extension option is not included in the determination of the lease term as it is not reasonably certain to be exercised.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a summary of the Company’s lease information is shown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34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3"/>
        </w:trPr>
        <w:tc>
          <w:tcPr>
            <w:tcW w:w="7420" w:type="dxa"/>
            <w:vAlign w:val="bottom"/>
            <w:tcBorders>
              <w:bottom w:val="single" w:sz="8" w:color="CFF0FC"/>
            </w:tcBorders>
            <w:vMerge w:val="continue"/>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17"/>
              <w:spacing w:after="0" w:line="153"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15"/>
              <w:spacing w:after="0" w:line="153"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20" w:type="dxa"/>
            <w:vAlign w:val="bottom"/>
          </w:tcPr>
          <w:p>
            <w:pPr>
              <w:spacing w:after="0"/>
              <w:rPr>
                <w:sz w:val="20"/>
                <w:szCs w:val="20"/>
                <w:color w:val="auto"/>
              </w:rPr>
            </w:pPr>
            <w:r>
              <w:rPr>
                <w:rFonts w:ascii="Arial" w:cs="Arial" w:eastAsia="Arial" w:hAnsi="Arial"/>
                <w:sz w:val="18"/>
                <w:szCs w:val="18"/>
                <w:color w:val="auto"/>
              </w:rPr>
              <w:t>Operating lease costs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9"/>
                <w:szCs w:val="19"/>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2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9"/>
                <w:szCs w:val="19"/>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20" w:type="dxa"/>
            <w:vAlign w:val="bottom"/>
          </w:tcPr>
          <w:p>
            <w:pPr>
              <w:spacing w:after="0"/>
              <w:rPr>
                <w:sz w:val="20"/>
                <w:szCs w:val="20"/>
                <w:color w:val="auto"/>
              </w:rPr>
            </w:pPr>
            <w:r>
              <w:rPr>
                <w:rFonts w:ascii="Arial" w:cs="Arial" w:eastAsia="Arial" w:hAnsi="Arial"/>
                <w:sz w:val="18"/>
                <w:szCs w:val="18"/>
                <w:color w:val="auto"/>
              </w:rPr>
              <w:t xml:space="preserve">Weighted average discount rate for operating leases </w:t>
            </w: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100" w:hanging="374"/>
        <w:spacing w:after="0" w:line="256"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used 8.0%, its estimated incremental borrowing rate for similar secured assets, as the discount rate for the leases to determine the present value of the lease payments because the implicit rate in each lease is not readily determinable. The discount rate was calculated on the basis of information available as of January 1, 2019, the application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weighted average remaining operating lease term was 4.6 years.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As of March 31, 2020, scheduled future maturities and present value of the operating lease liabilities are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spacing w:after="0"/>
        <w:tabs>
          <w:tab w:leader="none" w:pos="9840" w:val="left"/>
        </w:tabs>
        <w:rPr>
          <w:sz w:val="20"/>
          <w:szCs w:val="20"/>
          <w:color w:val="auto"/>
        </w:rPr>
      </w:pPr>
      <w:r>
        <w:rPr>
          <w:rFonts w:ascii="Arial" w:cs="Arial" w:eastAsia="Arial" w:hAnsi="Arial"/>
          <w:sz w:val="13"/>
          <w:szCs w:val="13"/>
          <w:b w:val="1"/>
          <w:bCs w:val="1"/>
          <w:color w:val="auto"/>
        </w:rPr>
        <w:t>Year</w:t>
      </w:r>
      <w:r>
        <w:rPr>
          <w:sz w:val="20"/>
          <w:szCs w:val="20"/>
          <w:color w:val="auto"/>
        </w:rPr>
        <w:tab/>
      </w:r>
      <w:r>
        <w:rPr>
          <w:rFonts w:ascii="Arial" w:cs="Arial" w:eastAsia="Arial" w:hAnsi="Arial"/>
          <w:sz w:val="13"/>
          <w:szCs w:val="13"/>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225" cy="151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2020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43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2024</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2025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225" cy="160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Total maturities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Present value included in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7134225" cy="143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operating lease liabilities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br w:type="column"/>
      </w:r>
    </w:p>
    <w:p>
      <w:pPr>
        <w:ind w:left="1334" w:hanging="1334"/>
        <w:spacing w:after="0"/>
        <w:tabs>
          <w:tab w:leader="none" w:pos="1334" w:val="left"/>
        </w:tabs>
        <w:numPr>
          <w:ilvl w:val="0"/>
          <w:numId w:val="6"/>
        </w:numPr>
        <w:rPr>
          <w:rFonts w:ascii="Arial" w:cs="Arial" w:eastAsia="Arial" w:hAnsi="Arial"/>
          <w:sz w:val="14"/>
          <w:szCs w:val="14"/>
          <w:color w:val="auto"/>
        </w:rPr>
      </w:pPr>
      <w:r>
        <w:rPr>
          <w:rFonts w:ascii="Arial" w:cs="Arial" w:eastAsia="Arial" w:hAnsi="Arial"/>
          <w:sz w:val="14"/>
          <w:szCs w:val="14"/>
          <w:color w:val="auto"/>
        </w:rPr>
        <w:t>530</w:t>
      </w:r>
    </w:p>
    <w:p>
      <w:pPr>
        <w:spacing w:after="0" w:line="63" w:lineRule="exact"/>
        <w:rPr>
          <w:rFonts w:ascii="Arial" w:cs="Arial" w:eastAsia="Arial" w:hAnsi="Arial"/>
          <w:sz w:val="14"/>
          <w:szCs w:val="14"/>
          <w:color w:val="auto"/>
        </w:rPr>
      </w:pPr>
    </w:p>
    <w:p>
      <w:pPr>
        <w:ind w:left="1334"/>
        <w:spacing w:after="0"/>
        <w:rPr>
          <w:rFonts w:ascii="Arial" w:cs="Arial" w:eastAsia="Arial" w:hAnsi="Arial"/>
          <w:sz w:val="14"/>
          <w:szCs w:val="14"/>
          <w:color w:val="auto"/>
        </w:rPr>
      </w:pPr>
      <w:r>
        <w:rPr>
          <w:rFonts w:ascii="Arial" w:cs="Arial" w:eastAsia="Arial" w:hAnsi="Arial"/>
          <w:sz w:val="14"/>
          <w:szCs w:val="14"/>
          <w:color w:val="auto"/>
        </w:rPr>
        <w:t>724</w:t>
      </w:r>
    </w:p>
    <w:p>
      <w:pPr>
        <w:spacing w:after="0" w:line="65" w:lineRule="exact"/>
        <w:rPr>
          <w:rFonts w:ascii="Arial" w:cs="Arial" w:eastAsia="Arial" w:hAnsi="Arial"/>
          <w:sz w:val="14"/>
          <w:szCs w:val="14"/>
          <w:color w:val="auto"/>
        </w:rPr>
      </w:pPr>
    </w:p>
    <w:p>
      <w:pPr>
        <w:ind w:left="1334"/>
        <w:spacing w:after="0"/>
        <w:rPr>
          <w:rFonts w:ascii="Arial" w:cs="Arial" w:eastAsia="Arial" w:hAnsi="Arial"/>
          <w:sz w:val="14"/>
          <w:szCs w:val="14"/>
          <w:color w:val="auto"/>
        </w:rPr>
      </w:pPr>
      <w:r>
        <w:rPr>
          <w:rFonts w:ascii="Arial" w:cs="Arial" w:eastAsia="Arial" w:hAnsi="Arial"/>
          <w:sz w:val="14"/>
          <w:szCs w:val="14"/>
          <w:color w:val="auto"/>
        </w:rPr>
        <w:t>743</w:t>
      </w:r>
    </w:p>
    <w:p>
      <w:pPr>
        <w:spacing w:after="0" w:line="65" w:lineRule="exact"/>
        <w:rPr>
          <w:rFonts w:ascii="Arial" w:cs="Arial" w:eastAsia="Arial" w:hAnsi="Arial"/>
          <w:sz w:val="14"/>
          <w:szCs w:val="14"/>
          <w:color w:val="auto"/>
        </w:rPr>
      </w:pPr>
    </w:p>
    <w:p>
      <w:pPr>
        <w:ind w:left="1334"/>
        <w:spacing w:after="0"/>
        <w:rPr>
          <w:rFonts w:ascii="Arial" w:cs="Arial" w:eastAsia="Arial" w:hAnsi="Arial"/>
          <w:sz w:val="14"/>
          <w:szCs w:val="14"/>
          <w:color w:val="auto"/>
        </w:rPr>
      </w:pPr>
      <w:r>
        <w:rPr>
          <w:rFonts w:ascii="Arial" w:cs="Arial" w:eastAsia="Arial" w:hAnsi="Arial"/>
          <w:sz w:val="14"/>
          <w:szCs w:val="14"/>
          <w:color w:val="auto"/>
        </w:rPr>
        <w:t>765</w:t>
      </w:r>
    </w:p>
    <w:p>
      <w:pPr>
        <w:spacing w:after="0" w:line="65" w:lineRule="exact"/>
        <w:rPr>
          <w:rFonts w:ascii="Arial" w:cs="Arial" w:eastAsia="Arial" w:hAnsi="Arial"/>
          <w:sz w:val="14"/>
          <w:szCs w:val="14"/>
          <w:color w:val="auto"/>
        </w:rPr>
      </w:pPr>
    </w:p>
    <w:p>
      <w:pPr>
        <w:ind w:left="1334"/>
        <w:spacing w:after="0"/>
        <w:rPr>
          <w:rFonts w:ascii="Arial" w:cs="Arial" w:eastAsia="Arial" w:hAnsi="Arial"/>
          <w:sz w:val="14"/>
          <w:szCs w:val="14"/>
          <w:color w:val="auto"/>
        </w:rPr>
      </w:pPr>
      <w:r>
        <w:rPr>
          <w:rFonts w:ascii="Arial" w:cs="Arial" w:eastAsia="Arial" w:hAnsi="Arial"/>
          <w:sz w:val="14"/>
          <w:szCs w:val="14"/>
          <w:color w:val="auto"/>
        </w:rPr>
        <w:t>542</w:t>
      </w:r>
    </w:p>
    <w:p>
      <w:pPr>
        <w:spacing w:after="0" w:line="65" w:lineRule="exact"/>
        <w:rPr>
          <w:rFonts w:ascii="Arial" w:cs="Arial" w:eastAsia="Arial" w:hAnsi="Arial"/>
          <w:sz w:val="14"/>
          <w:szCs w:val="14"/>
          <w:color w:val="auto"/>
        </w:rPr>
      </w:pPr>
    </w:p>
    <w:p>
      <w:pPr>
        <w:ind w:left="1414"/>
        <w:spacing w:after="0"/>
        <w:rPr>
          <w:rFonts w:ascii="Arial" w:cs="Arial" w:eastAsia="Arial" w:hAnsi="Arial"/>
          <w:sz w:val="14"/>
          <w:szCs w:val="14"/>
          <w:color w:val="auto"/>
        </w:rPr>
      </w:pPr>
      <w:r>
        <w:rPr>
          <w:rFonts w:ascii="Arial" w:cs="Arial" w:eastAsia="Arial" w:hAnsi="Arial"/>
          <w:sz w:val="16"/>
          <w:szCs w:val="16"/>
          <w:color w:val="auto"/>
        </w:rPr>
        <w:t>77</w:t>
      </w:r>
    </w:p>
    <w:p>
      <w:pPr>
        <w:spacing w:after="0" w:line="55" w:lineRule="exact"/>
        <w:rPr>
          <w:sz w:val="20"/>
          <w:szCs w:val="20"/>
          <w:color w:val="auto"/>
        </w:rPr>
      </w:pPr>
    </w:p>
    <w:p>
      <w:pPr>
        <w:ind w:left="1194" w:hanging="1194"/>
        <w:spacing w:after="0"/>
        <w:tabs>
          <w:tab w:leader="none" w:pos="1194" w:val="left"/>
        </w:tabs>
        <w:numPr>
          <w:ilvl w:val="0"/>
          <w:numId w:val="7"/>
        </w:numPr>
        <w:rPr>
          <w:rFonts w:ascii="Arial" w:cs="Arial" w:eastAsia="Arial" w:hAnsi="Arial"/>
          <w:sz w:val="14"/>
          <w:szCs w:val="14"/>
          <w:color w:val="auto"/>
        </w:rPr>
      </w:pPr>
      <w:r>
        <w:rPr>
          <w:rFonts w:ascii="Arial" w:cs="Arial" w:eastAsia="Arial" w:hAnsi="Arial"/>
          <w:sz w:val="14"/>
          <w:szCs w:val="14"/>
          <w:color w:val="auto"/>
        </w:rPr>
        <w:t>3,381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10217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311" w:lineRule="exact"/>
        <w:rPr>
          <w:sz w:val="20"/>
          <w:szCs w:val="20"/>
          <w:color w:val="auto"/>
        </w:rPr>
      </w:pPr>
    </w:p>
    <w:p>
      <w:pPr>
        <w:ind w:left="1334" w:hanging="1334"/>
        <w:spacing w:after="0"/>
        <w:tabs>
          <w:tab w:leader="none" w:pos="1334" w:val="left"/>
        </w:tabs>
        <w:numPr>
          <w:ilvl w:val="0"/>
          <w:numId w:val="8"/>
        </w:numPr>
        <w:rPr>
          <w:rFonts w:ascii="Arial" w:cs="Arial" w:eastAsia="Arial" w:hAnsi="Arial"/>
          <w:sz w:val="14"/>
          <w:szCs w:val="14"/>
          <w:color w:val="auto"/>
        </w:rPr>
      </w:pPr>
      <w:r>
        <w:rPr>
          <w:rFonts w:ascii="Arial" w:cs="Arial" w:eastAsia="Arial" w:hAnsi="Arial"/>
          <w:sz w:val="14"/>
          <w:szCs w:val="14"/>
          <w:color w:val="auto"/>
        </w:rPr>
        <w:t>506</w:t>
      </w:r>
    </w:p>
    <w:p>
      <w:pPr>
        <w:spacing w:after="0" w:line="65" w:lineRule="exact"/>
        <w:rPr>
          <w:rFonts w:ascii="Arial" w:cs="Arial" w:eastAsia="Arial" w:hAnsi="Arial"/>
          <w:sz w:val="14"/>
          <w:szCs w:val="14"/>
          <w:color w:val="auto"/>
        </w:rPr>
      </w:pPr>
    </w:p>
    <w:p>
      <w:pPr>
        <w:ind w:left="1194"/>
        <w:spacing w:after="0"/>
        <w:rPr>
          <w:rFonts w:ascii="Arial" w:cs="Arial" w:eastAsia="Arial" w:hAnsi="Arial"/>
          <w:sz w:val="14"/>
          <w:szCs w:val="14"/>
          <w:color w:val="auto"/>
        </w:rPr>
      </w:pPr>
      <w:r>
        <w:rPr>
          <w:rFonts w:ascii="Arial" w:cs="Arial" w:eastAsia="Arial" w:hAnsi="Arial"/>
          <w:sz w:val="14"/>
          <w:szCs w:val="14"/>
          <w:color w:val="auto"/>
        </w:rPr>
        <w:t>2,327</w:t>
      </w:r>
    </w:p>
    <w:p>
      <w:pPr>
        <w:spacing w:after="0" w:line="61" w:lineRule="exact"/>
        <w:rPr>
          <w:sz w:val="20"/>
          <w:szCs w:val="20"/>
          <w:color w:val="auto"/>
        </w:rPr>
      </w:pPr>
    </w:p>
    <w:p>
      <w:pPr>
        <w:sectPr>
          <w:pgSz w:w="11900" w:h="16838" w:orient="portrait"/>
          <w:cols w:equalWidth="0" w:num="2">
            <w:col w:w="8806" w:space="720"/>
            <w:col w:w="1714"/>
          </w:cols>
          <w:pgMar w:left="320" w:top="340"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9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640" w:type="dxa"/>
            <w:vAlign w:val="bottom"/>
            <w:tcBorders>
              <w:top w:val="single" w:sz="8" w:color="auto"/>
              <w:bottom w:val="single" w:sz="8" w:color="auto"/>
            </w:tcBorders>
            <w:shd w:val="clear" w:color="auto" w:fill="CFF0FC"/>
          </w:tcPr>
          <w:p>
            <w:pPr>
              <w:jc w:val="right"/>
              <w:ind w:right="45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20" w:type="dxa"/>
            <w:vAlign w:val="bottom"/>
            <w:vMerge w:val="restart"/>
          </w:tcPr>
          <w:p>
            <w:pPr>
              <w:spacing w:after="0"/>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520" w:type="dxa"/>
            <w:vAlign w:val="bottom"/>
            <w:vMerge w:val="continue"/>
          </w:tcPr>
          <w:p>
            <w:pPr>
              <w:spacing w:after="0"/>
              <w:rPr>
                <w:sz w:val="17"/>
                <w:szCs w:val="17"/>
                <w:color w:val="auto"/>
              </w:rPr>
            </w:pPr>
          </w:p>
        </w:tc>
        <w:tc>
          <w:tcPr>
            <w:tcW w:w="640" w:type="dxa"/>
            <w:vAlign w:val="bottom"/>
            <w:tcBorders>
              <w:bottom w:val="single" w:sz="8" w:color="auto"/>
            </w:tcBorders>
          </w:tcPr>
          <w:p>
            <w:pPr>
              <w:jc w:val="right"/>
              <w:ind w:right="451"/>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218" w:lineRule="exact"/>
        <w:rPr>
          <w:sz w:val="20"/>
          <w:szCs w:val="20"/>
          <w:color w:val="auto"/>
        </w:rPr>
      </w:pPr>
    </w:p>
    <w:p>
      <w:pPr>
        <w:ind w:right="500"/>
        <w:spacing w:after="0" w:line="329" w:lineRule="auto"/>
        <w:rPr>
          <w:sz w:val="20"/>
          <w:szCs w:val="20"/>
          <w:color w:val="auto"/>
        </w:rPr>
      </w:pPr>
      <w:r>
        <w:rPr>
          <w:rFonts w:ascii="Arial" w:cs="Arial" w:eastAsia="Arial" w:hAnsi="Arial"/>
          <w:sz w:val="16"/>
          <w:szCs w:val="16"/>
          <w:color w:val="auto"/>
        </w:rPr>
        <w:t>The Company incurred data costs of $2,132 and $1,688 for the three months ended March 31, 2020 and 2019, respectively, under certain data licensing agreements. As of March 31, 2020, material capital commitments under certain data licensing agreements were $12,766, shown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952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r>
      <w:tr>
        <w:trPr>
          <w:trHeight w:val="219"/>
        </w:trPr>
        <w:tc>
          <w:tcPr>
            <w:tcW w:w="9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952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19"/>
                <w:szCs w:val="19"/>
                <w:color w:val="auto"/>
              </w:rPr>
            </w:pPr>
          </w:p>
        </w:tc>
      </w:tr>
      <w:tr>
        <w:trPr>
          <w:trHeight w:val="227"/>
        </w:trPr>
        <w:tc>
          <w:tcPr>
            <w:tcW w:w="9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FF0FC"/>
          </w:tcPr>
          <w:p>
            <w:pPr>
              <w:spacing w:after="0"/>
              <w:rPr>
                <w:sz w:val="19"/>
                <w:szCs w:val="19"/>
                <w:color w:val="auto"/>
              </w:rPr>
            </w:pPr>
          </w:p>
        </w:tc>
      </w:tr>
      <w:tr>
        <w:trPr>
          <w:trHeight w:val="219"/>
        </w:trPr>
        <w:tc>
          <w:tcPr>
            <w:tcW w:w="95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19"/>
                <w:szCs w:val="19"/>
                <w:color w:val="auto"/>
              </w:rPr>
            </w:pPr>
          </w:p>
        </w:tc>
      </w:tr>
      <w:tr>
        <w:trPr>
          <w:trHeight w:val="20"/>
        </w:trPr>
        <w:tc>
          <w:tcPr>
            <w:tcW w:w="9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7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our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6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 Covid-19 update</w:t>
      </w:r>
    </w:p>
    <w:p>
      <w:pPr>
        <w:spacing w:after="0" w:line="21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December 2019, a novel strain of coronavirus, now known as Covid-19 (“Covid-19”), was reported in Wuhan, China and has since extensively impacted the global health and economic environment. In March 2020, the World Health Organization characterized Covid-19 as a pandemic. The Company has taken numerous steps, and will continue to take further actions, in its approach to minimizing the impact of the Covid-19 pandemic. As a result of the Covid-19 pandemic, to ensure the health and well-being of our employees, the Company instructed employees at its offices to work from home on a temporary basis. The Company has implemented cost containment strategies across all areas of the organization, including continued curtailment of Company travel and partnering with suppliers, landlords and vendors for price concessions and payment deferrals during this interim period. In the second half of March, as preventative and protective actions were taken by governments, including the implementation of stay-at-home orders, we experienced reduced transactional volume that we believe was a result of customers adjusting to the effects of these stay-at-home orders. Beginning April 1, 2020, the Company elected, under Section 2302 of the Coronavirus Aid, Relief, and Economic Security Act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The Company will continue to assess the CARES Act and other applicable government-related legislation aimed at assisting businesses during the Covid-19 pandemic. Given the dynamic nature of this health emergency, the full impact of the Covid-19 pandemic on the Company’s ongoing business, results of operations and overall financial performance cannot be reasonably estimated at this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May 5, 2020, the Company received funding under a promissory note dated May 5, 2020 (the “Promissory Note”) evidencing an unsecured non-recourse loan in the principal amount of $2,152 under the CARES Act (the “Loan”). The Loan to the Company is being made through Legacy Bank of Florida (the “Lender”).</w:t>
      </w:r>
    </w:p>
    <w:p>
      <w:pPr>
        <w:spacing w:after="0" w:line="18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Loan has a two-year term and matures on May 5, 2022. The interest rate on the Loan is 1.00% per annum. Payments shall be deferred for the first six months of the term of the Loan. The U.S. Small Business Administration has the right to extend the deferment period. The Promissory Note contains customary events of default relating to, among other things, payment defaults, and breach of representations and warranties, or other provisions of the Promissory Note.</w:t>
      </w:r>
    </w:p>
    <w:p>
      <w:pPr>
        <w:spacing w:after="0" w:line="19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Loan may be forgiven partially or fully if the Loan proceeds are used for covered payroll costs, rent and utility costs incurred during the eight-week period that commenced on the date of funding, and at least 75% of the Loan proceeds are used for covered payroll costs. Any forgiveness of the Loan will be subject to approval by the U.S. Small Business Administration and the Lender. The Company will be required to apply for such forgiveness. Although the Company intends to use the proceeds of the Loan for such covered purposes, it can provide no assurance that the Company will obtain forgiveness of the Loan in whole or in part.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4"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the impact of the coronavirus (“Covid-19”) pandemic on our operating results. These factors include those contained in this Quarterly Report on Form 10-Q, as well as the disclosures made in the Company’s Annual Report on Form 10-K for the year ended December 31, 2019 filed on March 12, 2020 (“2019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To the extent that our business is negatively impacted due to a variety of factors, including the impact of Covid-19 on our operating results, we may implement longer-term cost reduction efforts in order to mitigate such impacts.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References in this discussion and analysis to “we,” “us,” “our,” “red violet,” or the “Company,” refer to Red Violet, Inc. and its consolidated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Red Violet, Inc. (“we,” “us,” “our,” “red violet,” or the “Company”), a Delaware corporation, is dedicated to making the world a safer place and reducing the cost of doing business. We specialize in data fusion and analytics, providing cloud-based, mission-critical solutions to enterprises with use cases including fraud detection, risk mitigation, due diligence and marketing. Through our intelligent platform, CORE</w:t>
      </w:r>
      <w:r>
        <w:rPr>
          <w:rFonts w:ascii="Arial" w:cs="Arial" w:eastAsia="Arial" w:hAnsi="Arial"/>
          <w:sz w:val="13"/>
          <w:szCs w:val="13"/>
          <w:color w:val="auto"/>
        </w:rPr>
        <w:t>TM</w:t>
      </w:r>
      <w:r>
        <w:rPr>
          <w:rFonts w:ascii="Arial" w:cs="Arial" w:eastAsia="Arial" w:hAnsi="Arial"/>
          <w:sz w:val="16"/>
          <w:szCs w:val="16"/>
          <w:color w:val="auto"/>
        </w:rPr>
        <w:t>, we uncover the relevance of disparate data points utilizing our analytical capabilities to provide real-time and insightful views of people, businesses, assets and their interrelationships.</w:t>
      </w:r>
    </w:p>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Leveraging proprietary technology and applying machine learning and advanced analytical and decision-making capabilities, CORE provides compelling solutions to public and private sector organizations through intuitive, easy-to-use analytical applications. We empower clients across markets and industries to better execute all aspects of their business, from managing risk, recovering debt, identifying fraud and abuse, and ensuring legislative compliance, to identifying and acquiring customers. With a massive data repository of approximately nine petabytes of public-record, proprietary and publicly-available data, as well as self-reported consumer information and behavioral signals, we transform data into intelligence for our customers to enable better data-driven decisioning.</w:t>
      </w:r>
    </w:p>
    <w:p>
      <w:pPr>
        <w:spacing w:after="0" w:line="195"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presently market our solutions primarily through two brands, idiCORE™, our flagship product, and FOREWARN</w:t>
      </w:r>
      <w:r>
        <w:rPr>
          <w:rFonts w:ascii="Arial" w:cs="Arial" w:eastAsia="Arial" w:hAnsi="Arial"/>
          <w:sz w:val="14"/>
          <w:szCs w:val="14"/>
          <w:color w:val="auto"/>
        </w:rPr>
        <w:t>®</w:t>
      </w:r>
      <w:r>
        <w:rPr>
          <w:rFonts w:ascii="Arial" w:cs="Arial" w:eastAsia="Arial" w:hAnsi="Arial"/>
          <w:sz w:val="17"/>
          <w:szCs w:val="17"/>
          <w:color w:val="auto"/>
        </w:rPr>
        <w:t>. idiCORE is a next-generation, investigative solution used to address a variety of organizational challenges including due diligence, risk mitigation, identity authentication and legislative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March 31, 2020 and 2019, idiCORE had 5,326 and 4,020 billable customers and FOREWARN had 36,506 and 15,444 users, respectively. The Company defines a billable customer of idiCORE as a single entity that generated revenue in the last month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15" w:name="page16"/>
    <w:bookmarkEnd w:id="15"/>
    <w:p>
      <w:pPr>
        <w:ind w:right="80"/>
        <w:spacing w:after="0" w:line="269" w:lineRule="auto"/>
        <w:rPr>
          <w:sz w:val="20"/>
          <w:szCs w:val="20"/>
          <w:color w:val="auto"/>
        </w:rPr>
      </w:pPr>
      <w:r>
        <w:rPr>
          <w:rFonts w:ascii="Arial" w:cs="Arial" w:eastAsia="Arial" w:hAnsi="Arial"/>
          <w:sz w:val="17"/>
          <w:szCs w:val="17"/>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Revenue from pricing contracts represented 69% and 67% of total revenue for the three months ended March 31, 2020 and 2019, respectively.</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Our sales model generally begins with a free trial followed by an initial purchase on a transactional basis or minimum-committed monthly spend. As organizations derive benefits from our solutions, we are able to “land and expand” within larger organizations as additional use cases expand across departments, divisions and geographic locations and customers become increasingly reliant on our solutions in their daily workflow.</w:t>
      </w:r>
    </w:p>
    <w:p>
      <w:pPr>
        <w:spacing w:after="0" w:line="169"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5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December 2019, a novel strain of coronavirus, now known as Covid-19, was reported in Wuhan, China and has since extensively impacted the global health and economic environment. In March 2020, the World Health Organization characterized Covid-19 as a pandemic. The Company has taken numerous steps, and will continue to take further actions, in its approach to minimizing the impact of the Covid-19 pandemic. As a result of the Covid-19 pandemic, to ensure the health and well-being of our employees, the Company instructed employees at its offices to work from home on a temporary basis. The Company has implemented cost containment strategies across all areas of the organization, including continued curtailment of Company travel and partnering with suppliers, landlords and vendors for price concessions and payment deferrals during this interim period. In the second half of March, as preventative and protective actions were taken by governments, including the implementation of stay-at-home orders, we experienced reduced transactional volume that we believe was a result of customers adjusting to the effects of these stay-at-home orders. Beginning April 1, 2020, the Company elected, under Section 2302 of the Coronavirus Aid, Relief, and Economic Security Act (“CARES Act”), to defer payment of the employer portion of Social Security payroll tax. Under the CARES Act, employers can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The Company will continue to assess the CARES Act and other applicable government-related legislation aimed at assisting businesses during the Covid-19 pandemic. Given the dynamic nature of this health emergency, the full impact of the Covid-19 pandemic on the Company’s ongoing business, results of operations and overall financial performance cannot be reasonably estimated at this time.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property and equipment and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For additional information, please refer to our 2019 Form 10-K. There have been no material changes to Critical Accounting Policies and Estimates disclosed in our 2019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as compared to the three months ended March 31, 2019:</w:t>
      </w:r>
    </w:p>
    <w:p>
      <w:pPr>
        <w:spacing w:after="0" w:line="218" w:lineRule="exact"/>
        <w:rPr>
          <w:sz w:val="20"/>
          <w:szCs w:val="20"/>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increased 62% to $9.3 million.</w:t>
      </w:r>
    </w:p>
    <w:p>
      <w:pPr>
        <w:spacing w:after="0" w:line="112" w:lineRule="exact"/>
        <w:rPr>
          <w:rFonts w:ascii="Arial" w:cs="Arial" w:eastAsia="Arial" w:hAnsi="Arial"/>
          <w:sz w:val="18"/>
          <w:szCs w:val="18"/>
          <w:color w:val="auto"/>
        </w:rPr>
      </w:pPr>
    </w:p>
    <w:p>
      <w:pPr>
        <w:ind w:left="380" w:right="920" w:hanging="374"/>
        <w:spacing w:after="0" w:line="266"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loss was $1.5 million (including share-based compensation expense of $2.2 million) as compared to $1.4 million (including share-based compensation expense of $0.3 million).</w:t>
      </w:r>
    </w:p>
    <w:p>
      <w:pPr>
        <w:spacing w:after="0" w:line="73" w:lineRule="exact"/>
        <w:rPr>
          <w:rFonts w:ascii="Arial" w:cs="Arial" w:eastAsia="Arial" w:hAnsi="Arial"/>
          <w:sz w:val="18"/>
          <w:szCs w:val="18"/>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was $1.7 million as compared to a negative $0.4 million</w:t>
      </w:r>
    </w:p>
    <w:p>
      <w:pPr>
        <w:spacing w:after="0" w:line="112" w:lineRule="exact"/>
        <w:rPr>
          <w:rFonts w:ascii="Arial" w:cs="Arial" w:eastAsia="Arial" w:hAnsi="Arial"/>
          <w:sz w:val="18"/>
          <w:szCs w:val="18"/>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increased 105% to $5.2 million. Gross margin increased to 55% from 44%.</w:t>
      </w:r>
    </w:p>
    <w:p>
      <w:pPr>
        <w:spacing w:after="0" w:line="112" w:lineRule="exact"/>
        <w:rPr>
          <w:rFonts w:ascii="Arial" w:cs="Arial" w:eastAsia="Arial" w:hAnsi="Arial"/>
          <w:sz w:val="18"/>
          <w:szCs w:val="18"/>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gross profit increased 96% to $6.0 million. Adjusted gross margin increased to 65% from 53%.</w:t>
      </w:r>
    </w:p>
    <w:p>
      <w:pPr>
        <w:spacing w:after="0" w:line="112" w:lineRule="exact"/>
        <w:rPr>
          <w:rFonts w:ascii="Arial" w:cs="Arial" w:eastAsia="Arial" w:hAnsi="Arial"/>
          <w:sz w:val="18"/>
          <w:szCs w:val="18"/>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Generated $1.2 million in cash from operating activities in the first quarter.</w:t>
      </w:r>
    </w:p>
    <w:p>
      <w:pPr>
        <w:spacing w:after="0" w:line="112" w:lineRule="exact"/>
        <w:rPr>
          <w:rFonts w:ascii="Arial" w:cs="Arial" w:eastAsia="Arial" w:hAnsi="Arial"/>
          <w:sz w:val="18"/>
          <w:szCs w:val="18"/>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were $11.5 million as of March 31,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income, net, depreciation and amortization, share-based compensation expense, litigation costs, net,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5140" w:type="dxa"/>
            <w:vAlign w:val="bottom"/>
            <w:tcBorders>
              <w:bottom w:val="single" w:sz="8" w:color="CFF0FC"/>
            </w:tcBorders>
            <w:vMerge w:val="continue"/>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5"/>
              <w:spacing w:after="0" w:line="15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4"/>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(1,481)</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Interest income, net</w:t>
            </w:r>
          </w:p>
        </w:tc>
        <w:tc>
          <w:tcPr>
            <w:tcW w:w="2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7"/>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Litigation costs, net</w:t>
            </w:r>
          </w:p>
        </w:tc>
        <w:tc>
          <w:tcPr>
            <w:tcW w:w="2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Write-off of long-lived assets and others</w:t>
            </w:r>
          </w:p>
        </w:tc>
        <w:tc>
          <w:tcPr>
            <w:tcW w:w="2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2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4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300" w:type="dxa"/>
            <w:vAlign w:val="bottom"/>
            <w:tcBorders>
              <w:bottom w:val="single" w:sz="8" w:color="CFF0FC"/>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5"/>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3"/>
              <w:spacing w:after="0" w:line="153"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9,300</w:t>
            </w:r>
          </w:p>
        </w:tc>
        <w:tc>
          <w:tcPr>
            <w:tcW w:w="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5,158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30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6,008</w:t>
            </w:r>
          </w:p>
        </w:tc>
        <w:tc>
          <w:tcPr>
            <w:tcW w:w="260" w:type="dxa"/>
            <w:vAlign w:val="bottom"/>
          </w:tcPr>
          <w:p>
            <w:pPr>
              <w:spacing w:after="0"/>
              <w:rPr>
                <w:sz w:val="22"/>
                <w:szCs w:val="22"/>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30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30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40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3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vMerge w:val="continue"/>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6" w:lineRule="exact"/>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
              <w:spacing w:after="0" w:line="20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3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order to assist readers of our condensed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 w:name="page18"/>
    <w:bookmarkEnd w:id="17"/>
    <w:p>
      <w:pPr>
        <w:spacing w:after="0" w:line="283"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2020 compared to three months ended March 31, 2019</w:t>
      </w:r>
    </w:p>
    <w:p>
      <w:pPr>
        <w:spacing w:after="0" w:line="2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$3.6 million or 62% to $9.3 million for the three months ended March 31, 2020 from $5.7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2019. This increase was driven by strong growth in usage from existing customers. Revenue from new customers increased $0.2 million or 10%, base revenue from existing customers increased $3.0 million or 84%, and growth revenue from existing customers increased $0.4 million or 46% for the three months ended March 31, 2020 compared to the three months ended March 31, 2019, respectively. Our idiCORE billable customer base grew from 4,020 customers as of March 31, 2019 to 5,326 customers as of March 31, 2020.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6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Cost of revenue (exclusive of depreciation and amortization)</w:t>
      </w:r>
      <w:r>
        <w:rPr>
          <w:rFonts w:ascii="Arial" w:cs="Arial" w:eastAsia="Arial" w:hAnsi="Arial"/>
          <w:sz w:val="16"/>
          <w:szCs w:val="16"/>
          <w:color w:val="auto"/>
        </w:rPr>
        <w:t>. Cost of revenue increased $0.6 million or 23% to $3.3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2020 from $2.7 million for the three months ended March 31, 2019.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39% of our total data acquisition costs for the three months ended March 31, 2020 compared to approximately 41% for the three months ended March 31, 2019. Other cost of revenue items include expenses related to third-party infrastructure fees.</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35% for the three months ended March 31, 2020 from 47% for the three months ended March 31, 2019.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9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increased $0.7 million or 45% to $2.2 million for the three months ended March 31, 2020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 million for the three months ended March 31, 2019. Sales and marketing expenses consist of salaries and benefits, advertising and marketing, travel expenses, and share-based compensation expense, incurred by our sales team, and provision for bad debts. The increase during the three months ended March 31, 2020 was primarily attributable to an aggregate of $0.5 million increase in salaries and benefits, as we continue to invest in the expansion of our sales organization, and sales commissions from increased revenue.</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increased $2.0 million or 87% to $4.4 million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2020 from $2.4 million for the three months ended March 31, 2019. The increase during the three months ended March 31, 2020 was primarily attributable to the $1.9 million increase in share-based compensation expense, resulting from the achievement of certain performance-based milestones and certain new grants issued after the first quarter of 2019, as outlined in Note 8, “Share-based compensation,” included in “Notes to Condensed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8" w:name="page19"/>
    <w:bookmarkEnd w:id="18"/>
    <w:p>
      <w:pPr>
        <w:ind w:right="140"/>
        <w:spacing w:after="0" w:line="256" w:lineRule="auto"/>
        <w:rPr>
          <w:sz w:val="20"/>
          <w:szCs w:val="20"/>
          <w:color w:val="auto"/>
        </w:rPr>
      </w:pPr>
      <w:r>
        <w:rPr>
          <w:rFonts w:ascii="Arial" w:cs="Arial" w:eastAsia="Arial" w:hAnsi="Arial"/>
          <w:sz w:val="18"/>
          <w:szCs w:val="18"/>
          <w:color w:val="auto"/>
        </w:rPr>
        <w:t>For the three months ended March 31, 2020 and 2019, our general and administrative expenses consisted primarily of employee salaries and benefits of $1.2 million and $1.0 million, share-based compensation expense of $2.1 million and $0.2 million, and professional fees of $0.6 million and $0.7 million, respectively.</w:t>
      </w:r>
    </w:p>
    <w:p>
      <w:pPr>
        <w:spacing w:after="0" w:line="189" w:lineRule="exact"/>
        <w:rPr>
          <w:sz w:val="20"/>
          <w:szCs w:val="20"/>
          <w:color w:val="auto"/>
        </w:rPr>
      </w:pPr>
    </w:p>
    <w:p>
      <w:pPr>
        <w:jc w:val="both"/>
        <w:ind w:right="20"/>
        <w:spacing w:after="0" w:line="303"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color w:val="auto"/>
        </w:rPr>
        <w:t>. Depreciation and amortization expenses increased $0.3 million or 47% to $0.9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from $0.6 million for the three months ended March 31, 2019. The increase in depreciation and amortization for the three months ended March 31, 2020 resulted primarily from the amortization of software developed for internal use that became ready for its intended use after March 31, 2019.</w:t>
      </w:r>
    </w:p>
    <w:p>
      <w:pPr>
        <w:spacing w:after="0" w:line="15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Loss before income taxes</w:t>
      </w:r>
      <w:r>
        <w:rPr>
          <w:rFonts w:ascii="Arial" w:cs="Arial" w:eastAsia="Arial" w:hAnsi="Arial"/>
          <w:sz w:val="16"/>
          <w:szCs w:val="16"/>
          <w:color w:val="auto"/>
        </w:rPr>
        <w:t>. We had a loss before income taxes of $1.5 million for the three months ended March 31, 2020 as compared to $1.4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2019. The slight increase in loss before income taxes was primarily attributable to the increase in noncash share-based compensation expense of $1.9 million, salaries and benefits and sales commission of $0.7 million, and depreciation and amortization of $0.3 million, which was partially offset by the increase in revenue and the decrease in our cost of revenue as a percentage of revenue.</w:t>
      </w:r>
    </w:p>
    <w:p>
      <w:pPr>
        <w:spacing w:after="0" w:line="16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 expense of $0 was recognized for the three months ended March 31, 2020 and 2019. A full valuation allowance on the deferred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was recognized as of March 31, 2020 and 2019. See Note 6, “Income Taxes,” included in “Notes to Condensed Consolidated Financial Statements,” for details.</w:t>
      </w:r>
    </w:p>
    <w:p>
      <w:pPr>
        <w:spacing w:after="0" w:line="189"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A net loss of $1.5 million was recognized for the three months ended March 31, 2020 as compared to $1.4 million for the three months ended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2019, as a result of the foregoing.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4"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Cash flows provided by (used in) operating activities</w:t>
      </w:r>
      <w:r>
        <w:rPr>
          <w:rFonts w:ascii="Arial" w:cs="Arial" w:eastAsia="Arial" w:hAnsi="Arial"/>
          <w:sz w:val="16"/>
          <w:szCs w:val="16"/>
          <w:color w:val="auto"/>
        </w:rPr>
        <w:t>. For the three months ended March 31, 2020, net cash provided by operating activities was $1.2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the net loss of $1.5 million, adjusted for certain non-cash items (consisting of share-based compensation expense, depreciation and amortization, write-off of long-lived assets, provision for bad debts and noncash lease expenses) totaling $3.4 million, and the cash used as a result of changes in assets and liabilities of $0.7 million, primarily the result of the increase in prepaid expenses and other current assets and the decrease in accrued expenses and other current liabilities. For the three months ended March 31, 2019, net cash used in operating activities was $1.2 million, primarily the result of the net loss of $1.4 million, adjusted for certain non-cash items, as mentioned above, totaling $1.2 million, and the cash used as a result of changes in assets and liabilities of $1.0 million, primarily the result of the increase in accounts receivable and prepaid expenses and other current assets.</w:t>
      </w:r>
    </w:p>
    <w:p>
      <w:pPr>
        <w:spacing w:after="0" w:line="167"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i w:val="1"/>
          <w:iCs w:val="1"/>
          <w:color w:val="auto"/>
        </w:rPr>
        <w:t>Cash flows used in investing activities</w:t>
      </w:r>
      <w:r>
        <w:rPr>
          <w:rFonts w:ascii="Arial" w:cs="Arial" w:eastAsia="Arial" w:hAnsi="Arial"/>
          <w:sz w:val="17"/>
          <w:szCs w:val="17"/>
          <w:color w:val="auto"/>
        </w:rPr>
        <w:t>. For the three months ended March 31, 2020 and 2019, net cash used in investing activities was $1.6 million and $1.4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primarily as a result of capitalized costs included in intangible assets of $1.5 million and $1.4 million, respectively.</w:t>
      </w:r>
    </w:p>
    <w:p>
      <w:pPr>
        <w:spacing w:after="0" w:line="156"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As of March 31, 2020, we had material commitments under certain data licensing agreements of $12.8 million. We anticipate funding our operations using available cash and cash flow generated from operations within the next twelve months.</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reported net loss of $1.5 million and $1.4 million for the three months ended March 31, 2020 and 2019, respectively. As of March 31, 2020, we had a total shareholders’ equity balance of $43.4 million.</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March 31, 2020, we had cash and cash equivalents of approximately $11.5 million. Based on projections of growth in revenue and operating results in the next twelve months, the available cash and cash equivalents held by us, and an unsecured non-recourse loan in the principal amount of approximately $2.2 million under the CARES Act, we believe that we will have sufficient cash resources to finance our operations and expected capital expenditures for the next twelve months.</w:t>
      </w:r>
    </w:p>
    <w:p>
      <w:pPr>
        <w:spacing w:after="0" w:line="19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further believe that our financial resources, including the CARES Act loan, will allow us to manage the impact of Covid-19 on the Company's business operations for the foreseeable future. However, subject to revenue growth, our ability to generate positive cash flow, and the potential impact of Covid-19,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did not have any off-balance sheet arrangements, as defined in Item 303(a)(4)(ii) of Regulation 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include information required by this item.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March 31, 2020.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96" w:lineRule="exact"/>
        <w:rPr>
          <w:sz w:val="20"/>
          <w:szCs w:val="20"/>
          <w:color w:val="auto"/>
        </w:rPr>
      </w:pPr>
    </w:p>
    <w:p>
      <w:pPr>
        <w:ind w:right="420"/>
        <w:spacing w:after="0" w:line="329"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March 31,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4"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fiscal quarter ended March 31, 2020 that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22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PART II - 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ASC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7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during the first quarter of 2020 to the risk factors identified in the Company’s 2019 Form 10-K, except as noted below.</w:t>
      </w:r>
    </w:p>
    <w:p>
      <w:pPr>
        <w:spacing w:after="0" w:line="24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i w:val="1"/>
          <w:iCs w:val="1"/>
          <w:color w:val="auto"/>
        </w:rPr>
        <w:t>The current Covid-19 pandemic and the global attempt to contain it may adversely impact our business, our future results of operations and our overall financial performance.</w:t>
      </w:r>
    </w:p>
    <w:p>
      <w:pPr>
        <w:spacing w:after="0" w:line="17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global spread of Covid-19 and the various attempts to contain it have created significant volatility, uncertainty and economic disruption. In response to government mandates and health care advisories, we have altered certain aspects of our operations. Our workforce has had to spend a significant amount of time working from home, which may impact productivity, and we have curtailed all company travel to ensure the safety of our employees, customers, vendors, and shareholders. To the extent the resulting economic disruption is severe, we could see some vendors and customers negatively impacted.</w:t>
      </w:r>
    </w:p>
    <w:p>
      <w:pPr>
        <w:spacing w:after="0" w:line="16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full extent to which the Covid-19 pandemic and the various responses to it impacts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the availability and cost to access the capital markets; the effect on our customers and customer demand for and ability to pay for our services; and disruptions or restrictions on our employees’ ability to work and travel. In addition, any preventative or protective actions that governments implement or that we take in respect of Covid-19, such as travel restrictions or stay-at-home orders, may interfere with the ability of our employees and vendors to perform their respective responsibilities and obligations relative to the conduct of our business. Such results could have a material adverse effect on our operations, business, financial condition, results of operations, or cash flows.</w:t>
      </w:r>
    </w:p>
    <w:p>
      <w:pPr>
        <w:spacing w:after="0" w:line="167"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We are closely monitoring the impact of the Covid-19 pandemic, continually assessing its potential effects on our business. The extent to which our results are affected by Covid-19 will largely depend on future developments which cannot be accurately predicted and are uncertain, but the Covid-19 pandemic or the perception of its effects could have a material adverse effect on our business, financial condition, results of operations, or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44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Our CARES Act Loan may be subject to regulatory review resulting from unclear subjective and objective eligibility requirements for the loan.</w:t>
      </w:r>
    </w:p>
    <w:p>
      <w:pPr>
        <w:spacing w:after="0" w:line="24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On May 5, 2020, we received funding of $2,152,000 under the CARES Act Loan. The Loan application required us to certify, among other things, that the current economic uncertainty made the Loan request necessary to support our ongoing operations. While we made this certification in good faith after analyzing, among other things, our financial situation and access to alternative forms of capital, and believe that we satisfied all eligibility criteria for the Loan, the certification described above does not contain any objective criteria and is subject to interpretation. If, despite our good faith belief that we satisfied all eligibility requirements for the Loan, we are found to have been ineligible to receive the Loan or in violation of any of the laws or governmental regulations that apply to us in connection with the Loan, we may be subject to penalties, including significant civil, criminal and administrative penalties and could be required to repay the Loan. In the event that we seek forgiveness of all or a portion of the Loan, we will also be required to make certain certifications which will be subject to audit and review by governmental entities and could subject us to significant penalties and liabilities if found to be inaccurate. In addition, our receipt of the Loan may result in adverse publicity and damage to our reputation, and a review or audit by a government entity could consume significant financial and management resources. Any of these events could harm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5, 2020, the Company received funding under a promissory note dated May 5, 2020 (the “Promissory Note”) evidencing an unsecured non-recourse loan in the principal amount of $2,152,000 under the CARES Act (the “Loan”). The Loan to the Company is being made through Legacy Bank of Florida (the “Lender”).</w:t>
      </w:r>
    </w:p>
    <w:p>
      <w:pPr>
        <w:spacing w:after="0" w:line="18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Loan has a two-year term and matures on May 5, 2022. The interest rate on the Loan is 1.00% per annum. Payments shall be deferred for the first six months of the term of the Loan. The U.S. Small Business Administration has the right to extend the deferment period. The Promissory Note contains customary events of default relating to, among other things, payment defaults, and breach of representations and warranties, or other provisions of the Promissory Note.</w:t>
      </w:r>
    </w:p>
    <w:p>
      <w:pPr>
        <w:spacing w:after="0" w:line="19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Loan may be forgiven partially or fully if the Loan proceeds are used for covered payroll costs, rent and utility costs incurred during the eight-week period that commenced on the date of funding, and at least 75% of the Loan proceeds are used for covered payroll costs. Any forgiveness of the Loan will be subject to approval by the U.S. Small Business Administration and the Lender. The Company will be required to apply for such forgiveness. Although the Company intends to use the proceeds of the Loan for such covered purposes, it can provide no assurance that the Company will obtain forgiveness of the Loan in whole or in part.</w:t>
      </w:r>
    </w:p>
    <w:p>
      <w:pPr>
        <w:spacing w:after="0" w:line="19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The foregoing description of the Promissory Note does not purport to be complete and is qualified in its entirety by reference to the full text of the Promissory Note attached to this Form 10-Q as Exhibit 10.1 and incorporated herein by reference.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Exhibits.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Incorporated by Reference</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2"/>
              </w:rPr>
              <w:t>Filed</w:t>
            </w:r>
          </w:p>
        </w:tc>
        <w:tc>
          <w:tcPr>
            <w:tcW w:w="0" w:type="dxa"/>
            <w:vAlign w:val="bottom"/>
          </w:tcPr>
          <w:p>
            <w:pPr>
              <w:spacing w:after="0"/>
              <w:rPr>
                <w:sz w:val="1"/>
                <w:szCs w:val="1"/>
                <w:color w:val="auto"/>
              </w:rPr>
            </w:pPr>
          </w:p>
        </w:tc>
      </w:tr>
      <w:tr>
        <w:trPr>
          <w:trHeight w:val="140"/>
        </w:trPr>
        <w:tc>
          <w:tcPr>
            <w:tcW w:w="110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120" w:type="dxa"/>
            <w:vAlign w:val="bottom"/>
          </w:tcPr>
          <w:p>
            <w:pPr>
              <w:spacing w:after="0"/>
              <w:rPr>
                <w:sz w:val="12"/>
                <w:szCs w:val="12"/>
                <w:color w:val="auto"/>
              </w:rPr>
            </w:pPr>
          </w:p>
        </w:tc>
        <w:tc>
          <w:tcPr>
            <w:tcW w:w="4460" w:type="dxa"/>
            <w:vAlign w:val="bottom"/>
            <w:gridSpan w:val="12"/>
          </w:tcPr>
          <w:p>
            <w:pPr>
              <w:spacing w:after="0"/>
              <w:rPr>
                <w:sz w:val="20"/>
                <w:szCs w:val="20"/>
                <w:color w:val="auto"/>
              </w:rPr>
            </w:pPr>
            <w:r>
              <w:rPr>
                <w:rFonts w:ascii="Arial" w:cs="Arial" w:eastAsia="Arial" w:hAnsi="Arial"/>
                <w:sz w:val="12"/>
                <w:szCs w:val="12"/>
                <w:b w:val="1"/>
                <w:bCs w:val="1"/>
                <w:color w:val="auto"/>
              </w:rPr>
              <w:t>Exhibit Description</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Form</w:t>
            </w:r>
          </w:p>
        </w:tc>
        <w:tc>
          <w:tcPr>
            <w:tcW w:w="480" w:type="dxa"/>
            <w:vAlign w:val="bottom"/>
          </w:tcPr>
          <w:p>
            <w:pPr>
              <w:spacing w:after="0"/>
              <w:rPr>
                <w:sz w:val="20"/>
                <w:szCs w:val="20"/>
                <w:color w:val="auto"/>
              </w:rPr>
            </w:pPr>
            <w:r>
              <w:rPr>
                <w:rFonts w:ascii="Arial" w:cs="Arial" w:eastAsia="Arial" w:hAnsi="Arial"/>
                <w:sz w:val="12"/>
                <w:szCs w:val="12"/>
                <w:b w:val="1"/>
                <w:bCs w:val="1"/>
                <w:color w:val="auto"/>
              </w:rPr>
              <w:t>File No.</w:t>
            </w:r>
          </w:p>
        </w:tc>
        <w:tc>
          <w:tcPr>
            <w:tcW w:w="560" w:type="dxa"/>
            <w:vAlign w:val="bottom"/>
          </w:tcPr>
          <w:p>
            <w:pPr>
              <w:spacing w:after="0"/>
              <w:rPr>
                <w:sz w:val="12"/>
                <w:szCs w:val="12"/>
                <w:color w:val="auto"/>
              </w:rPr>
            </w:pP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Exhibit</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rPr>
              <w:t>Filing Date</w:t>
            </w: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8"/>
              </w:rPr>
              <w:t>Herewith</w:t>
            </w:r>
          </w:p>
        </w:tc>
        <w:tc>
          <w:tcPr>
            <w:tcW w:w="0" w:type="dxa"/>
            <w:vAlign w:val="bottom"/>
          </w:tcPr>
          <w:p>
            <w:pPr>
              <w:spacing w:after="0"/>
              <w:rPr>
                <w:sz w:val="1"/>
                <w:szCs w:val="1"/>
                <w:color w:val="auto"/>
              </w:rPr>
            </w:pPr>
          </w:p>
        </w:tc>
      </w:tr>
      <w:tr>
        <w:trPr>
          <w:trHeight w:val="140"/>
        </w:trPr>
        <w:tc>
          <w:tcPr>
            <w:tcW w:w="1100" w:type="dxa"/>
            <w:vAlign w:val="bottom"/>
            <w:tcBorders>
              <w:top w:val="single" w:sz="8" w:color="auto"/>
            </w:tcBorders>
          </w:tcPr>
          <w:p>
            <w:pPr>
              <w:spacing w:after="0" w:line="140" w:lineRule="exact"/>
              <w:rPr>
                <w:sz w:val="20"/>
                <w:szCs w:val="20"/>
                <w:color w:val="auto"/>
              </w:rPr>
            </w:pPr>
            <w:r>
              <w:rPr>
                <w:rFonts w:ascii="Arial" w:cs="Arial" w:eastAsia="Arial" w:hAnsi="Arial"/>
                <w:sz w:val="14"/>
                <w:szCs w:val="14"/>
                <w:color w:val="auto"/>
              </w:rPr>
              <w:t>10.1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Borders>
              <w:top w:val="single" w:sz="8" w:color="auto"/>
            </w:tcBorders>
            <w:gridSpan w:val="10"/>
          </w:tcPr>
          <w:p>
            <w:pPr>
              <w:spacing w:after="0" w:line="140" w:lineRule="exact"/>
              <w:rPr>
                <w:rFonts w:ascii="Arial" w:cs="Arial" w:eastAsia="Arial" w:hAnsi="Arial"/>
                <w:sz w:val="14"/>
                <w:szCs w:val="14"/>
                <w:color w:val="0000EE"/>
                <w:w w:val="94"/>
              </w:rPr>
            </w:pPr>
            <w:hyperlink w:anchor="page25">
              <w:r>
                <w:rPr>
                  <w:rFonts w:ascii="Arial" w:cs="Arial" w:eastAsia="Arial" w:hAnsi="Arial"/>
                  <w:sz w:val="14"/>
                  <w:szCs w:val="14"/>
                  <w:color w:val="0000EE"/>
                  <w:w w:val="94"/>
                </w:rPr>
                <w:t>Promissory Note dated May 5, 2020, by and between Red Violet, Inc. and</w:t>
              </w:r>
            </w:hyperlink>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110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0"/>
                <w:szCs w:val="10"/>
                <w:color w:val="auto"/>
              </w:rPr>
            </w:pPr>
          </w:p>
        </w:tc>
        <w:tc>
          <w:tcPr>
            <w:tcW w:w="4200" w:type="dxa"/>
            <w:vAlign w:val="bottom"/>
            <w:tcBorders>
              <w:top w:val="single" w:sz="8" w:color="0000EE"/>
            </w:tcBorders>
            <w:gridSpan w:val="9"/>
          </w:tcPr>
          <w:p>
            <w:pPr>
              <w:spacing w:after="0" w:line="127" w:lineRule="exact"/>
              <w:rPr>
                <w:rFonts w:ascii="Arial" w:cs="Arial" w:eastAsia="Arial" w:hAnsi="Arial"/>
                <w:sz w:val="14"/>
                <w:szCs w:val="14"/>
                <w:color w:val="0000EE"/>
              </w:rPr>
            </w:pPr>
            <w:hyperlink w:anchor="page25">
              <w:r>
                <w:rPr>
                  <w:rFonts w:ascii="Arial" w:cs="Arial" w:eastAsia="Arial" w:hAnsi="Arial"/>
                  <w:sz w:val="14"/>
                  <w:szCs w:val="14"/>
                  <w:color w:val="0000EE"/>
                </w:rPr>
                <w:t>Legacy Bank of Florida</w:t>
              </w:r>
              <w:r>
                <w:rPr>
                  <w:rFonts w:ascii="Arial" w:cs="Arial" w:eastAsia="Arial" w:hAnsi="Arial"/>
                  <w:sz w:val="14"/>
                  <w:szCs w:val="14"/>
                  <w:color w:val="000000"/>
                </w:rPr>
                <w:t>.</w:t>
              </w:r>
            </w:hyperlink>
          </w:p>
        </w:tc>
        <w:tc>
          <w:tcPr>
            <w:tcW w:w="60" w:type="dxa"/>
            <w:vAlign w:val="bottom"/>
          </w:tcPr>
          <w:p>
            <w:pPr>
              <w:spacing w:after="0"/>
              <w:rPr>
                <w:sz w:val="10"/>
                <w:szCs w:val="10"/>
                <w:color w:val="auto"/>
              </w:rPr>
            </w:pPr>
          </w:p>
        </w:tc>
        <w:tc>
          <w:tcPr>
            <w:tcW w:w="200" w:type="dxa"/>
            <w:vAlign w:val="bottom"/>
            <w:gridSpan w:val="2"/>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0"/>
        </w:trPr>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top w:val="single" w:sz="8" w:color="0000EE"/>
              <w:bottom w:val="single" w:sz="8" w:color="0000EE"/>
            </w:tcBorders>
            <w:gridSpan w:val="3"/>
          </w:tcPr>
          <w:p>
            <w:pPr>
              <w:spacing w:after="0" w:line="140" w:lineRule="exact"/>
              <w:rPr>
                <w:rFonts w:ascii="Arial" w:cs="Arial" w:eastAsia="Arial" w:hAnsi="Arial"/>
                <w:sz w:val="14"/>
                <w:szCs w:val="14"/>
                <w:color w:val="0000EE"/>
              </w:rPr>
            </w:pPr>
            <w:hyperlink w:anchor="page31">
              <w:r>
                <w:rPr>
                  <w:rFonts w:ascii="Arial" w:cs="Arial" w:eastAsia="Arial" w:hAnsi="Arial"/>
                  <w:sz w:val="14"/>
                  <w:szCs w:val="14"/>
                  <w:color w:val="0000EE"/>
                </w:rPr>
                <w:t>Certification of Chief</w:t>
              </w:r>
            </w:hyperlink>
          </w:p>
        </w:tc>
        <w:tc>
          <w:tcPr>
            <w:tcW w:w="2720" w:type="dxa"/>
            <w:vAlign w:val="bottom"/>
            <w:tcBorders>
              <w:bottom w:val="single" w:sz="8" w:color="0000EE"/>
            </w:tcBorders>
            <w:gridSpan w:val="5"/>
          </w:tcPr>
          <w:p>
            <w:pPr>
              <w:spacing w:after="0" w:line="140" w:lineRule="exact"/>
              <w:rPr>
                <w:rFonts w:ascii="Arial" w:cs="Arial" w:eastAsia="Arial" w:hAnsi="Arial"/>
                <w:sz w:val="14"/>
                <w:szCs w:val="14"/>
                <w:color w:val="0000EE"/>
                <w:w w:val="90"/>
              </w:rPr>
            </w:pPr>
            <w:hyperlink w:anchor="page31">
              <w:r>
                <w:rPr>
                  <w:rFonts w:ascii="Arial" w:cs="Arial" w:eastAsia="Arial" w:hAnsi="Arial"/>
                  <w:sz w:val="14"/>
                  <w:szCs w:val="14"/>
                  <w:color w:val="0000EE"/>
                  <w:w w:val="90"/>
                </w:rPr>
                <w:t>Executive Officer filed pursuant to Exchange Act</w:t>
              </w:r>
            </w:hyperlink>
          </w:p>
        </w:tc>
        <w:tc>
          <w:tcPr>
            <w:tcW w:w="380" w:type="dxa"/>
            <w:vAlign w:val="bottom"/>
            <w:gridSpan w:val="4"/>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60" w:type="dxa"/>
            <w:vAlign w:val="bottom"/>
            <w:gridSpan w:val="12"/>
          </w:tcPr>
          <w:p>
            <w:pPr>
              <w:spacing w:after="0" w:line="127" w:lineRule="exact"/>
              <w:rPr>
                <w:rFonts w:ascii="Arial" w:cs="Arial" w:eastAsia="Arial" w:hAnsi="Arial"/>
                <w:sz w:val="14"/>
                <w:szCs w:val="14"/>
                <w:color w:val="0000EE"/>
                <w:w w:val="95"/>
              </w:rPr>
            </w:pPr>
            <w:hyperlink w:anchor="page31">
              <w:r>
                <w:rPr>
                  <w:rFonts w:ascii="Arial" w:cs="Arial" w:eastAsia="Arial" w:hAnsi="Arial"/>
                  <w:sz w:val="14"/>
                  <w:szCs w:val="14"/>
                  <w:color w:val="0000EE"/>
                  <w:w w:val="95"/>
                </w:rPr>
                <w:t>Rules 13a-14(a) and 15d-14(a) of the Securities and Exchange Act of 1934</w:t>
              </w:r>
            </w:hyperlink>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60" w:type="dxa"/>
            <w:vAlign w:val="bottom"/>
            <w:tcBorders>
              <w:top w:val="single" w:sz="8" w:color="0000EE"/>
            </w:tcBorders>
            <w:gridSpan w:val="10"/>
          </w:tcPr>
          <w:p>
            <w:pPr>
              <w:spacing w:after="0" w:line="135" w:lineRule="exact"/>
              <w:rPr>
                <w:rFonts w:ascii="Arial" w:cs="Arial" w:eastAsia="Arial" w:hAnsi="Arial"/>
                <w:sz w:val="14"/>
                <w:szCs w:val="14"/>
                <w:u w:val="single" w:color="auto"/>
                <w:color w:val="0000EE"/>
                <w:w w:val="95"/>
              </w:rPr>
            </w:pPr>
            <w:hyperlink w:anchor="page31">
              <w:r>
                <w:rPr>
                  <w:rFonts w:ascii="Arial" w:cs="Arial" w:eastAsia="Arial" w:hAnsi="Arial"/>
                  <w:sz w:val="14"/>
                  <w:szCs w:val="14"/>
                  <w:u w:val="single" w:color="auto"/>
                  <w:color w:val="0000EE"/>
                  <w:w w:val="95"/>
                </w:rPr>
                <w:t>as adopted pursuant to Section 302 of the Sarbanes-Oxley Act of 2002</w:t>
              </w:r>
              <w:r>
                <w:rPr>
                  <w:rFonts w:ascii="Arial" w:cs="Arial" w:eastAsia="Arial" w:hAnsi="Arial"/>
                  <w:sz w:val="14"/>
                  <w:szCs w:val="14"/>
                  <w:u w:val="single" w:color="auto"/>
                  <w:color w:val="000000"/>
                  <w:w w:val="95"/>
                </w:rPr>
                <w:t>.</w:t>
              </w:r>
            </w:hyperlink>
          </w:p>
        </w:tc>
        <w:tc>
          <w:tcPr>
            <w:tcW w:w="20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line="151" w:lineRule="exact"/>
              <w:rPr>
                <w:sz w:val="20"/>
                <w:szCs w:val="20"/>
                <w:color w:val="auto"/>
              </w:rPr>
            </w:pPr>
            <w:r>
              <w:rPr>
                <w:rFonts w:ascii="Arial" w:cs="Arial" w:eastAsia="Arial" w:hAnsi="Arial"/>
                <w:sz w:val="14"/>
                <w:szCs w:val="14"/>
                <w:color w:val="auto"/>
              </w:rPr>
              <w:t>31.2</w:t>
            </w:r>
          </w:p>
        </w:tc>
        <w:tc>
          <w:tcPr>
            <w:tcW w:w="120" w:type="dxa"/>
            <w:vAlign w:val="bottom"/>
          </w:tcPr>
          <w:p>
            <w:pPr>
              <w:spacing w:after="0"/>
              <w:rPr>
                <w:sz w:val="13"/>
                <w:szCs w:val="13"/>
                <w:color w:val="auto"/>
              </w:rPr>
            </w:pPr>
          </w:p>
        </w:tc>
        <w:tc>
          <w:tcPr>
            <w:tcW w:w="4460" w:type="dxa"/>
            <w:vAlign w:val="bottom"/>
            <w:gridSpan w:val="12"/>
          </w:tcPr>
          <w:p>
            <w:pPr>
              <w:spacing w:after="0" w:line="151" w:lineRule="exact"/>
              <w:rPr>
                <w:rFonts w:ascii="Arial" w:cs="Arial" w:eastAsia="Arial" w:hAnsi="Arial"/>
                <w:sz w:val="14"/>
                <w:szCs w:val="14"/>
                <w:color w:val="0000EE"/>
              </w:rPr>
            </w:pPr>
            <w:hyperlink w:anchor="page32">
              <w:r>
                <w:rPr>
                  <w:rFonts w:ascii="Arial" w:cs="Arial" w:eastAsia="Arial" w:hAnsi="Arial"/>
                  <w:sz w:val="14"/>
                  <w:szCs w:val="14"/>
                  <w:color w:val="0000EE"/>
                </w:rPr>
                <w:t>Certification of Chief Financial Officer filed pursuant to Exchange Act</w:t>
              </w:r>
            </w:hyperlink>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line="151"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40" w:type="dxa"/>
            <w:vAlign w:val="bottom"/>
            <w:tcBorders>
              <w:top w:val="single" w:sz="8" w:color="0000EE"/>
            </w:tcBorders>
            <w:gridSpan w:val="6"/>
          </w:tcPr>
          <w:p>
            <w:pPr>
              <w:spacing w:after="0" w:line="127" w:lineRule="exact"/>
              <w:rPr>
                <w:rFonts w:ascii="Arial" w:cs="Arial" w:eastAsia="Arial" w:hAnsi="Arial"/>
                <w:sz w:val="14"/>
                <w:szCs w:val="14"/>
                <w:color w:val="0000EE"/>
                <w:w w:val="93"/>
              </w:rPr>
            </w:pPr>
            <w:hyperlink w:anchor="page32">
              <w:r>
                <w:rPr>
                  <w:rFonts w:ascii="Arial" w:cs="Arial" w:eastAsia="Arial" w:hAnsi="Arial"/>
                  <w:sz w:val="14"/>
                  <w:szCs w:val="14"/>
                  <w:color w:val="0000EE"/>
                  <w:w w:val="93"/>
                </w:rPr>
                <w:t>Rules 13a-14(a) and 15d-14(a) of the Securities and Exchange Act of</w:t>
              </w:r>
            </w:hyperlink>
          </w:p>
        </w:tc>
        <w:tc>
          <w:tcPr>
            <w:tcW w:w="420" w:type="dxa"/>
            <w:vAlign w:val="bottom"/>
            <w:gridSpan w:val="6"/>
          </w:tcPr>
          <w:p>
            <w:pPr>
              <w:jc w:val="right"/>
              <w:ind w:right="200"/>
              <w:spacing w:after="0" w:line="126" w:lineRule="exact"/>
              <w:rPr>
                <w:rFonts w:ascii="Arial" w:cs="Arial" w:eastAsia="Arial" w:hAnsi="Arial"/>
                <w:sz w:val="12"/>
                <w:szCs w:val="12"/>
                <w:color w:val="0000EE"/>
                <w:w w:val="74"/>
              </w:rPr>
            </w:pPr>
            <w:hyperlink w:anchor="page32">
              <w:r>
                <w:rPr>
                  <w:rFonts w:ascii="Arial" w:cs="Arial" w:eastAsia="Arial" w:hAnsi="Arial"/>
                  <w:sz w:val="12"/>
                  <w:szCs w:val="12"/>
                  <w:color w:val="0000EE"/>
                  <w:w w:val="74"/>
                </w:rPr>
                <w:t>1934</w:t>
              </w:r>
            </w:hyperlink>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60" w:type="dxa"/>
            <w:vAlign w:val="bottom"/>
            <w:tcBorders>
              <w:top w:val="single" w:sz="8" w:color="0000EE"/>
            </w:tcBorders>
            <w:gridSpan w:val="10"/>
          </w:tcPr>
          <w:p>
            <w:pPr>
              <w:spacing w:after="0" w:line="135" w:lineRule="exact"/>
              <w:rPr>
                <w:rFonts w:ascii="Arial" w:cs="Arial" w:eastAsia="Arial" w:hAnsi="Arial"/>
                <w:sz w:val="14"/>
                <w:szCs w:val="14"/>
                <w:u w:val="single" w:color="auto"/>
                <w:color w:val="0000EE"/>
                <w:w w:val="95"/>
              </w:rPr>
            </w:pPr>
            <w:hyperlink w:anchor="page32">
              <w:r>
                <w:rPr>
                  <w:rFonts w:ascii="Arial" w:cs="Arial" w:eastAsia="Arial" w:hAnsi="Arial"/>
                  <w:sz w:val="14"/>
                  <w:szCs w:val="14"/>
                  <w:u w:val="single" w:color="auto"/>
                  <w:color w:val="0000EE"/>
                  <w:w w:val="95"/>
                </w:rPr>
                <w:t>as adopted pursuant to Section 302 of the Sarbanes-Oxley Act of 2002</w:t>
              </w:r>
              <w:r>
                <w:rPr>
                  <w:rFonts w:ascii="Arial" w:cs="Arial" w:eastAsia="Arial" w:hAnsi="Arial"/>
                  <w:sz w:val="14"/>
                  <w:szCs w:val="14"/>
                  <w:u w:val="single" w:color="auto"/>
                  <w:color w:val="000000"/>
                  <w:w w:val="95"/>
                </w:rPr>
                <w:t>.</w:t>
              </w:r>
            </w:hyperlink>
          </w:p>
        </w:tc>
        <w:tc>
          <w:tcPr>
            <w:tcW w:w="20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line="151" w:lineRule="exact"/>
              <w:rPr>
                <w:sz w:val="20"/>
                <w:szCs w:val="20"/>
                <w:color w:val="auto"/>
              </w:rPr>
            </w:pPr>
            <w:r>
              <w:rPr>
                <w:rFonts w:ascii="Arial" w:cs="Arial" w:eastAsia="Arial" w:hAnsi="Arial"/>
                <w:sz w:val="14"/>
                <w:szCs w:val="14"/>
                <w:color w:val="auto"/>
              </w:rPr>
              <w:t>32.1*</w:t>
            </w:r>
          </w:p>
        </w:tc>
        <w:tc>
          <w:tcPr>
            <w:tcW w:w="120" w:type="dxa"/>
            <w:vAlign w:val="bottom"/>
          </w:tcPr>
          <w:p>
            <w:pPr>
              <w:spacing w:after="0"/>
              <w:rPr>
                <w:sz w:val="13"/>
                <w:szCs w:val="13"/>
                <w:color w:val="auto"/>
              </w:rPr>
            </w:pPr>
          </w:p>
        </w:tc>
        <w:tc>
          <w:tcPr>
            <w:tcW w:w="4460" w:type="dxa"/>
            <w:vAlign w:val="bottom"/>
            <w:gridSpan w:val="12"/>
          </w:tcPr>
          <w:p>
            <w:pPr>
              <w:spacing w:after="0" w:line="151" w:lineRule="exact"/>
              <w:rPr>
                <w:rFonts w:ascii="Arial" w:cs="Arial" w:eastAsia="Arial" w:hAnsi="Arial"/>
                <w:sz w:val="14"/>
                <w:szCs w:val="14"/>
                <w:color w:val="0000EE"/>
              </w:rPr>
            </w:pPr>
            <w:hyperlink w:anchor="page33">
              <w:r>
                <w:rPr>
                  <w:rFonts w:ascii="Arial" w:cs="Arial" w:eastAsia="Arial" w:hAnsi="Arial"/>
                  <w:sz w:val="14"/>
                  <w:szCs w:val="14"/>
                  <w:color w:val="0000EE"/>
                </w:rPr>
                <w:t>Certification by Chief Executive Officer pursuant to 18 U.S.C. Section</w:t>
              </w:r>
            </w:hyperlink>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line="151"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20" w:type="dxa"/>
            <w:vAlign w:val="bottom"/>
            <w:tcBorders>
              <w:top w:val="single" w:sz="8" w:color="0000EE"/>
              <w:bottom w:val="single" w:sz="8" w:color="0000EE"/>
            </w:tcBorders>
            <w:gridSpan w:val="5"/>
          </w:tcPr>
          <w:p>
            <w:pPr>
              <w:spacing w:after="0" w:line="127" w:lineRule="exact"/>
              <w:rPr>
                <w:rFonts w:ascii="Arial" w:cs="Arial" w:eastAsia="Arial" w:hAnsi="Arial"/>
                <w:sz w:val="14"/>
                <w:szCs w:val="14"/>
                <w:color w:val="0000EE"/>
                <w:w w:val="90"/>
              </w:rPr>
            </w:pPr>
            <w:hyperlink w:anchor="page33">
              <w:r>
                <w:rPr>
                  <w:rFonts w:ascii="Arial" w:cs="Arial" w:eastAsia="Arial" w:hAnsi="Arial"/>
                  <w:sz w:val="14"/>
                  <w:szCs w:val="14"/>
                  <w:color w:val="0000EE"/>
                  <w:w w:val="90"/>
                </w:rPr>
                <w:t>1350, as adopted pursuant to Section 906 of the Sarbanes-Oxley Act of</w:t>
              </w:r>
            </w:hyperlink>
          </w:p>
        </w:tc>
        <w:tc>
          <w:tcPr>
            <w:tcW w:w="40" w:type="dxa"/>
            <w:vAlign w:val="bottom"/>
            <w:tcBorders>
              <w:bottom w:val="single" w:sz="8" w:color="0000EE"/>
            </w:tcBorders>
            <w:gridSpan w:val="2"/>
          </w:tcPr>
          <w:p>
            <w:pPr>
              <w:spacing w:after="0"/>
              <w:rPr>
                <w:sz w:val="10"/>
                <w:szCs w:val="10"/>
                <w:color w:val="auto"/>
              </w:rPr>
            </w:pPr>
          </w:p>
        </w:tc>
        <w:tc>
          <w:tcPr>
            <w:tcW w:w="400" w:type="dxa"/>
            <w:vAlign w:val="bottom"/>
            <w:gridSpan w:val="5"/>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00" w:type="dxa"/>
            <w:vAlign w:val="bottom"/>
            <w:vMerge w:val="restart"/>
          </w:tcPr>
          <w:p>
            <w:pPr>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0"/>
                <w:szCs w:val="10"/>
                <w:color w:val="auto"/>
              </w:rPr>
            </w:pPr>
          </w:p>
        </w:tc>
        <w:tc>
          <w:tcPr>
            <w:tcW w:w="1360" w:type="dxa"/>
            <w:vAlign w:val="bottom"/>
            <w:gridSpan w:val="3"/>
          </w:tcPr>
          <w:p>
            <w:pPr>
              <w:spacing w:after="0" w:line="127" w:lineRule="exact"/>
              <w:rPr>
                <w:rFonts w:ascii="Arial" w:cs="Arial" w:eastAsia="Arial" w:hAnsi="Arial"/>
                <w:sz w:val="14"/>
                <w:szCs w:val="14"/>
                <w:color w:val="0000EE"/>
              </w:rPr>
            </w:pPr>
            <w:hyperlink w:anchor="page33">
              <w:r>
                <w:rPr>
                  <w:rFonts w:ascii="Arial" w:cs="Arial" w:eastAsia="Arial" w:hAnsi="Arial"/>
                  <w:sz w:val="14"/>
                  <w:szCs w:val="14"/>
                  <w:color w:val="0000EE"/>
                </w:rPr>
                <w:t>2002</w:t>
              </w:r>
              <w:r>
                <w:rPr>
                  <w:rFonts w:ascii="Arial" w:cs="Arial" w:eastAsia="Arial" w:hAnsi="Arial"/>
                  <w:sz w:val="14"/>
                  <w:szCs w:val="14"/>
                  <w:color w:val="000000"/>
                </w:rPr>
                <w:t>.</w:t>
              </w:r>
            </w:hyperlink>
          </w:p>
        </w:tc>
        <w:tc>
          <w:tcPr>
            <w:tcW w:w="2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11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60" w:type="dxa"/>
            <w:vAlign w:val="bottom"/>
            <w:gridSpan w:val="12"/>
          </w:tcPr>
          <w:p>
            <w:pPr>
              <w:spacing w:after="0" w:line="140" w:lineRule="exact"/>
              <w:rPr>
                <w:rFonts w:ascii="Arial" w:cs="Arial" w:eastAsia="Arial" w:hAnsi="Arial"/>
                <w:sz w:val="14"/>
                <w:szCs w:val="14"/>
                <w:color w:val="0000EE"/>
              </w:rPr>
            </w:pPr>
            <w:hyperlink w:anchor="page34">
              <w:r>
                <w:rPr>
                  <w:rFonts w:ascii="Arial" w:cs="Arial" w:eastAsia="Arial" w:hAnsi="Arial"/>
                  <w:sz w:val="14"/>
                  <w:szCs w:val="14"/>
                  <w:color w:val="0000EE"/>
                </w:rPr>
                <w:t>Certification by Chief Financial Officer pursuant to 18 U.S.C. Section</w:t>
              </w:r>
            </w:hyperlink>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gridSpan w:val="4"/>
            <w:shd w:val="clear" w:color="auto" w:fill="0000EE"/>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60" w:type="dxa"/>
            <w:vAlign w:val="bottom"/>
            <w:gridSpan w:val="12"/>
          </w:tcPr>
          <w:p>
            <w:pPr>
              <w:spacing w:after="0" w:line="127" w:lineRule="exact"/>
              <w:rPr>
                <w:rFonts w:ascii="Arial" w:cs="Arial" w:eastAsia="Arial" w:hAnsi="Arial"/>
                <w:sz w:val="14"/>
                <w:szCs w:val="14"/>
                <w:color w:val="0000EE"/>
              </w:rPr>
            </w:pPr>
            <w:hyperlink w:anchor="page34">
              <w:r>
                <w:rPr>
                  <w:rFonts w:ascii="Arial" w:cs="Arial" w:eastAsia="Arial" w:hAnsi="Arial"/>
                  <w:sz w:val="14"/>
                  <w:szCs w:val="14"/>
                  <w:color w:val="0000EE"/>
                </w:rPr>
                <w:t>1350, as adopted pursuant to Section 906 of the Sarbanes-Oxley Act of</w:t>
              </w:r>
            </w:hyperlink>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00" w:type="dxa"/>
            <w:vAlign w:val="bottom"/>
            <w:vMerge w:val="restart"/>
          </w:tcPr>
          <w:p>
            <w:pPr>
              <w:spacing w:after="0"/>
              <w:rPr>
                <w:sz w:val="20"/>
                <w:szCs w:val="20"/>
                <w:color w:val="auto"/>
              </w:rPr>
            </w:pPr>
            <w:r>
              <w:rPr>
                <w:rFonts w:ascii="Arial" w:cs="Arial" w:eastAsia="Arial" w:hAnsi="Arial"/>
                <w:sz w:val="14"/>
                <w:szCs w:val="14"/>
                <w:color w:val="auto"/>
              </w:rPr>
              <w:t>101.INS</w:t>
            </w:r>
          </w:p>
        </w:tc>
        <w:tc>
          <w:tcPr>
            <w:tcW w:w="120" w:type="dxa"/>
            <w:vAlign w:val="bottom"/>
          </w:tcPr>
          <w:p>
            <w:pPr>
              <w:spacing w:after="0"/>
              <w:rPr>
                <w:sz w:val="10"/>
                <w:szCs w:val="10"/>
                <w:color w:val="auto"/>
              </w:rPr>
            </w:pPr>
          </w:p>
        </w:tc>
        <w:tc>
          <w:tcPr>
            <w:tcW w:w="1360" w:type="dxa"/>
            <w:vAlign w:val="bottom"/>
            <w:tcBorders>
              <w:top w:val="single" w:sz="8" w:color="0000EE"/>
            </w:tcBorders>
            <w:gridSpan w:val="3"/>
          </w:tcPr>
          <w:p>
            <w:pPr>
              <w:spacing w:after="0" w:line="127" w:lineRule="exact"/>
              <w:rPr>
                <w:rFonts w:ascii="Arial" w:cs="Arial" w:eastAsia="Arial" w:hAnsi="Arial"/>
                <w:sz w:val="14"/>
                <w:szCs w:val="14"/>
                <w:color w:val="0000EE"/>
              </w:rPr>
            </w:pPr>
            <w:hyperlink w:anchor="page34">
              <w:r>
                <w:rPr>
                  <w:rFonts w:ascii="Arial" w:cs="Arial" w:eastAsia="Arial" w:hAnsi="Arial"/>
                  <w:sz w:val="14"/>
                  <w:szCs w:val="14"/>
                  <w:color w:val="0000EE"/>
                </w:rPr>
                <w:t>2002</w:t>
              </w:r>
              <w:r>
                <w:rPr>
                  <w:rFonts w:ascii="Arial" w:cs="Arial" w:eastAsia="Arial" w:hAnsi="Arial"/>
                  <w:sz w:val="14"/>
                  <w:szCs w:val="14"/>
                  <w:color w:val="000000"/>
                </w:rPr>
                <w:t>.</w:t>
              </w:r>
            </w:hyperlink>
          </w:p>
        </w:tc>
        <w:tc>
          <w:tcPr>
            <w:tcW w:w="26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0000EE"/>
            </w:tcBorders>
            <w:gridSpan w:val="2"/>
          </w:tcPr>
          <w:p>
            <w:pPr>
              <w:spacing w:after="0" w:line="135" w:lineRule="exact"/>
              <w:rPr>
                <w:sz w:val="20"/>
                <w:szCs w:val="20"/>
                <w:color w:val="auto"/>
              </w:rPr>
            </w:pPr>
            <w:r>
              <w:rPr>
                <w:rFonts w:ascii="Arial" w:cs="Arial" w:eastAsia="Arial" w:hAnsi="Arial"/>
                <w:sz w:val="14"/>
                <w:szCs w:val="14"/>
                <w:color w:val="auto"/>
                <w:w w:val="83"/>
              </w:rPr>
              <w:t>Inline</w:t>
            </w:r>
          </w:p>
        </w:tc>
        <w:tc>
          <w:tcPr>
            <w:tcW w:w="4160" w:type="dxa"/>
            <w:vAlign w:val="bottom"/>
            <w:gridSpan w:val="10"/>
          </w:tcPr>
          <w:p>
            <w:pPr>
              <w:ind w:left="80"/>
              <w:spacing w:after="0" w:line="135" w:lineRule="exact"/>
              <w:rPr>
                <w:sz w:val="20"/>
                <w:szCs w:val="20"/>
                <w:color w:val="auto"/>
              </w:rPr>
            </w:pPr>
            <w:r>
              <w:rPr>
                <w:rFonts w:ascii="Arial" w:cs="Arial" w:eastAsia="Arial" w:hAnsi="Arial"/>
                <w:sz w:val="14"/>
                <w:szCs w:val="14"/>
                <w:color w:val="auto"/>
                <w:w w:val="96"/>
              </w:rPr>
              <w:t>XBRL Instance Document – the instance document does not appear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60" w:type="dxa"/>
            <w:vAlign w:val="bottom"/>
            <w:gridSpan w:val="12"/>
          </w:tcPr>
          <w:p>
            <w:pPr>
              <w:spacing w:after="0" w:line="147" w:lineRule="exact"/>
              <w:rPr>
                <w:sz w:val="20"/>
                <w:szCs w:val="20"/>
                <w:color w:val="auto"/>
              </w:rPr>
            </w:pPr>
            <w:r>
              <w:rPr>
                <w:rFonts w:ascii="Arial" w:cs="Arial" w:eastAsia="Arial" w:hAnsi="Arial"/>
                <w:sz w:val="14"/>
                <w:szCs w:val="14"/>
                <w:color w:val="auto"/>
                <w:w w:val="95"/>
              </w:rPr>
              <w:t>in the Interactive Data File because its XBRL tags are embedded within the</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60" w:type="dxa"/>
            <w:vAlign w:val="bottom"/>
            <w:gridSpan w:val="12"/>
          </w:tcPr>
          <w:p>
            <w:pPr>
              <w:spacing w:after="0" w:line="159" w:lineRule="exact"/>
              <w:rPr>
                <w:sz w:val="20"/>
                <w:szCs w:val="20"/>
                <w:color w:val="auto"/>
              </w:rPr>
            </w:pPr>
            <w:r>
              <w:rPr>
                <w:rFonts w:ascii="Arial" w:cs="Arial" w:eastAsia="Arial" w:hAnsi="Arial"/>
                <w:sz w:val="14"/>
                <w:szCs w:val="14"/>
                <w:color w:val="auto"/>
              </w:rPr>
              <w:t>Inline XBRL document.</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Pr>
          <w:p>
            <w:pPr>
              <w:spacing w:after="0" w:line="159" w:lineRule="exact"/>
              <w:rPr>
                <w:sz w:val="20"/>
                <w:szCs w:val="20"/>
                <w:color w:val="auto"/>
              </w:rPr>
            </w:pPr>
            <w:r>
              <w:rPr>
                <w:rFonts w:ascii="Arial" w:cs="Arial" w:eastAsia="Arial" w:hAnsi="Arial"/>
                <w:sz w:val="14"/>
                <w:szCs w:val="14"/>
                <w:color w:val="auto"/>
              </w:rPr>
              <w:t>101.SCH</w:t>
            </w:r>
          </w:p>
        </w:tc>
        <w:tc>
          <w:tcPr>
            <w:tcW w:w="120" w:type="dxa"/>
            <w:vAlign w:val="bottom"/>
          </w:tcPr>
          <w:p>
            <w:pPr>
              <w:spacing w:after="0"/>
              <w:rPr>
                <w:sz w:val="13"/>
                <w:szCs w:val="13"/>
                <w:color w:val="auto"/>
              </w:rPr>
            </w:pPr>
          </w:p>
        </w:tc>
        <w:tc>
          <w:tcPr>
            <w:tcW w:w="4460" w:type="dxa"/>
            <w:vAlign w:val="bottom"/>
            <w:gridSpan w:val="12"/>
          </w:tcPr>
          <w:p>
            <w:pPr>
              <w:spacing w:after="0" w:line="159" w:lineRule="exact"/>
              <w:rPr>
                <w:sz w:val="20"/>
                <w:szCs w:val="20"/>
                <w:color w:val="auto"/>
              </w:rPr>
            </w:pPr>
            <w:r>
              <w:rPr>
                <w:rFonts w:ascii="Arial" w:cs="Arial" w:eastAsia="Arial" w:hAnsi="Arial"/>
                <w:sz w:val="14"/>
                <w:szCs w:val="14"/>
                <w:color w:val="auto"/>
              </w:rPr>
              <w:t>Inline XBRL Taxonomy Extension Schema Document.</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0"/>
        </w:trPr>
        <w:tc>
          <w:tcPr>
            <w:tcW w:w="1100" w:type="dxa"/>
            <w:vAlign w:val="bottom"/>
          </w:tcPr>
          <w:p>
            <w:pPr>
              <w:spacing w:after="0" w:line="159" w:lineRule="exact"/>
              <w:rPr>
                <w:sz w:val="20"/>
                <w:szCs w:val="20"/>
                <w:color w:val="auto"/>
              </w:rPr>
            </w:pPr>
            <w:r>
              <w:rPr>
                <w:rFonts w:ascii="Arial" w:cs="Arial" w:eastAsia="Arial" w:hAnsi="Arial"/>
                <w:sz w:val="14"/>
                <w:szCs w:val="14"/>
                <w:color w:val="auto"/>
              </w:rPr>
              <w:t>101.CAL</w:t>
            </w:r>
          </w:p>
        </w:tc>
        <w:tc>
          <w:tcPr>
            <w:tcW w:w="120" w:type="dxa"/>
            <w:vAlign w:val="bottom"/>
          </w:tcPr>
          <w:p>
            <w:pPr>
              <w:spacing w:after="0"/>
              <w:rPr>
                <w:sz w:val="13"/>
                <w:szCs w:val="13"/>
                <w:color w:val="auto"/>
              </w:rPr>
            </w:pPr>
          </w:p>
        </w:tc>
        <w:tc>
          <w:tcPr>
            <w:tcW w:w="4460" w:type="dxa"/>
            <w:vAlign w:val="bottom"/>
            <w:gridSpan w:val="12"/>
          </w:tcPr>
          <w:p>
            <w:pPr>
              <w:spacing w:after="0" w:line="159" w:lineRule="exact"/>
              <w:rPr>
                <w:sz w:val="20"/>
                <w:szCs w:val="20"/>
                <w:color w:val="auto"/>
              </w:rPr>
            </w:pPr>
            <w:r>
              <w:rPr>
                <w:rFonts w:ascii="Arial" w:cs="Arial" w:eastAsia="Arial" w:hAnsi="Arial"/>
                <w:sz w:val="14"/>
                <w:szCs w:val="14"/>
                <w:color w:val="auto"/>
              </w:rPr>
              <w:t>Inline XBRL Taxonomy Extension Calculation Linkbase Document.</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0"/>
        </w:trPr>
        <w:tc>
          <w:tcPr>
            <w:tcW w:w="1100" w:type="dxa"/>
            <w:vAlign w:val="bottom"/>
          </w:tcPr>
          <w:p>
            <w:pPr>
              <w:spacing w:after="0" w:line="159" w:lineRule="exact"/>
              <w:rPr>
                <w:sz w:val="20"/>
                <w:szCs w:val="20"/>
                <w:color w:val="auto"/>
              </w:rPr>
            </w:pPr>
            <w:r>
              <w:rPr>
                <w:rFonts w:ascii="Arial" w:cs="Arial" w:eastAsia="Arial" w:hAnsi="Arial"/>
                <w:sz w:val="14"/>
                <w:szCs w:val="14"/>
                <w:color w:val="auto"/>
              </w:rPr>
              <w:t>101.DEF</w:t>
            </w:r>
          </w:p>
        </w:tc>
        <w:tc>
          <w:tcPr>
            <w:tcW w:w="120" w:type="dxa"/>
            <w:vAlign w:val="bottom"/>
          </w:tcPr>
          <w:p>
            <w:pPr>
              <w:spacing w:after="0"/>
              <w:rPr>
                <w:sz w:val="13"/>
                <w:szCs w:val="13"/>
                <w:color w:val="auto"/>
              </w:rPr>
            </w:pPr>
          </w:p>
        </w:tc>
        <w:tc>
          <w:tcPr>
            <w:tcW w:w="4460" w:type="dxa"/>
            <w:vAlign w:val="bottom"/>
            <w:gridSpan w:val="12"/>
          </w:tcPr>
          <w:p>
            <w:pPr>
              <w:spacing w:after="0" w:line="159" w:lineRule="exact"/>
              <w:rPr>
                <w:sz w:val="20"/>
                <w:szCs w:val="20"/>
                <w:color w:val="auto"/>
              </w:rPr>
            </w:pPr>
            <w:r>
              <w:rPr>
                <w:rFonts w:ascii="Arial" w:cs="Arial" w:eastAsia="Arial" w:hAnsi="Arial"/>
                <w:sz w:val="14"/>
                <w:szCs w:val="14"/>
                <w:color w:val="auto"/>
              </w:rPr>
              <w:t>Inline XBRL Taxonomy Extension Definition Linkbase Document.</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0"/>
        </w:trPr>
        <w:tc>
          <w:tcPr>
            <w:tcW w:w="1100" w:type="dxa"/>
            <w:vAlign w:val="bottom"/>
          </w:tcPr>
          <w:p>
            <w:pPr>
              <w:spacing w:after="0" w:line="159" w:lineRule="exact"/>
              <w:rPr>
                <w:sz w:val="20"/>
                <w:szCs w:val="20"/>
                <w:color w:val="auto"/>
              </w:rPr>
            </w:pPr>
            <w:r>
              <w:rPr>
                <w:rFonts w:ascii="Arial" w:cs="Arial" w:eastAsia="Arial" w:hAnsi="Arial"/>
                <w:sz w:val="14"/>
                <w:szCs w:val="14"/>
                <w:color w:val="auto"/>
              </w:rPr>
              <w:t>101.LAB</w:t>
            </w:r>
          </w:p>
        </w:tc>
        <w:tc>
          <w:tcPr>
            <w:tcW w:w="120" w:type="dxa"/>
            <w:vAlign w:val="bottom"/>
          </w:tcPr>
          <w:p>
            <w:pPr>
              <w:spacing w:after="0"/>
              <w:rPr>
                <w:sz w:val="13"/>
                <w:szCs w:val="13"/>
                <w:color w:val="auto"/>
              </w:rPr>
            </w:pPr>
          </w:p>
        </w:tc>
        <w:tc>
          <w:tcPr>
            <w:tcW w:w="4460" w:type="dxa"/>
            <w:vAlign w:val="bottom"/>
            <w:gridSpan w:val="12"/>
          </w:tcPr>
          <w:p>
            <w:pPr>
              <w:spacing w:after="0" w:line="159" w:lineRule="exact"/>
              <w:rPr>
                <w:sz w:val="20"/>
                <w:szCs w:val="20"/>
                <w:color w:val="auto"/>
              </w:rPr>
            </w:pPr>
            <w:r>
              <w:rPr>
                <w:rFonts w:ascii="Arial" w:cs="Arial" w:eastAsia="Arial" w:hAnsi="Arial"/>
                <w:sz w:val="14"/>
                <w:szCs w:val="14"/>
                <w:color w:val="auto"/>
              </w:rPr>
              <w:t>Inline XBRL Taxonomy Extension Label Linkbase Document.</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0"/>
        </w:trPr>
        <w:tc>
          <w:tcPr>
            <w:tcW w:w="1100" w:type="dxa"/>
            <w:vAlign w:val="bottom"/>
          </w:tcPr>
          <w:p>
            <w:pPr>
              <w:spacing w:after="0" w:line="159" w:lineRule="exact"/>
              <w:rPr>
                <w:sz w:val="20"/>
                <w:szCs w:val="20"/>
                <w:color w:val="auto"/>
              </w:rPr>
            </w:pPr>
            <w:r>
              <w:rPr>
                <w:rFonts w:ascii="Arial" w:cs="Arial" w:eastAsia="Arial" w:hAnsi="Arial"/>
                <w:sz w:val="14"/>
                <w:szCs w:val="14"/>
                <w:color w:val="auto"/>
              </w:rPr>
              <w:t>101.PRE</w:t>
            </w:r>
          </w:p>
        </w:tc>
        <w:tc>
          <w:tcPr>
            <w:tcW w:w="120" w:type="dxa"/>
            <w:vAlign w:val="bottom"/>
          </w:tcPr>
          <w:p>
            <w:pPr>
              <w:spacing w:after="0"/>
              <w:rPr>
                <w:sz w:val="13"/>
                <w:szCs w:val="13"/>
                <w:color w:val="auto"/>
              </w:rPr>
            </w:pPr>
          </w:p>
        </w:tc>
        <w:tc>
          <w:tcPr>
            <w:tcW w:w="4460" w:type="dxa"/>
            <w:vAlign w:val="bottom"/>
            <w:gridSpan w:val="12"/>
          </w:tcPr>
          <w:p>
            <w:pPr>
              <w:spacing w:after="0" w:line="159" w:lineRule="exact"/>
              <w:rPr>
                <w:sz w:val="20"/>
                <w:szCs w:val="20"/>
                <w:color w:val="auto"/>
              </w:rPr>
            </w:pPr>
            <w:r>
              <w:rPr>
                <w:rFonts w:ascii="Arial" w:cs="Arial" w:eastAsia="Arial" w:hAnsi="Arial"/>
                <w:sz w:val="14"/>
                <w:szCs w:val="14"/>
                <w:color w:val="auto"/>
              </w:rPr>
              <w:t>Inline XBRL Taxonomy Extension Presentation Linkbase Document.</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6"/>
        </w:trPr>
        <w:tc>
          <w:tcPr>
            <w:tcW w:w="1100" w:type="dxa"/>
            <w:vAlign w:val="bottom"/>
          </w:tcPr>
          <w:p>
            <w:pPr>
              <w:spacing w:after="0" w:line="147" w:lineRule="exact"/>
              <w:rPr>
                <w:sz w:val="20"/>
                <w:szCs w:val="20"/>
                <w:color w:val="auto"/>
              </w:rPr>
            </w:pPr>
            <w:r>
              <w:rPr>
                <w:rFonts w:ascii="Arial" w:cs="Arial" w:eastAsia="Arial" w:hAnsi="Arial"/>
                <w:sz w:val="14"/>
                <w:szCs w:val="14"/>
                <w:color w:val="auto"/>
              </w:rPr>
              <w:t>104</w:t>
            </w:r>
          </w:p>
        </w:tc>
        <w:tc>
          <w:tcPr>
            <w:tcW w:w="120" w:type="dxa"/>
            <w:vAlign w:val="bottom"/>
          </w:tcPr>
          <w:p>
            <w:pPr>
              <w:spacing w:after="0"/>
              <w:rPr>
                <w:sz w:val="12"/>
                <w:szCs w:val="12"/>
                <w:color w:val="auto"/>
              </w:rPr>
            </w:pPr>
          </w:p>
        </w:tc>
        <w:tc>
          <w:tcPr>
            <w:tcW w:w="4460" w:type="dxa"/>
            <w:vAlign w:val="bottom"/>
            <w:gridSpan w:val="12"/>
          </w:tcPr>
          <w:p>
            <w:pPr>
              <w:spacing w:after="0" w:line="147" w:lineRule="exact"/>
              <w:rPr>
                <w:sz w:val="20"/>
                <w:szCs w:val="20"/>
                <w:color w:val="auto"/>
              </w:rPr>
            </w:pPr>
            <w:r>
              <w:rPr>
                <w:rFonts w:ascii="Arial" w:cs="Arial" w:eastAsia="Arial" w:hAnsi="Arial"/>
                <w:sz w:val="14"/>
                <w:szCs w:val="14"/>
                <w:color w:val="auto"/>
              </w:rPr>
              <w:t>Cover Page Interactive Data File (embedded within the Inline XBRL</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gridSpan w:val="12"/>
          </w:tcPr>
          <w:p>
            <w:pPr>
              <w:spacing w:after="0"/>
              <w:rPr>
                <w:sz w:val="20"/>
                <w:szCs w:val="20"/>
                <w:color w:val="auto"/>
              </w:rPr>
            </w:pPr>
            <w:r>
              <w:rPr>
                <w:rFonts w:ascii="Arial" w:cs="Arial" w:eastAsia="Arial" w:hAnsi="Arial"/>
                <w:sz w:val="14"/>
                <w:szCs w:val="14"/>
                <w:color w:val="auto"/>
              </w:rPr>
              <w:t>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220" w:right="40" w:hanging="1214"/>
        <w:spacing w:after="0" w:line="246" w:lineRule="auto"/>
        <w:tabs>
          <w:tab w:leader="none" w:pos="1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 w:name="page24"/>
    <w:bookmarkEnd w:id="2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40"/>
        <w:spacing w:after="0"/>
        <w:tabs>
          <w:tab w:leader="none" w:pos="7140" w:val="left"/>
        </w:tabs>
        <w:rPr>
          <w:sz w:val="20"/>
          <w:szCs w:val="20"/>
          <w:color w:val="auto"/>
        </w:rPr>
      </w:pP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b w:val="1"/>
          <w:bCs w:val="1"/>
          <w:color w:val="auto"/>
        </w:rPr>
        <w:t>Red Violet, Inc.</w:t>
      </w:r>
    </w:p>
    <w:p>
      <w:pPr>
        <w:spacing w:after="0" w:line="251" w:lineRule="exact"/>
        <w:rPr>
          <w:sz w:val="20"/>
          <w:szCs w:val="20"/>
          <w:color w:val="auto"/>
        </w:rPr>
      </w:pPr>
    </w:p>
    <w:p>
      <w:pPr>
        <w:ind w:left="67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4546600</wp:posOffset>
            </wp:positionH>
            <wp:positionV relativeFrom="paragraph">
              <wp:posOffset>11430</wp:posOffset>
            </wp:positionV>
            <wp:extent cx="2566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6670"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8"/>
          <w:szCs w:val="18"/>
          <w:color w:val="auto"/>
        </w:rPr>
        <w:t>Daniel MacLachlan</w:t>
      </w:r>
    </w:p>
    <w:p>
      <w:pPr>
        <w:spacing w:after="0" w:line="1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121" w:right="5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715645</wp:posOffset>
            </wp:positionV>
            <wp:extent cx="6070600" cy="379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0600" cy="379730"/>
                    </a:xfrm>
                    <a:prstGeom prst="rect">
                      <a:avLst/>
                    </a:prstGeom>
                    <a:noFill/>
                  </pic:spPr>
                </pic:pic>
              </a:graphicData>
            </a:graphic>
          </wp:anchor>
        </w:drawing>
        <w:drawing>
          <wp:anchor simplePos="0" relativeHeight="251657728" behindDoc="1" locked="0" layoutInCell="0" allowOverlap="1">
            <wp:simplePos x="0" y="0"/>
            <wp:positionH relativeFrom="column">
              <wp:posOffset>4685030</wp:posOffset>
            </wp:positionH>
            <wp:positionV relativeFrom="paragraph">
              <wp:posOffset>1205230</wp:posOffset>
            </wp:positionV>
            <wp:extent cx="760095" cy="633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0095" cy="63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600" w:right="760"/>
        <w:spacing w:after="0" w:line="341" w:lineRule="auto"/>
        <w:rPr>
          <w:sz w:val="20"/>
          <w:szCs w:val="20"/>
          <w:color w:val="auto"/>
        </w:rPr>
      </w:pPr>
      <w:r>
        <w:rPr>
          <w:rFonts w:ascii="Arial" w:cs="Arial" w:eastAsia="Arial" w:hAnsi="Arial"/>
          <w:sz w:val="17"/>
          <w:szCs w:val="17"/>
          <w:color w:val="17365D"/>
        </w:rPr>
        <w:t>U.S. Small Business Administraion</w:t>
      </w:r>
    </w:p>
    <w:p>
      <w:pPr>
        <w:spacing w:after="0" w:line="274" w:lineRule="exact"/>
        <w:rPr>
          <w:sz w:val="20"/>
          <w:szCs w:val="20"/>
          <w:color w:val="auto"/>
        </w:rPr>
      </w:pPr>
    </w:p>
    <w:p>
      <w:pPr>
        <w:spacing w:after="0"/>
        <w:rPr>
          <w:sz w:val="20"/>
          <w:szCs w:val="20"/>
          <w:color w:val="auto"/>
        </w:rPr>
      </w:pPr>
      <w:r>
        <w:rPr>
          <w:rFonts w:ascii="Arial" w:cs="Arial" w:eastAsia="Arial" w:hAnsi="Arial"/>
          <w:sz w:val="49"/>
          <w:szCs w:val="49"/>
          <w:b w:val="1"/>
          <w:bCs w:val="1"/>
          <w:color w:val="001F5F"/>
        </w:rPr>
        <w:t>NOTE</w:t>
      </w:r>
    </w:p>
    <w:p>
      <w:pPr>
        <w:spacing w:after="0" w:line="173" w:lineRule="exact"/>
        <w:rPr>
          <w:sz w:val="20"/>
          <w:szCs w:val="20"/>
          <w:color w:val="auto"/>
        </w:rPr>
      </w:pPr>
    </w:p>
    <w:tbl>
      <w:tblPr>
        <w:tblLayout w:type="fixed"/>
        <w:tblInd w:w="30" w:type="dxa"/>
        <w:tblCellMar>
          <w:top w:w="0" w:type="dxa"/>
          <w:left w:w="0" w:type="dxa"/>
          <w:bottom w:w="0" w:type="dxa"/>
          <w:right w:w="0" w:type="dxa"/>
        </w:tblCellMar>
      </w:tblPr>
      <w:tr>
        <w:trPr>
          <w:trHeight w:val="383"/>
        </w:trPr>
        <w:tc>
          <w:tcPr>
            <w:tcW w:w="22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SBA Loan #</w:t>
            </w:r>
          </w:p>
        </w:tc>
        <w:tc>
          <w:tcPr>
            <w:tcW w:w="64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46472072-01 Legacy Loan # 4060003337</w:t>
            </w:r>
          </w:p>
        </w:tc>
      </w:tr>
      <w:tr>
        <w:trPr>
          <w:trHeight w:val="149"/>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6480" w:type="dxa"/>
            <w:vAlign w:val="bottom"/>
            <w:tcBorders>
              <w:bottom w:val="single" w:sz="8" w:color="auto"/>
              <w:right w:val="single" w:sz="8" w:color="auto"/>
            </w:tcBorders>
          </w:tcPr>
          <w:p>
            <w:pPr>
              <w:spacing w:after="0"/>
              <w:rPr>
                <w:sz w:val="12"/>
                <w:szCs w:val="12"/>
                <w:color w:val="auto"/>
              </w:rPr>
            </w:pPr>
          </w:p>
        </w:tc>
      </w:tr>
      <w:tr>
        <w:trPr>
          <w:trHeight w:val="363"/>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SBA Loan Name</w:t>
            </w:r>
          </w:p>
        </w:tc>
        <w:tc>
          <w:tcPr>
            <w:tcW w:w="64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Red Violet, Inc.</w:t>
            </w:r>
          </w:p>
        </w:tc>
      </w:tr>
      <w:tr>
        <w:trPr>
          <w:trHeight w:val="135"/>
        </w:trPr>
        <w:tc>
          <w:tcPr>
            <w:tcW w:w="220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363"/>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Date</w:t>
            </w:r>
          </w:p>
        </w:tc>
        <w:tc>
          <w:tcPr>
            <w:tcW w:w="64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May 5, 2020</w:t>
            </w:r>
          </w:p>
        </w:tc>
      </w:tr>
      <w:tr>
        <w:trPr>
          <w:trHeight w:val="149"/>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6480" w:type="dxa"/>
            <w:vAlign w:val="bottom"/>
            <w:tcBorders>
              <w:bottom w:val="single" w:sz="8" w:color="auto"/>
              <w:right w:val="single" w:sz="8" w:color="auto"/>
            </w:tcBorders>
          </w:tcPr>
          <w:p>
            <w:pPr>
              <w:spacing w:after="0"/>
              <w:rPr>
                <w:sz w:val="12"/>
                <w:szCs w:val="12"/>
                <w:color w:val="auto"/>
              </w:rPr>
            </w:pPr>
          </w:p>
        </w:tc>
      </w:tr>
      <w:tr>
        <w:trPr>
          <w:trHeight w:val="363"/>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Loan Amount</w:t>
            </w:r>
          </w:p>
        </w:tc>
        <w:tc>
          <w:tcPr>
            <w:tcW w:w="64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$2,152,145.00</w:t>
            </w:r>
          </w:p>
        </w:tc>
      </w:tr>
      <w:tr>
        <w:trPr>
          <w:trHeight w:val="149"/>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6480" w:type="dxa"/>
            <w:vAlign w:val="bottom"/>
            <w:tcBorders>
              <w:bottom w:val="single" w:sz="8" w:color="auto"/>
              <w:right w:val="single" w:sz="8" w:color="auto"/>
            </w:tcBorders>
          </w:tcPr>
          <w:p>
            <w:pPr>
              <w:spacing w:after="0"/>
              <w:rPr>
                <w:sz w:val="12"/>
                <w:szCs w:val="12"/>
                <w:color w:val="auto"/>
              </w:rPr>
            </w:pPr>
          </w:p>
        </w:tc>
      </w:tr>
      <w:tr>
        <w:trPr>
          <w:trHeight w:val="363"/>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Interest Rate</w:t>
            </w:r>
          </w:p>
        </w:tc>
        <w:tc>
          <w:tcPr>
            <w:tcW w:w="64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1.00%</w:t>
            </w:r>
          </w:p>
        </w:tc>
      </w:tr>
      <w:tr>
        <w:trPr>
          <w:trHeight w:val="149"/>
        </w:trPr>
        <w:tc>
          <w:tcPr>
            <w:tcW w:w="2200" w:type="dxa"/>
            <w:vAlign w:val="bottom"/>
            <w:tcBorders>
              <w:left w:val="single" w:sz="8" w:color="auto"/>
              <w:bottom w:val="single" w:sz="8" w:color="auto"/>
              <w:right w:val="single" w:sz="8" w:color="auto"/>
            </w:tcBorders>
          </w:tcPr>
          <w:p>
            <w:pPr>
              <w:spacing w:after="0"/>
              <w:rPr>
                <w:sz w:val="12"/>
                <w:szCs w:val="12"/>
                <w:color w:val="auto"/>
              </w:rPr>
            </w:pPr>
          </w:p>
        </w:tc>
        <w:tc>
          <w:tcPr>
            <w:tcW w:w="6480" w:type="dxa"/>
            <w:vAlign w:val="bottom"/>
            <w:tcBorders>
              <w:bottom w:val="single" w:sz="8" w:color="auto"/>
              <w:right w:val="single" w:sz="8" w:color="auto"/>
            </w:tcBorders>
          </w:tcPr>
          <w:p>
            <w:pPr>
              <w:spacing w:after="0"/>
              <w:rPr>
                <w:sz w:val="12"/>
                <w:szCs w:val="12"/>
                <w:color w:val="auto"/>
              </w:rPr>
            </w:pPr>
          </w:p>
        </w:tc>
      </w:tr>
      <w:tr>
        <w:trPr>
          <w:trHeight w:val="363"/>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Borrower</w:t>
            </w:r>
          </w:p>
        </w:tc>
        <w:tc>
          <w:tcPr>
            <w:tcW w:w="64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Red Violet, Inc.</w:t>
            </w:r>
          </w:p>
        </w:tc>
      </w:tr>
      <w:tr>
        <w:trPr>
          <w:trHeight w:val="135"/>
        </w:trPr>
        <w:tc>
          <w:tcPr>
            <w:tcW w:w="220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r>
        <w:trPr>
          <w:trHeight w:val="335"/>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Operating</w:t>
            </w:r>
          </w:p>
        </w:tc>
        <w:tc>
          <w:tcPr>
            <w:tcW w:w="64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Red Violet, Inc.</w:t>
            </w:r>
          </w:p>
        </w:tc>
      </w:tr>
      <w:tr>
        <w:trPr>
          <w:trHeight w:val="248"/>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Company</w:t>
            </w:r>
          </w:p>
        </w:tc>
        <w:tc>
          <w:tcPr>
            <w:tcW w:w="6480" w:type="dxa"/>
            <w:vAlign w:val="bottom"/>
            <w:tcBorders>
              <w:right w:val="single" w:sz="8" w:color="auto"/>
            </w:tcBorders>
          </w:tcPr>
          <w:p>
            <w:pPr>
              <w:spacing w:after="0"/>
              <w:rPr>
                <w:sz w:val="21"/>
                <w:szCs w:val="21"/>
                <w:color w:val="auto"/>
              </w:rPr>
            </w:pPr>
          </w:p>
        </w:tc>
      </w:tr>
      <w:tr>
        <w:trPr>
          <w:trHeight w:val="48"/>
        </w:trPr>
        <w:tc>
          <w:tcPr>
            <w:tcW w:w="2200" w:type="dxa"/>
            <w:vAlign w:val="bottom"/>
            <w:tcBorders>
              <w:left w:val="single" w:sz="8" w:color="auto"/>
              <w:bottom w:val="single" w:sz="8" w:color="auto"/>
              <w:right w:val="single" w:sz="8" w:color="auto"/>
            </w:tcBorders>
          </w:tcPr>
          <w:p>
            <w:pPr>
              <w:spacing w:after="0"/>
              <w:rPr>
                <w:sz w:val="4"/>
                <w:szCs w:val="4"/>
                <w:color w:val="auto"/>
              </w:rPr>
            </w:pPr>
          </w:p>
        </w:tc>
        <w:tc>
          <w:tcPr>
            <w:tcW w:w="6480" w:type="dxa"/>
            <w:vAlign w:val="bottom"/>
            <w:tcBorders>
              <w:bottom w:val="single" w:sz="8" w:color="auto"/>
              <w:right w:val="single" w:sz="8" w:color="auto"/>
            </w:tcBorders>
          </w:tcPr>
          <w:p>
            <w:pPr>
              <w:spacing w:after="0"/>
              <w:rPr>
                <w:sz w:val="4"/>
                <w:szCs w:val="4"/>
                <w:color w:val="auto"/>
              </w:rPr>
            </w:pPr>
          </w:p>
        </w:tc>
      </w:tr>
      <w:tr>
        <w:trPr>
          <w:trHeight w:val="363"/>
        </w:trPr>
        <w:tc>
          <w:tcPr>
            <w:tcW w:w="22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Lender</w:t>
            </w:r>
          </w:p>
        </w:tc>
        <w:tc>
          <w:tcPr>
            <w:tcW w:w="648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Legacy Bank of Florida</w:t>
            </w:r>
          </w:p>
        </w:tc>
      </w:tr>
      <w:tr>
        <w:trPr>
          <w:trHeight w:val="135"/>
        </w:trPr>
        <w:tc>
          <w:tcPr>
            <w:tcW w:w="2200" w:type="dxa"/>
            <w:vAlign w:val="bottom"/>
            <w:tcBorders>
              <w:left w:val="single" w:sz="8" w:color="auto"/>
              <w:bottom w:val="single" w:sz="8" w:color="auto"/>
              <w:right w:val="single" w:sz="8" w:color="auto"/>
            </w:tcBorders>
          </w:tcPr>
          <w:p>
            <w:pPr>
              <w:spacing w:after="0"/>
              <w:rPr>
                <w:sz w:val="11"/>
                <w:szCs w:val="11"/>
                <w:color w:val="auto"/>
              </w:rPr>
            </w:pPr>
          </w:p>
        </w:tc>
        <w:tc>
          <w:tcPr>
            <w:tcW w:w="6480" w:type="dxa"/>
            <w:vAlign w:val="bottom"/>
            <w:tcBorders>
              <w:bottom w:val="single" w:sz="8" w:color="auto"/>
              <w:right w:val="single" w:sz="8" w:color="auto"/>
            </w:tcBorders>
          </w:tcPr>
          <w:p>
            <w:pPr>
              <w:spacing w:after="0"/>
              <w:rPr>
                <w:sz w:val="11"/>
                <w:szCs w:val="11"/>
                <w:color w:val="auto"/>
              </w:rPr>
            </w:pPr>
          </w:p>
        </w:tc>
      </w:tr>
    </w:tbl>
    <w:p>
      <w:pPr>
        <w:spacing w:after="0" w:line="302" w:lineRule="exact"/>
        <w:rPr>
          <w:sz w:val="20"/>
          <w:szCs w:val="20"/>
          <w:color w:val="auto"/>
        </w:rPr>
      </w:pPr>
    </w:p>
    <w:p>
      <w:pPr>
        <w:ind w:left="720"/>
        <w:spacing w:after="0"/>
        <w:rPr>
          <w:sz w:val="20"/>
          <w:szCs w:val="20"/>
          <w:color w:val="auto"/>
        </w:rPr>
      </w:pPr>
      <w:r>
        <w:rPr>
          <w:rFonts w:ascii="Arial" w:cs="Arial" w:eastAsia="Arial" w:hAnsi="Arial"/>
          <w:sz w:val="19"/>
          <w:szCs w:val="19"/>
          <w:color w:val="auto"/>
        </w:rPr>
        <w:t>1.  PROMISE TO PAY:</w:t>
      </w:r>
    </w:p>
    <w:p>
      <w:pPr>
        <w:spacing w:after="0" w:line="114"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In return for the Loan, Borrower promises to pay to the order of Lender the amount of</w:t>
      </w:r>
    </w:p>
    <w:p>
      <w:pPr>
        <w:spacing w:after="0" w:line="106"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$2,152,145.00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-3175</wp:posOffset>
            </wp:positionV>
            <wp:extent cx="4753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53610" cy="8255"/>
                    </a:xfrm>
                    <a:prstGeom prst="rect">
                      <a:avLst/>
                    </a:prstGeom>
                    <a:noFill/>
                  </pic:spPr>
                </pic:pic>
              </a:graphicData>
            </a:graphic>
          </wp:anchor>
        </w:drawing>
      </w:r>
    </w:p>
    <w:p>
      <w:pPr>
        <w:spacing w:after="0" w:line="77"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Dollars, interest on the unpaid principal balance, and all other amounts required by this Note.</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9"/>
          <w:szCs w:val="19"/>
          <w:color w:val="auto"/>
        </w:rPr>
        <w:t>2.  DEFINITIONS:</w:t>
      </w:r>
    </w:p>
    <w:p>
      <w:pPr>
        <w:spacing w:after="0" w:line="24"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“Collateral” means any property taken as security for payment of this Note or any guarantee of this Note.</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“Guarantor” means each person or entity that signs a guarantee of payment of this Note.</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“Loan” means the loan evidenced by this Note.</w:t>
      </w:r>
    </w:p>
    <w:p>
      <w:pPr>
        <w:spacing w:after="0" w:line="71" w:lineRule="exact"/>
        <w:rPr>
          <w:sz w:val="20"/>
          <w:szCs w:val="20"/>
          <w:color w:val="auto"/>
        </w:rPr>
      </w:pPr>
    </w:p>
    <w:p>
      <w:pPr>
        <w:ind w:left="1720" w:right="1320" w:hanging="80"/>
        <w:spacing w:after="0" w:line="257" w:lineRule="auto"/>
        <w:rPr>
          <w:sz w:val="20"/>
          <w:szCs w:val="20"/>
          <w:color w:val="auto"/>
        </w:rPr>
      </w:pPr>
      <w:r>
        <w:rPr>
          <w:rFonts w:ascii="Arial" w:cs="Arial" w:eastAsia="Arial" w:hAnsi="Arial"/>
          <w:sz w:val="19"/>
          <w:szCs w:val="19"/>
          <w:color w:val="auto"/>
        </w:rPr>
        <w:t>“Loan Documents” means the documents related to this loan signed by Borrower, any Guarantor, or anyone who pledges collateral.</w:t>
      </w:r>
    </w:p>
    <w:p>
      <w:pPr>
        <w:ind w:left="1600"/>
        <w:spacing w:after="0"/>
        <w:rPr>
          <w:sz w:val="20"/>
          <w:szCs w:val="20"/>
          <w:color w:val="auto"/>
        </w:rPr>
      </w:pPr>
      <w:r>
        <w:rPr>
          <w:rFonts w:ascii="Arial" w:cs="Arial" w:eastAsia="Arial" w:hAnsi="Arial"/>
          <w:sz w:val="19"/>
          <w:szCs w:val="19"/>
          <w:color w:val="auto"/>
        </w:rPr>
        <w:t>“SBA” means the Small Business Administration, an Agency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1026795</wp:posOffset>
            </wp:positionV>
            <wp:extent cx="7151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1370" cy="17145"/>
                    </a:xfrm>
                    <a:prstGeom prst="rect">
                      <a:avLst/>
                    </a:prstGeom>
                    <a:noFill/>
                  </pic:spPr>
                </pic:pic>
              </a:graphicData>
            </a:graphic>
          </wp:anchor>
        </w:drawing>
        <w:drawing>
          <wp:anchor simplePos="0" relativeHeight="251657728" behindDoc="1" locked="0" layoutInCell="0" allowOverlap="1">
            <wp:simplePos x="0" y="0"/>
            <wp:positionH relativeFrom="column">
              <wp:posOffset>1021080</wp:posOffset>
            </wp:positionH>
            <wp:positionV relativeFrom="paragraph">
              <wp:posOffset>148590</wp:posOffset>
            </wp:positionV>
            <wp:extent cx="5989320" cy="320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9320" cy="320675"/>
                    </a:xfrm>
                    <a:prstGeom prst="rect">
                      <a:avLst/>
                    </a:prstGeom>
                    <a:noFill/>
                  </pic:spPr>
                </pic:pic>
              </a:graphicData>
            </a:graphic>
          </wp:anchor>
        </w:drawing>
      </w:r>
    </w:p>
    <w:p>
      <w:pPr>
        <w:sectPr>
          <w:pgSz w:w="11900" w:h="16838" w:orient="portrait"/>
          <w:cols w:equalWidth="0" w:num="1">
            <w:col w:w="10940"/>
          </w:cols>
          <w:pgMar w:left="620" w:top="95" w:right="33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3.  PAYMENT TERMS: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must make all payments at the place Lender designates. The payment terms for this Note are:</w:t>
      </w:r>
    </w:p>
    <w:p>
      <w:pPr>
        <w:spacing w:after="0" w:line="192" w:lineRule="exact"/>
        <w:rPr>
          <w:sz w:val="20"/>
          <w:szCs w:val="20"/>
          <w:color w:val="auto"/>
        </w:rPr>
      </w:pPr>
    </w:p>
    <w:p>
      <w:pPr>
        <w:ind w:left="1100" w:right="1060" w:hanging="211"/>
        <w:spacing w:after="0" w:line="231" w:lineRule="auto"/>
        <w:tabs>
          <w:tab w:leader="none" w:pos="11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Initial Deferment Period. No payments are due on the Loan for six months from the date of first disbursement of this Loan. Interest will continue to accrue during the deferment period.</w:t>
      </w:r>
    </w:p>
    <w:p>
      <w:pPr>
        <w:spacing w:after="0" w:line="1" w:lineRule="exact"/>
        <w:rPr>
          <w:rFonts w:ascii="Arial" w:cs="Arial" w:eastAsia="Arial" w:hAnsi="Arial"/>
          <w:sz w:val="18"/>
          <w:szCs w:val="18"/>
          <w:color w:val="auto"/>
        </w:rPr>
      </w:pPr>
    </w:p>
    <w:p>
      <w:pPr>
        <w:ind w:left="1120" w:hanging="211"/>
        <w:spacing w:after="0"/>
        <w:tabs>
          <w:tab w:leader="none" w:pos="11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Loan Forgiveness. Borrower may apply to Lender for forgiveness of the amount due on this Loan in an amount equal to</w:t>
      </w:r>
    </w:p>
    <w:p>
      <w:pPr>
        <w:spacing w:after="0" w:line="14" w:lineRule="exact"/>
        <w:rPr>
          <w:sz w:val="20"/>
          <w:szCs w:val="20"/>
          <w:color w:val="auto"/>
        </w:rPr>
      </w:pPr>
    </w:p>
    <w:p>
      <w:pPr>
        <w:ind w:left="1100" w:right="1740"/>
        <w:spacing w:after="0" w:line="246" w:lineRule="auto"/>
        <w:rPr>
          <w:sz w:val="20"/>
          <w:szCs w:val="20"/>
          <w:color w:val="auto"/>
        </w:rPr>
      </w:pPr>
      <w:r>
        <w:rPr>
          <w:rFonts w:ascii="Arial" w:cs="Arial" w:eastAsia="Arial" w:hAnsi="Arial"/>
          <w:sz w:val="18"/>
          <w:szCs w:val="18"/>
          <w:color w:val="auto"/>
        </w:rPr>
        <w:t>the sum of the following costs incurred by Borrower during the 8-week period beginning on the date of first disbursement of this loan:</w:t>
      </w:r>
    </w:p>
    <w:p>
      <w:pPr>
        <w:ind w:left="1760" w:hanging="244"/>
        <w:spacing w:after="0" w:line="235" w:lineRule="auto"/>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payroll costs;</w:t>
      </w:r>
    </w:p>
    <w:p>
      <w:pPr>
        <w:ind w:left="1800" w:right="1280" w:hanging="202"/>
        <w:spacing w:after="0" w:line="223" w:lineRule="auto"/>
        <w:tabs>
          <w:tab w:leader="none" w:pos="178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payment of interest on a covered mortgage obligation (which shall not include any prepayment of or payment of principal on a covered mortgage obligation);</w:t>
      </w:r>
    </w:p>
    <w:p>
      <w:pPr>
        <w:spacing w:after="0" w:line="1" w:lineRule="exact"/>
        <w:rPr>
          <w:sz w:val="20"/>
          <w:szCs w:val="20"/>
          <w:color w:val="auto"/>
        </w:rPr>
      </w:pPr>
    </w:p>
    <w:p>
      <w:pPr>
        <w:ind w:left="1760" w:hanging="244"/>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payment on a covered rent obligation; and</w:t>
      </w:r>
    </w:p>
    <w:p>
      <w:pPr>
        <w:spacing w:after="0" w:line="2" w:lineRule="exact"/>
        <w:rPr>
          <w:rFonts w:ascii="Arial" w:cs="Arial" w:eastAsia="Arial" w:hAnsi="Arial"/>
          <w:sz w:val="18"/>
          <w:szCs w:val="18"/>
          <w:color w:val="auto"/>
        </w:rPr>
      </w:pPr>
    </w:p>
    <w:p>
      <w:pPr>
        <w:ind w:left="1740" w:hanging="224"/>
        <w:spacing w:after="0"/>
        <w:tabs>
          <w:tab w:leader="none" w:pos="17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covered utility payment.</w:t>
      </w:r>
    </w:p>
    <w:p>
      <w:pPr>
        <w:spacing w:after="0" w:line="5" w:lineRule="exact"/>
        <w:rPr>
          <w:rFonts w:ascii="Arial" w:cs="Arial" w:eastAsia="Arial" w:hAnsi="Arial"/>
          <w:sz w:val="18"/>
          <w:szCs w:val="18"/>
          <w:color w:val="auto"/>
        </w:rPr>
      </w:pPr>
    </w:p>
    <w:p>
      <w:pPr>
        <w:jc w:val="both"/>
        <w:ind w:left="1100" w:right="1800" w:hanging="199"/>
        <w:spacing w:after="0" w:line="317" w:lineRule="auto"/>
        <w:tabs>
          <w:tab w:leader="none" w:pos="1128"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 of Loan Forgiveness. The amount of loan forgiveness shall be calculated (and may be reduced) in accordance with the requirements of the Paycheck Protection Program, including the provisions of Section</w:t>
      </w:r>
    </w:p>
    <w:p>
      <w:pPr>
        <w:ind w:left="1100"/>
        <w:spacing w:after="0"/>
        <w:rPr>
          <w:rFonts w:ascii="Arial" w:cs="Arial" w:eastAsia="Arial" w:hAnsi="Arial"/>
          <w:sz w:val="14"/>
          <w:szCs w:val="14"/>
          <w:color w:val="auto"/>
        </w:rPr>
      </w:pPr>
      <w:r>
        <w:rPr>
          <w:rFonts w:ascii="Arial" w:cs="Arial" w:eastAsia="Arial" w:hAnsi="Arial"/>
          <w:sz w:val="18"/>
          <w:szCs w:val="18"/>
          <w:color w:val="auto"/>
        </w:rPr>
        <w:t>1106 of the Coronavirus Aid, Relief, and Economic Security Act (CARES Act) (P.L. 116-136). Not more than</w:t>
      </w:r>
    </w:p>
    <w:p>
      <w:pPr>
        <w:spacing w:after="0" w:line="5" w:lineRule="exact"/>
        <w:rPr>
          <w:rFonts w:ascii="Arial" w:cs="Arial" w:eastAsia="Arial" w:hAnsi="Arial"/>
          <w:sz w:val="14"/>
          <w:szCs w:val="14"/>
          <w:color w:val="auto"/>
        </w:rPr>
      </w:pPr>
    </w:p>
    <w:p>
      <w:pPr>
        <w:ind w:left="1100" w:right="1180"/>
        <w:spacing w:after="0" w:line="317" w:lineRule="auto"/>
        <w:rPr>
          <w:rFonts w:ascii="Arial" w:cs="Arial" w:eastAsia="Arial" w:hAnsi="Arial"/>
          <w:sz w:val="14"/>
          <w:szCs w:val="14"/>
          <w:color w:val="auto"/>
        </w:rPr>
      </w:pPr>
      <w:r>
        <w:rPr>
          <w:rFonts w:ascii="Arial" w:cs="Arial" w:eastAsia="Arial" w:hAnsi="Arial"/>
          <w:sz w:val="14"/>
          <w:szCs w:val="14"/>
          <w:color w:val="auto"/>
        </w:rPr>
        <w:t>25% of the amount forgiven can be attributable to non-payroll costs. If Borrower has received an Economic Injury Disaster Loan ("EIDL") advance, the amount of such advance shall be subtracted from the loan forgiveness amount.</w:t>
      </w:r>
    </w:p>
    <w:p>
      <w:pPr>
        <w:ind w:left="1100" w:right="780" w:hanging="218"/>
        <w:spacing w:after="0" w:line="246" w:lineRule="auto"/>
        <w:tabs>
          <w:tab w:leader="none" w:pos="11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The interest rate on this Note is one percent per year (the "Interest Rate"). The interest rate is fixed and will not be changed during the life of the Loan. Except as otherwise provided in this Note, the outstanding Loan Amount shall accrue interest at an annual rate equal to the Interest Rate from the date of this Note until paid in full, whether at maturity, by prepayment, or otherwise.</w:t>
      </w:r>
    </w:p>
    <w:p>
      <w:pPr>
        <w:spacing w:after="0" w:line="2" w:lineRule="exact"/>
        <w:rPr>
          <w:rFonts w:ascii="Arial" w:cs="Arial" w:eastAsia="Arial" w:hAnsi="Arial"/>
          <w:sz w:val="18"/>
          <w:szCs w:val="18"/>
          <w:color w:val="auto"/>
        </w:rPr>
      </w:pPr>
    </w:p>
    <w:p>
      <w:pPr>
        <w:ind w:left="1100" w:right="900" w:hanging="188"/>
        <w:spacing w:after="0" w:line="246" w:lineRule="auto"/>
        <w:tabs>
          <w:tab w:leader="none" w:pos="11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Installment Payments. Borrower shall pay the Monthly Installment on each Monthly Payment Date. Lender will apply each installment payment first to pay interest accrued to the day Lender received the payment, then to bring principal current, and will apply any remaining balance to reduce principal.</w:t>
      </w:r>
    </w:p>
    <w:p>
      <w:pPr>
        <w:spacing w:after="0" w:line="2" w:lineRule="exact"/>
        <w:rPr>
          <w:sz w:val="20"/>
          <w:szCs w:val="20"/>
          <w:color w:val="auto"/>
        </w:rPr>
      </w:pPr>
    </w:p>
    <w:p>
      <w:pPr>
        <w:ind w:left="1100" w:right="2360" w:hanging="240"/>
        <w:spacing w:after="0" w:line="246" w:lineRule="auto"/>
        <w:tabs>
          <w:tab w:leader="none" w:pos="10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Maturity Date. This Note will mature two years from the date of first disbursement of this loan (the "Maturity Date").</w:t>
      </w:r>
    </w:p>
    <w:p>
      <w:pPr>
        <w:spacing w:after="0" w:line="1" w:lineRule="exact"/>
        <w:rPr>
          <w:rFonts w:ascii="Arial" w:cs="Arial" w:eastAsia="Arial" w:hAnsi="Arial"/>
          <w:sz w:val="18"/>
          <w:szCs w:val="18"/>
          <w:color w:val="auto"/>
        </w:rPr>
      </w:pPr>
    </w:p>
    <w:p>
      <w:pPr>
        <w:ind w:left="1100" w:right="740" w:hanging="213"/>
        <w:spacing w:after="0" w:line="277" w:lineRule="auto"/>
        <w:rPr>
          <w:rFonts w:ascii="Arial" w:cs="Arial" w:eastAsia="Arial" w:hAnsi="Arial"/>
          <w:sz w:val="18"/>
          <w:szCs w:val="18"/>
          <w:color w:val="auto"/>
        </w:rPr>
      </w:pPr>
      <w:r>
        <w:rPr>
          <w:rFonts w:ascii="Arial" w:cs="Arial" w:eastAsia="Arial" w:hAnsi="Arial"/>
          <w:sz w:val="16"/>
          <w:szCs w:val="16"/>
          <w:color w:val="auto"/>
        </w:rPr>
        <w:t>G. Final Payment. A final payment in the aggregate amount of the then outstanding and unpaid Loan Amount, together with all accrued and unpaid interest thereon, shall become immediately due and payable in full on the Maturity Date.</w:t>
      </w:r>
    </w:p>
    <w:p>
      <w:pPr>
        <w:ind w:left="820"/>
        <w:spacing w:after="0"/>
        <w:rPr>
          <w:rFonts w:ascii="Arial" w:cs="Arial" w:eastAsia="Arial" w:hAnsi="Arial"/>
          <w:sz w:val="18"/>
          <w:szCs w:val="18"/>
          <w:color w:val="auto"/>
        </w:rPr>
      </w:pPr>
      <w:r>
        <w:rPr>
          <w:rFonts w:ascii="Arial" w:cs="Arial" w:eastAsia="Arial" w:hAnsi="Arial"/>
          <w:sz w:val="18"/>
          <w:szCs w:val="18"/>
          <w:color w:val="auto"/>
        </w:rPr>
        <w:t>H. Interest After Maturity Date. Interest shall continue to accrue at the Interest Rate on all amounts unpaid at the</w:t>
      </w:r>
    </w:p>
    <w:p>
      <w:pPr>
        <w:spacing w:after="0" w:line="207" w:lineRule="exact"/>
        <w:rPr>
          <w:sz w:val="20"/>
          <w:szCs w:val="20"/>
          <w:color w:val="auto"/>
        </w:rPr>
      </w:pPr>
    </w:p>
    <w:p>
      <w:pPr>
        <w:ind w:left="1040" w:right="940" w:hanging="140"/>
        <w:spacing w:after="0" w:line="250" w:lineRule="auto"/>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Computation of Interest. All computations of interest shall be calculated on the basis of actual days elapsed in a 365-day year. Interest shall begin to accrue on the Loan Amount on the date of this Note, and shall not accrue on the Loan Amount on the day on which it is paid.</w:t>
      </w:r>
    </w:p>
    <w:p>
      <w:pPr>
        <w:spacing w:after="0" w:line="2" w:lineRule="exact"/>
        <w:rPr>
          <w:rFonts w:ascii="Arial" w:cs="Arial" w:eastAsia="Arial" w:hAnsi="Arial"/>
          <w:sz w:val="18"/>
          <w:szCs w:val="18"/>
          <w:color w:val="auto"/>
        </w:rPr>
      </w:pPr>
    </w:p>
    <w:p>
      <w:pPr>
        <w:ind w:left="1020" w:hanging="16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Permitted Prepayment. Notwithstanding any provision in this Note to the contrary, Borrower may prepay this</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Note at any time without penalty.</w:t>
      </w:r>
    </w:p>
    <w:p>
      <w:pPr>
        <w:spacing w:after="0" w:line="6" w:lineRule="exact"/>
        <w:rPr>
          <w:sz w:val="20"/>
          <w:szCs w:val="20"/>
          <w:color w:val="auto"/>
        </w:rPr>
      </w:pPr>
    </w:p>
    <w:p>
      <w:pPr>
        <w:jc w:val="both"/>
        <w:ind w:left="1100" w:right="680" w:hanging="205"/>
        <w:spacing w:after="0" w:line="246" w:lineRule="auto"/>
        <w:rPr>
          <w:sz w:val="20"/>
          <w:szCs w:val="20"/>
          <w:color w:val="auto"/>
        </w:rPr>
      </w:pPr>
      <w:r>
        <w:rPr>
          <w:rFonts w:ascii="Arial" w:cs="Arial" w:eastAsia="Arial" w:hAnsi="Arial"/>
          <w:sz w:val="18"/>
          <w:szCs w:val="18"/>
          <w:color w:val="auto"/>
        </w:rPr>
        <w:t>K. Non-Recourse. Lender and SBA shall have no recourse against any individual shareholder, member or partner of Borrower for non-payment of the Loan, except to the extent that such shareholder, member, or partner uses the loan proceeds for an unauthorized purpose.</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L. Additional Terms.</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"First Payment Date" means December 2, 2020.</w:t>
      </w:r>
    </w:p>
    <w:p>
      <w:pPr>
        <w:spacing w:after="0" w:line="6" w:lineRule="exact"/>
        <w:rPr>
          <w:sz w:val="20"/>
          <w:szCs w:val="20"/>
          <w:color w:val="auto"/>
        </w:rPr>
      </w:pPr>
    </w:p>
    <w:p>
      <w:pPr>
        <w:ind w:left="1100" w:right="720"/>
        <w:spacing w:after="0" w:line="246" w:lineRule="auto"/>
        <w:rPr>
          <w:sz w:val="20"/>
          <w:szCs w:val="20"/>
          <w:color w:val="auto"/>
        </w:rPr>
      </w:pPr>
      <w:r>
        <w:rPr>
          <w:rFonts w:ascii="Arial" w:cs="Arial" w:eastAsia="Arial" w:hAnsi="Arial"/>
          <w:sz w:val="18"/>
          <w:szCs w:val="18"/>
          <w:color w:val="auto"/>
        </w:rPr>
        <w:t>"Monthly Installment(s)" means the eighteen (18) approximately equal installments of principal and interest, each payable on the Monthly Payment Dates, in the amount necessary to fully amortize the Loan after the final payment of the Monthly Installment on the Maturity Date and based on the amount of principal and interest outstanding on the First Payment Date, which principal and interest shall have been reduced by any amounts forgiven that have been reimbursed to Lender by the SBA.</w:t>
      </w:r>
    </w:p>
    <w:p>
      <w:pPr>
        <w:spacing w:after="0" w:line="3" w:lineRule="exact"/>
        <w:rPr>
          <w:sz w:val="20"/>
          <w:szCs w:val="20"/>
          <w:color w:val="auto"/>
        </w:rPr>
      </w:pPr>
    </w:p>
    <w:p>
      <w:pPr>
        <w:ind w:left="1100" w:right="1080"/>
        <w:spacing w:after="0" w:line="253" w:lineRule="auto"/>
        <w:rPr>
          <w:sz w:val="20"/>
          <w:szCs w:val="20"/>
          <w:color w:val="auto"/>
        </w:rPr>
      </w:pPr>
      <w:r>
        <w:rPr>
          <w:rFonts w:ascii="Arial" w:cs="Arial" w:eastAsia="Arial" w:hAnsi="Arial"/>
          <w:sz w:val="18"/>
          <w:szCs w:val="18"/>
          <w:color w:val="auto"/>
        </w:rPr>
        <w:t>"Monthly Payment Date(s)" means the First Payment Date, the same day of each month thereafter until and including April 2, 2022, and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669290</wp:posOffset>
            </wp:positionV>
            <wp:extent cx="5775325" cy="363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75325" cy="36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366395</wp:posOffset>
            </wp:positionV>
            <wp:extent cx="7151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0420"/>
          </w:cols>
          <w:pgMar w:left="1120" w:top="1160" w:right="359" w:bottom="1440" w:gutter="0" w:footer="0" w:header="0"/>
        </w:sectPr>
      </w:pPr>
    </w:p>
    <w:bookmarkStart w:id="26" w:name="page27"/>
    <w:bookmarkEnd w:id="26"/>
    <w:p>
      <w:pPr>
        <w:spacing w:after="0"/>
        <w:rPr>
          <w:sz w:val="20"/>
          <w:szCs w:val="20"/>
          <w:color w:val="auto"/>
        </w:rPr>
      </w:pPr>
      <w:r>
        <w:rPr>
          <w:rFonts w:ascii="Arial" w:cs="Arial" w:eastAsia="Arial" w:hAnsi="Arial"/>
          <w:sz w:val="19"/>
          <w:szCs w:val="19"/>
          <w:color w:val="auto"/>
        </w:rPr>
        <w:t>4.  DEFAULT:</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9"/>
          <w:szCs w:val="19"/>
          <w:color w:val="auto"/>
        </w:rPr>
        <w:t>Borrower is in default under this Note if Borrower does not make a payment when due under this Note, or if</w:t>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9"/>
          <w:szCs w:val="19"/>
          <w:color w:val="auto"/>
        </w:rPr>
        <w:t>Borrower or Operating Company:</w:t>
      </w:r>
    </w:p>
    <w:p>
      <w:pPr>
        <w:spacing w:after="0" w:line="125" w:lineRule="exact"/>
        <w:rPr>
          <w:sz w:val="20"/>
          <w:szCs w:val="20"/>
          <w:color w:val="auto"/>
        </w:rPr>
      </w:pPr>
    </w:p>
    <w:p>
      <w:pPr>
        <w:ind w:left="1260" w:hanging="375"/>
        <w:spacing w:after="0"/>
        <w:tabs>
          <w:tab w:leader="none" w:pos="12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Fails to do anything required by this Note and other Loan Documents;</w:t>
      </w:r>
    </w:p>
    <w:p>
      <w:pPr>
        <w:spacing w:after="0" w:line="23" w:lineRule="exact"/>
        <w:rPr>
          <w:rFonts w:ascii="Arial" w:cs="Arial" w:eastAsia="Arial" w:hAnsi="Arial"/>
          <w:sz w:val="19"/>
          <w:szCs w:val="19"/>
          <w:color w:val="auto"/>
        </w:rPr>
      </w:pPr>
    </w:p>
    <w:p>
      <w:pPr>
        <w:ind w:left="1200" w:hanging="315"/>
        <w:spacing w:after="0"/>
        <w:tabs>
          <w:tab w:leader="none" w:pos="12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Defaults on any other loan with Lender;</w:t>
      </w:r>
    </w:p>
    <w:p>
      <w:pPr>
        <w:spacing w:after="0" w:line="7" w:lineRule="exact"/>
        <w:rPr>
          <w:rFonts w:ascii="Arial" w:cs="Arial" w:eastAsia="Arial" w:hAnsi="Arial"/>
          <w:sz w:val="19"/>
          <w:szCs w:val="19"/>
          <w:color w:val="auto"/>
        </w:rPr>
      </w:pPr>
    </w:p>
    <w:p>
      <w:pPr>
        <w:ind w:left="1220" w:hanging="332"/>
        <w:spacing w:after="0"/>
        <w:tabs>
          <w:tab w:leader="none" w:pos="12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Does not preserve, or account to Lender’s satisfaction for, any of the Collateral or its proceeds;</w:t>
      </w:r>
    </w:p>
    <w:p>
      <w:pPr>
        <w:spacing w:after="0" w:line="71" w:lineRule="exact"/>
        <w:rPr>
          <w:rFonts w:ascii="Arial" w:cs="Arial" w:eastAsia="Arial" w:hAnsi="Arial"/>
          <w:sz w:val="19"/>
          <w:szCs w:val="19"/>
          <w:color w:val="auto"/>
        </w:rPr>
      </w:pPr>
    </w:p>
    <w:p>
      <w:pPr>
        <w:ind w:left="1340" w:right="1120" w:hanging="452"/>
        <w:spacing w:after="0" w:line="314" w:lineRule="auto"/>
        <w:tabs>
          <w:tab w:leader="none" w:pos="1273" w:val="left"/>
        </w:tabs>
        <w:numPr>
          <w:ilvl w:val="0"/>
          <w:numId w:val="18"/>
        </w:numPr>
        <w:rPr>
          <w:rFonts w:ascii="Arial" w:cs="Arial" w:eastAsia="Arial" w:hAnsi="Arial"/>
          <w:sz w:val="19"/>
          <w:szCs w:val="19"/>
          <w:color w:val="auto"/>
        </w:rPr>
      </w:pPr>
      <w:r>
        <w:rPr>
          <w:rFonts w:ascii="Arial" w:cs="Arial" w:eastAsia="Arial" w:hAnsi="Arial"/>
          <w:sz w:val="19"/>
          <w:szCs w:val="19"/>
          <w:color w:val="auto"/>
        </w:rPr>
        <w:t>Does not disclose, or anyone acting on their behalf does not disclose, any material fact to Lender or SBA;</w:t>
      </w:r>
    </w:p>
    <w:p>
      <w:pPr>
        <w:ind w:left="1340" w:right="1500" w:hanging="452"/>
        <w:spacing w:after="0" w:line="314" w:lineRule="auto"/>
        <w:tabs>
          <w:tab w:leader="none" w:pos="1204" w:val="left"/>
        </w:tabs>
        <w:numPr>
          <w:ilvl w:val="0"/>
          <w:numId w:val="18"/>
        </w:numPr>
        <w:rPr>
          <w:rFonts w:ascii="Arial" w:cs="Arial" w:eastAsia="Arial" w:hAnsi="Arial"/>
          <w:sz w:val="19"/>
          <w:szCs w:val="19"/>
          <w:color w:val="auto"/>
        </w:rPr>
      </w:pPr>
      <w:r>
        <w:rPr>
          <w:rFonts w:ascii="Arial" w:cs="Arial" w:eastAsia="Arial" w:hAnsi="Arial"/>
          <w:sz w:val="19"/>
          <w:szCs w:val="19"/>
          <w:color w:val="auto"/>
        </w:rPr>
        <w:t>Makes, or anyone acting on their behalf makes, a materially false or misleading representation to Lender or SBA;</w:t>
      </w:r>
    </w:p>
    <w:p>
      <w:pPr>
        <w:ind w:left="1340" w:right="980" w:hanging="327"/>
        <w:spacing w:after="0" w:line="262" w:lineRule="auto"/>
        <w:tabs>
          <w:tab w:leader="none" w:pos="1352" w:val="left"/>
        </w:tabs>
        <w:numPr>
          <w:ilvl w:val="2"/>
          <w:numId w:val="18"/>
        </w:numPr>
        <w:rPr>
          <w:rFonts w:ascii="Arial" w:cs="Arial" w:eastAsia="Arial" w:hAnsi="Arial"/>
          <w:sz w:val="19"/>
          <w:szCs w:val="19"/>
          <w:color w:val="auto"/>
        </w:rPr>
      </w:pPr>
      <w:r>
        <w:rPr>
          <w:rFonts w:ascii="Arial" w:cs="Arial" w:eastAsia="Arial" w:hAnsi="Arial"/>
          <w:sz w:val="19"/>
          <w:szCs w:val="19"/>
          <w:color w:val="auto"/>
        </w:rPr>
        <w:t>Defaults on any loan or agreement with another creditor, if Lender believes the default may materially affect Borrower’s ability to pay this Note;</w:t>
      </w:r>
    </w:p>
    <w:p>
      <w:pPr>
        <w:spacing w:after="0" w:line="1" w:lineRule="exact"/>
        <w:rPr>
          <w:rFonts w:ascii="Arial" w:cs="Arial" w:eastAsia="Arial" w:hAnsi="Arial"/>
          <w:sz w:val="19"/>
          <w:szCs w:val="19"/>
          <w:color w:val="auto"/>
        </w:rPr>
      </w:pPr>
    </w:p>
    <w:p>
      <w:pPr>
        <w:ind w:left="1260" w:hanging="372"/>
        <w:spacing w:after="0"/>
        <w:tabs>
          <w:tab w:leader="none" w:pos="12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Fails to pay any taxes when due;</w:t>
      </w:r>
    </w:p>
    <w:p>
      <w:pPr>
        <w:spacing w:after="0" w:line="87" w:lineRule="exact"/>
        <w:rPr>
          <w:rFonts w:ascii="Arial" w:cs="Arial" w:eastAsia="Arial" w:hAnsi="Arial"/>
          <w:sz w:val="19"/>
          <w:szCs w:val="19"/>
          <w:color w:val="auto"/>
        </w:rPr>
      </w:pPr>
    </w:p>
    <w:p>
      <w:pPr>
        <w:ind w:left="1260" w:hanging="372"/>
        <w:spacing w:after="0"/>
        <w:tabs>
          <w:tab w:leader="none" w:pos="12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Becomes the subject of a proceeding under any bankruptcy or insolvency law;</w:t>
      </w:r>
    </w:p>
    <w:p>
      <w:pPr>
        <w:spacing w:after="0" w:line="87" w:lineRule="exact"/>
        <w:rPr>
          <w:rFonts w:ascii="Arial" w:cs="Arial" w:eastAsia="Arial" w:hAnsi="Arial"/>
          <w:sz w:val="19"/>
          <w:szCs w:val="19"/>
          <w:color w:val="auto"/>
        </w:rPr>
      </w:pPr>
    </w:p>
    <w:p>
      <w:pPr>
        <w:ind w:left="1240" w:hanging="352"/>
        <w:spacing w:after="0"/>
        <w:tabs>
          <w:tab w:leader="none" w:pos="12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Has a receiver or liquidator appointed for any part of their business or property;</w:t>
      </w:r>
    </w:p>
    <w:p>
      <w:pPr>
        <w:spacing w:after="0" w:line="23" w:lineRule="exact"/>
        <w:rPr>
          <w:rFonts w:ascii="Arial" w:cs="Arial" w:eastAsia="Arial" w:hAnsi="Arial"/>
          <w:sz w:val="19"/>
          <w:szCs w:val="19"/>
          <w:color w:val="auto"/>
        </w:rPr>
      </w:pPr>
    </w:p>
    <w:p>
      <w:pPr>
        <w:ind w:left="1220" w:hanging="332"/>
        <w:spacing w:after="0"/>
        <w:tabs>
          <w:tab w:leader="none" w:pos="1220" w:val="left"/>
        </w:tabs>
        <w:numPr>
          <w:ilvl w:val="1"/>
          <w:numId w:val="18"/>
        </w:numPr>
        <w:rPr>
          <w:rFonts w:ascii="Arial" w:cs="Arial" w:eastAsia="Arial" w:hAnsi="Arial"/>
          <w:sz w:val="19"/>
          <w:szCs w:val="19"/>
          <w:color w:val="auto"/>
        </w:rPr>
      </w:pPr>
      <w:r>
        <w:rPr>
          <w:rFonts w:ascii="Arial" w:cs="Arial" w:eastAsia="Arial" w:hAnsi="Arial"/>
          <w:sz w:val="19"/>
          <w:szCs w:val="19"/>
          <w:color w:val="auto"/>
        </w:rPr>
        <w:t>Makes an assignment for the benefit of creditors;</w:t>
      </w:r>
    </w:p>
    <w:p>
      <w:pPr>
        <w:spacing w:after="0" w:line="7" w:lineRule="exact"/>
        <w:rPr>
          <w:rFonts w:ascii="Arial" w:cs="Arial" w:eastAsia="Arial" w:hAnsi="Arial"/>
          <w:sz w:val="19"/>
          <w:szCs w:val="19"/>
          <w:color w:val="auto"/>
        </w:rPr>
      </w:pPr>
    </w:p>
    <w:p>
      <w:pPr>
        <w:ind w:left="1340" w:right="780" w:hanging="337"/>
        <w:spacing w:after="0" w:line="262" w:lineRule="auto"/>
        <w:tabs>
          <w:tab w:leader="none" w:pos="1341" w:val="left"/>
        </w:tabs>
        <w:numPr>
          <w:ilvl w:val="2"/>
          <w:numId w:val="19"/>
        </w:numPr>
        <w:rPr>
          <w:rFonts w:ascii="Arial" w:cs="Arial" w:eastAsia="Arial" w:hAnsi="Arial"/>
          <w:sz w:val="19"/>
          <w:szCs w:val="19"/>
          <w:color w:val="auto"/>
        </w:rPr>
      </w:pPr>
      <w:r>
        <w:rPr>
          <w:rFonts w:ascii="Arial" w:cs="Arial" w:eastAsia="Arial" w:hAnsi="Arial"/>
          <w:sz w:val="19"/>
          <w:szCs w:val="19"/>
          <w:color w:val="auto"/>
        </w:rPr>
        <w:t>Has any adverse change in financial condition or business operation that Lender believes may materially affect Borrower’s ability to pay this Note;</w:t>
      </w:r>
    </w:p>
    <w:p>
      <w:pPr>
        <w:spacing w:after="0" w:line="12" w:lineRule="exact"/>
        <w:rPr>
          <w:sz w:val="20"/>
          <w:szCs w:val="20"/>
          <w:color w:val="auto"/>
        </w:rPr>
      </w:pPr>
    </w:p>
    <w:p>
      <w:pPr>
        <w:ind w:left="1340" w:right="1460" w:hanging="452"/>
        <w:spacing w:after="0" w:line="314" w:lineRule="auto"/>
        <w:tabs>
          <w:tab w:leader="none" w:pos="1204" w:val="left"/>
        </w:tabs>
        <w:numPr>
          <w:ilvl w:val="0"/>
          <w:numId w:val="20"/>
        </w:numPr>
        <w:rPr>
          <w:rFonts w:ascii="Arial" w:cs="Arial" w:eastAsia="Arial" w:hAnsi="Arial"/>
          <w:sz w:val="19"/>
          <w:szCs w:val="19"/>
          <w:color w:val="auto"/>
        </w:rPr>
      </w:pPr>
      <w:r>
        <w:rPr>
          <w:rFonts w:ascii="Arial" w:cs="Arial" w:eastAsia="Arial" w:hAnsi="Arial"/>
          <w:sz w:val="19"/>
          <w:szCs w:val="19"/>
          <w:color w:val="auto"/>
        </w:rPr>
        <w:t>Reorganizes, merges, consolidates, or otherwise changes ownership or business structure without Lender’s prior written consent; or</w:t>
      </w:r>
    </w:p>
    <w:p>
      <w:pPr>
        <w:ind w:left="1340" w:right="1900" w:hanging="452"/>
        <w:spacing w:after="0" w:line="324" w:lineRule="auto"/>
        <w:tabs>
          <w:tab w:leader="none" w:pos="1270" w:val="left"/>
        </w:tabs>
        <w:numPr>
          <w:ilvl w:val="0"/>
          <w:numId w:val="20"/>
        </w:numPr>
        <w:rPr>
          <w:rFonts w:ascii="Arial" w:cs="Arial" w:eastAsia="Arial" w:hAnsi="Arial"/>
          <w:sz w:val="19"/>
          <w:szCs w:val="19"/>
          <w:color w:val="auto"/>
        </w:rPr>
      </w:pPr>
      <w:r>
        <w:rPr>
          <w:rFonts w:ascii="Arial" w:cs="Arial" w:eastAsia="Arial" w:hAnsi="Arial"/>
          <w:sz w:val="19"/>
          <w:szCs w:val="19"/>
          <w:color w:val="auto"/>
        </w:rPr>
        <w:t>Becomes the subject of a civil or criminal action that Lender believes may materially affect Borrower’s ability to pay this Note.</w:t>
      </w: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color w:val="auto"/>
        </w:rPr>
        <w:t>5.  LENDER’S RIGHTS IF THERE IS A DEFAULT:</w:t>
      </w:r>
    </w:p>
    <w:p>
      <w:pPr>
        <w:spacing w:after="0" w:line="61" w:lineRule="exact"/>
        <w:rPr>
          <w:sz w:val="20"/>
          <w:szCs w:val="20"/>
          <w:color w:val="auto"/>
        </w:rPr>
      </w:pPr>
    </w:p>
    <w:p>
      <w:pPr>
        <w:ind w:left="900"/>
        <w:spacing w:after="0"/>
        <w:rPr>
          <w:sz w:val="20"/>
          <w:szCs w:val="20"/>
          <w:color w:val="auto"/>
        </w:rPr>
      </w:pPr>
      <w:r>
        <w:rPr>
          <w:rFonts w:ascii="Arial" w:cs="Arial" w:eastAsia="Arial" w:hAnsi="Arial"/>
          <w:sz w:val="19"/>
          <w:szCs w:val="19"/>
          <w:color w:val="auto"/>
        </w:rPr>
        <w:t>Without notice or demand and without giving up any of its rights, Lender may:</w:t>
      </w:r>
    </w:p>
    <w:p>
      <w:pPr>
        <w:spacing w:after="0" w:line="114" w:lineRule="exact"/>
        <w:rPr>
          <w:sz w:val="20"/>
          <w:szCs w:val="20"/>
          <w:color w:val="auto"/>
        </w:rPr>
      </w:pPr>
    </w:p>
    <w:p>
      <w:pPr>
        <w:ind w:left="1220" w:hanging="326"/>
        <w:spacing w:after="0"/>
        <w:tabs>
          <w:tab w:leader="none" w:pos="12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Require immediate payment of all amounts owing under this Note;</w:t>
      </w:r>
    </w:p>
    <w:p>
      <w:pPr>
        <w:spacing w:after="0" w:line="87" w:lineRule="exact"/>
        <w:rPr>
          <w:rFonts w:ascii="Arial" w:cs="Arial" w:eastAsia="Arial" w:hAnsi="Arial"/>
          <w:sz w:val="19"/>
          <w:szCs w:val="19"/>
          <w:color w:val="auto"/>
        </w:rPr>
      </w:pPr>
    </w:p>
    <w:p>
      <w:pPr>
        <w:ind w:left="1220" w:hanging="332"/>
        <w:spacing w:after="0"/>
        <w:tabs>
          <w:tab w:leader="none" w:pos="12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Collect all amounts owing from any Borrower or Guarantor;</w:t>
      </w:r>
    </w:p>
    <w:p>
      <w:pPr>
        <w:spacing w:after="0" w:line="23" w:lineRule="exact"/>
        <w:rPr>
          <w:rFonts w:ascii="Arial" w:cs="Arial" w:eastAsia="Arial" w:hAnsi="Arial"/>
          <w:sz w:val="19"/>
          <w:szCs w:val="19"/>
          <w:color w:val="auto"/>
        </w:rPr>
      </w:pPr>
    </w:p>
    <w:p>
      <w:pPr>
        <w:ind w:left="1220" w:hanging="332"/>
        <w:spacing w:after="0"/>
        <w:tabs>
          <w:tab w:leader="none" w:pos="12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File suit and obtain judgment;</w:t>
      </w:r>
    </w:p>
    <w:p>
      <w:pPr>
        <w:spacing w:after="0" w:line="7" w:lineRule="exact"/>
        <w:rPr>
          <w:rFonts w:ascii="Arial" w:cs="Arial" w:eastAsia="Arial" w:hAnsi="Arial"/>
          <w:sz w:val="19"/>
          <w:szCs w:val="19"/>
          <w:color w:val="auto"/>
        </w:rPr>
      </w:pPr>
    </w:p>
    <w:p>
      <w:pPr>
        <w:ind w:left="1220" w:hanging="332"/>
        <w:spacing w:after="0"/>
        <w:tabs>
          <w:tab w:leader="none" w:pos="12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Take possession of any Collateral; or</w:t>
      </w:r>
    </w:p>
    <w:p>
      <w:pPr>
        <w:spacing w:after="0" w:line="111" w:lineRule="exact"/>
        <w:rPr>
          <w:rFonts w:ascii="Arial" w:cs="Arial" w:eastAsia="Arial" w:hAnsi="Arial"/>
          <w:sz w:val="19"/>
          <w:szCs w:val="19"/>
          <w:color w:val="auto"/>
        </w:rPr>
      </w:pPr>
    </w:p>
    <w:p>
      <w:pPr>
        <w:ind w:left="1340" w:right="2020" w:hanging="325"/>
        <w:spacing w:after="0" w:line="280" w:lineRule="auto"/>
        <w:tabs>
          <w:tab w:leader="none" w:pos="1335" w:val="left"/>
        </w:tabs>
        <w:numPr>
          <w:ilvl w:val="1"/>
          <w:numId w:val="21"/>
        </w:numPr>
        <w:rPr>
          <w:rFonts w:ascii="Arial" w:cs="Arial" w:eastAsia="Arial" w:hAnsi="Arial"/>
          <w:sz w:val="19"/>
          <w:szCs w:val="19"/>
          <w:color w:val="auto"/>
        </w:rPr>
      </w:pPr>
      <w:r>
        <w:rPr>
          <w:rFonts w:ascii="Arial" w:cs="Arial" w:eastAsia="Arial" w:hAnsi="Arial"/>
          <w:sz w:val="19"/>
          <w:szCs w:val="19"/>
          <w:color w:val="auto"/>
        </w:rPr>
        <w:t>Sell, lease, or otherwise dispose of, any Collateral at public or private sale, with or without advertisement.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6.  LENDER’S GENERAL POWERS:</w:t>
      </w:r>
    </w:p>
    <w:p>
      <w:pPr>
        <w:spacing w:after="0" w:line="234" w:lineRule="exact"/>
        <w:rPr>
          <w:sz w:val="20"/>
          <w:szCs w:val="20"/>
          <w:color w:val="auto"/>
        </w:rPr>
      </w:pPr>
    </w:p>
    <w:p>
      <w:pPr>
        <w:ind w:left="900"/>
        <w:spacing w:after="0"/>
        <w:rPr>
          <w:sz w:val="20"/>
          <w:szCs w:val="20"/>
          <w:color w:val="auto"/>
        </w:rPr>
      </w:pPr>
      <w:r>
        <w:rPr>
          <w:rFonts w:ascii="Arial" w:cs="Arial" w:eastAsia="Arial" w:hAnsi="Arial"/>
          <w:sz w:val="19"/>
          <w:szCs w:val="19"/>
          <w:color w:val="auto"/>
        </w:rPr>
        <w:t>Without notice and without Borrower’s consent, Lender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581025</wp:posOffset>
            </wp:positionV>
            <wp:extent cx="5775325" cy="363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75325" cy="36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366395</wp:posOffset>
            </wp:positionV>
            <wp:extent cx="7151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0420"/>
          </w:cols>
          <w:pgMar w:left="1120" w:top="801" w:right="359" w:bottom="1440" w:gutter="0" w:footer="0" w:header="0"/>
        </w:sectPr>
      </w:pPr>
    </w:p>
    <w:bookmarkStart w:id="27" w:name="page28"/>
    <w:bookmarkEnd w:id="27"/>
    <w:p>
      <w:pPr>
        <w:ind w:left="1220" w:hanging="332"/>
        <w:spacing w:after="0"/>
        <w:tabs>
          <w:tab w:leader="none" w:pos="12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Bid on or buy the Collateral at its sale or the sale of another lienholder, at any price it chooses;</w:t>
      </w:r>
    </w:p>
    <w:p>
      <w:pPr>
        <w:spacing w:after="0" w:line="87" w:lineRule="exact"/>
        <w:rPr>
          <w:rFonts w:ascii="Arial" w:cs="Arial" w:eastAsia="Arial" w:hAnsi="Arial"/>
          <w:sz w:val="19"/>
          <w:szCs w:val="19"/>
          <w:color w:val="auto"/>
        </w:rPr>
      </w:pPr>
    </w:p>
    <w:p>
      <w:pPr>
        <w:ind w:left="1340" w:right="240" w:hanging="366"/>
        <w:spacing w:after="0" w:line="256" w:lineRule="auto"/>
        <w:tabs>
          <w:tab w:leader="none" w:pos="1350" w:val="left"/>
        </w:tabs>
        <w:numPr>
          <w:ilvl w:val="1"/>
          <w:numId w:val="22"/>
        </w:numPr>
        <w:rPr>
          <w:rFonts w:ascii="Arial" w:cs="Arial" w:eastAsia="Arial" w:hAnsi="Arial"/>
          <w:sz w:val="19"/>
          <w:szCs w:val="19"/>
          <w:color w:val="auto"/>
        </w:rPr>
      </w:pPr>
      <w:r>
        <w:rPr>
          <w:rFonts w:ascii="Arial" w:cs="Arial" w:eastAsia="Arial" w:hAnsi="Arial"/>
          <w:sz w:val="19"/>
          <w:szCs w:val="19"/>
          <w:color w:val="auto"/>
        </w:rPr>
        <w:t>Incur expenses to collect amounts due under this Note, enforce the terms of this Note or any other Loan Document, and preserve or dispose of the Collateral. Among other things, the expenses may include payments for property taxes, prior liens, insurance, appraisals, environmental remediation costs, and reasonable attorney’s fees and costs. If Lender incurs such expenses, it may demand immediate repayment from Borrower or add the expenses to the principal balance;</w:t>
      </w:r>
    </w:p>
    <w:p>
      <w:pPr>
        <w:spacing w:after="0" w:line="18" w:lineRule="exact"/>
        <w:rPr>
          <w:sz w:val="20"/>
          <w:szCs w:val="20"/>
          <w:color w:val="auto"/>
        </w:rPr>
      </w:pPr>
    </w:p>
    <w:p>
      <w:pPr>
        <w:ind w:left="1220" w:hanging="332"/>
        <w:spacing w:after="0"/>
        <w:tabs>
          <w:tab w:leader="none" w:pos="12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Release anyone obligated to pay this Note;</w:t>
      </w:r>
    </w:p>
    <w:p>
      <w:pPr>
        <w:spacing w:after="0" w:line="87" w:lineRule="exact"/>
        <w:rPr>
          <w:rFonts w:ascii="Arial" w:cs="Arial" w:eastAsia="Arial" w:hAnsi="Arial"/>
          <w:sz w:val="19"/>
          <w:szCs w:val="19"/>
          <w:color w:val="auto"/>
        </w:rPr>
      </w:pPr>
    </w:p>
    <w:p>
      <w:pPr>
        <w:ind w:left="1280" w:hanging="392"/>
        <w:spacing w:after="0"/>
        <w:tabs>
          <w:tab w:leader="none" w:pos="12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Compromise, release, renew, extend or substitute any of the Collateral; and</w:t>
      </w:r>
    </w:p>
    <w:p>
      <w:pPr>
        <w:spacing w:after="0" w:line="87" w:lineRule="exact"/>
        <w:rPr>
          <w:rFonts w:ascii="Arial" w:cs="Arial" w:eastAsia="Arial" w:hAnsi="Arial"/>
          <w:sz w:val="19"/>
          <w:szCs w:val="19"/>
          <w:color w:val="auto"/>
        </w:rPr>
      </w:pPr>
    </w:p>
    <w:p>
      <w:pPr>
        <w:ind w:left="1200" w:hanging="312"/>
        <w:spacing w:after="0"/>
        <w:tabs>
          <w:tab w:leader="none" w:pos="12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Take any action necessary to protect the Collateral or collect amounts owing on this Note.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color w:val="auto"/>
        </w:rPr>
        <w:t>7.  WHEN FEDERAL LAW APPLIES:</w:t>
      </w:r>
    </w:p>
    <w:p>
      <w:pPr>
        <w:spacing w:after="0" w:line="234" w:lineRule="exact"/>
        <w:rPr>
          <w:sz w:val="20"/>
          <w:szCs w:val="20"/>
          <w:color w:val="auto"/>
        </w:rPr>
      </w:pPr>
    </w:p>
    <w:p>
      <w:pPr>
        <w:ind w:left="900"/>
        <w:spacing w:after="0"/>
        <w:rPr>
          <w:sz w:val="20"/>
          <w:szCs w:val="20"/>
          <w:color w:val="auto"/>
        </w:rPr>
      </w:pPr>
      <w:r>
        <w:rPr>
          <w:rFonts w:ascii="Arial" w:cs="Arial" w:eastAsia="Arial" w:hAnsi="Arial"/>
          <w:sz w:val="19"/>
          <w:szCs w:val="19"/>
          <w:color w:val="auto"/>
        </w:rPr>
        <w:t>When SBA is the holder, this Note will be interpreted and enforced under federal law, including SBA</w:t>
      </w:r>
    </w:p>
    <w:p>
      <w:pPr>
        <w:spacing w:after="0" w:line="24" w:lineRule="exact"/>
        <w:rPr>
          <w:sz w:val="20"/>
          <w:szCs w:val="20"/>
          <w:color w:val="auto"/>
        </w:rPr>
      </w:pPr>
    </w:p>
    <w:p>
      <w:pPr>
        <w:ind w:left="900" w:right="240"/>
        <w:spacing w:after="0" w:line="253" w:lineRule="auto"/>
        <w:rPr>
          <w:sz w:val="20"/>
          <w:szCs w:val="20"/>
          <w:color w:val="auto"/>
        </w:rPr>
      </w:pPr>
      <w:r>
        <w:rPr>
          <w:rFonts w:ascii="Arial" w:cs="Arial" w:eastAsia="Arial" w:hAnsi="Arial"/>
          <w:sz w:val="19"/>
          <w:szCs w:val="19"/>
          <w:color w:val="auto"/>
        </w:rPr>
        <w:t>regulations. Lender or SBA may use state or local procedures for filing papers, recording documents, giving notice, foreclosing liens, and other purposes. By using such procedures, SBA does not waive any federal immunity from state or local control, penalty, tax, or liability. As to this Note, Borrower may not claim or assert against SBA any local or state law to deny any obligation, defeat any claim of SBA, or preempt federal law.</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auto"/>
        </w:rPr>
        <w:t>8.  SUCCESSORS AND ASSIGNS:</w:t>
      </w:r>
    </w:p>
    <w:p>
      <w:pPr>
        <w:spacing w:after="0" w:line="234" w:lineRule="exact"/>
        <w:rPr>
          <w:sz w:val="20"/>
          <w:szCs w:val="20"/>
          <w:color w:val="auto"/>
        </w:rPr>
      </w:pPr>
    </w:p>
    <w:p>
      <w:pPr>
        <w:ind w:left="900" w:right="240"/>
        <w:spacing w:after="0" w:line="280" w:lineRule="auto"/>
        <w:rPr>
          <w:sz w:val="20"/>
          <w:szCs w:val="20"/>
          <w:color w:val="auto"/>
        </w:rPr>
      </w:pPr>
      <w:r>
        <w:rPr>
          <w:rFonts w:ascii="Arial" w:cs="Arial" w:eastAsia="Arial" w:hAnsi="Arial"/>
          <w:sz w:val="19"/>
          <w:szCs w:val="19"/>
          <w:color w:val="auto"/>
        </w:rPr>
        <w:t>Under this Note, Borrower and Operating Company include the successors of each, and Lender includes its successors and assigns.</w:t>
      </w:r>
    </w:p>
    <w:p>
      <w:pPr>
        <w:spacing w:after="0" w:line="354" w:lineRule="exact"/>
        <w:rPr>
          <w:sz w:val="20"/>
          <w:szCs w:val="20"/>
          <w:color w:val="auto"/>
        </w:rPr>
      </w:pPr>
    </w:p>
    <w:p>
      <w:pPr>
        <w:ind w:left="300" w:hanging="286"/>
        <w:spacing w:after="0"/>
        <w:tabs>
          <w:tab w:leader="none" w:pos="3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GENERAL PROVISIONS:</w:t>
      </w:r>
    </w:p>
    <w:p>
      <w:pPr>
        <w:spacing w:after="0" w:line="193" w:lineRule="exact"/>
        <w:rPr>
          <w:rFonts w:ascii="Arial" w:cs="Arial" w:eastAsia="Arial" w:hAnsi="Arial"/>
          <w:sz w:val="19"/>
          <w:szCs w:val="19"/>
          <w:color w:val="auto"/>
        </w:rPr>
      </w:pPr>
    </w:p>
    <w:p>
      <w:pPr>
        <w:ind w:left="1200" w:hanging="346"/>
        <w:spacing w:after="0"/>
        <w:tabs>
          <w:tab w:leader="none" w:pos="12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All individuals and entities signing this Note are jointly and severally liable.</w:t>
      </w:r>
    </w:p>
    <w:p>
      <w:pPr>
        <w:spacing w:after="0" w:line="87" w:lineRule="exact"/>
        <w:rPr>
          <w:rFonts w:ascii="Arial" w:cs="Arial" w:eastAsia="Arial" w:hAnsi="Arial"/>
          <w:sz w:val="19"/>
          <w:szCs w:val="19"/>
          <w:color w:val="auto"/>
        </w:rPr>
      </w:pPr>
    </w:p>
    <w:p>
      <w:pPr>
        <w:ind w:left="1180" w:hanging="326"/>
        <w:spacing w:after="0"/>
        <w:tabs>
          <w:tab w:leader="none" w:pos="11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Borrower waives all suretyship defenses.</w:t>
      </w:r>
    </w:p>
    <w:p>
      <w:pPr>
        <w:spacing w:after="0" w:line="47" w:lineRule="exact"/>
        <w:rPr>
          <w:rFonts w:ascii="Arial" w:cs="Arial" w:eastAsia="Arial" w:hAnsi="Arial"/>
          <w:sz w:val="19"/>
          <w:szCs w:val="19"/>
          <w:color w:val="auto"/>
        </w:rPr>
      </w:pPr>
    </w:p>
    <w:p>
      <w:pPr>
        <w:ind w:left="1320" w:right="600" w:hanging="378"/>
        <w:spacing w:after="0" w:line="270" w:lineRule="auto"/>
        <w:tabs>
          <w:tab w:leader="none" w:pos="1268" w:val="left"/>
        </w:tabs>
        <w:numPr>
          <w:ilvl w:val="2"/>
          <w:numId w:val="24"/>
        </w:numPr>
        <w:rPr>
          <w:rFonts w:ascii="Arial" w:cs="Arial" w:eastAsia="Arial" w:hAnsi="Arial"/>
          <w:sz w:val="19"/>
          <w:szCs w:val="19"/>
          <w:color w:val="auto"/>
        </w:rPr>
      </w:pPr>
      <w:r>
        <w:rPr>
          <w:rFonts w:ascii="Arial" w:cs="Arial" w:eastAsia="Arial" w:hAnsi="Arial"/>
          <w:sz w:val="19"/>
          <w:szCs w:val="19"/>
          <w:color w:val="auto"/>
        </w:rPr>
        <w:t>Borrower must sign all documents necessary at any time to comply with the Loan Documents and to enable Lender to acquire, perfect, or maintain Lender’s liens on Collateral.</w:t>
      </w:r>
    </w:p>
    <w:p>
      <w:pPr>
        <w:ind w:left="1340" w:right="400" w:hanging="392"/>
        <w:spacing w:after="0" w:line="262" w:lineRule="auto"/>
        <w:tabs>
          <w:tab w:leader="none" w:pos="1276" w:val="left"/>
        </w:tabs>
        <w:numPr>
          <w:ilvl w:val="2"/>
          <w:numId w:val="24"/>
        </w:numPr>
        <w:rPr>
          <w:rFonts w:ascii="Arial" w:cs="Arial" w:eastAsia="Arial" w:hAnsi="Arial"/>
          <w:sz w:val="19"/>
          <w:szCs w:val="19"/>
          <w:color w:val="auto"/>
        </w:rPr>
      </w:pPr>
      <w:r>
        <w:rPr>
          <w:rFonts w:ascii="Arial" w:cs="Arial" w:eastAsia="Arial" w:hAnsi="Arial"/>
          <w:sz w:val="19"/>
          <w:szCs w:val="19"/>
          <w:color w:val="auto"/>
        </w:rPr>
        <w:t>Lender may exercise any of its rights separately or together, as many times and in any order it chooses. Lender may delay or forgo enforcing any of its rights without giving up any of them.</w:t>
      </w:r>
    </w:p>
    <w:p>
      <w:pPr>
        <w:spacing w:after="0" w:line="1" w:lineRule="exact"/>
        <w:rPr>
          <w:rFonts w:ascii="Arial" w:cs="Arial" w:eastAsia="Arial" w:hAnsi="Arial"/>
          <w:sz w:val="19"/>
          <w:szCs w:val="19"/>
          <w:color w:val="auto"/>
        </w:rPr>
      </w:pPr>
    </w:p>
    <w:p>
      <w:pPr>
        <w:ind w:left="1260" w:hanging="322"/>
        <w:spacing w:after="0"/>
        <w:tabs>
          <w:tab w:leader="none" w:pos="1260" w:val="left"/>
        </w:tabs>
        <w:numPr>
          <w:ilvl w:val="2"/>
          <w:numId w:val="24"/>
        </w:numPr>
        <w:rPr>
          <w:rFonts w:ascii="Arial" w:cs="Arial" w:eastAsia="Arial" w:hAnsi="Arial"/>
          <w:sz w:val="19"/>
          <w:szCs w:val="19"/>
          <w:color w:val="auto"/>
        </w:rPr>
      </w:pPr>
      <w:r>
        <w:rPr>
          <w:rFonts w:ascii="Arial" w:cs="Arial" w:eastAsia="Arial" w:hAnsi="Arial"/>
          <w:sz w:val="19"/>
          <w:szCs w:val="19"/>
          <w:color w:val="auto"/>
        </w:rPr>
        <w:t>Borrower may not use an oral statement of Lender or SBA to contradict or alter the written terms of this Note.</w:t>
      </w:r>
    </w:p>
    <w:p>
      <w:pPr>
        <w:spacing w:after="0" w:line="127" w:lineRule="exact"/>
        <w:rPr>
          <w:sz w:val="20"/>
          <w:szCs w:val="20"/>
          <w:color w:val="auto"/>
        </w:rPr>
      </w:pPr>
    </w:p>
    <w:p>
      <w:pPr>
        <w:ind w:left="1140" w:hanging="286"/>
        <w:spacing w:after="0"/>
        <w:tabs>
          <w:tab w:leader="none" w:pos="11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If any part of this Note is unenforceable, all other parts remain in effect.</w:t>
      </w:r>
    </w:p>
    <w:p>
      <w:pPr>
        <w:spacing w:after="0" w:line="47" w:lineRule="exact"/>
        <w:rPr>
          <w:rFonts w:ascii="Arial" w:cs="Arial" w:eastAsia="Arial" w:hAnsi="Arial"/>
          <w:sz w:val="19"/>
          <w:szCs w:val="19"/>
          <w:color w:val="auto"/>
        </w:rPr>
      </w:pPr>
    </w:p>
    <w:p>
      <w:pPr>
        <w:jc w:val="both"/>
        <w:ind w:left="1340" w:hanging="395"/>
        <w:spacing w:after="0" w:line="271" w:lineRule="auto"/>
        <w:tabs>
          <w:tab w:leader="none" w:pos="13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the extent allowed by law, Borrower waives all demands and notices in connection with this Note, including presentment, demand, protest, and notice of dishonor. Borrower also waives any defenses based upon any claim</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that Lender did not obtain any guarantee; did not obtain, perfect, or maintain</w:t>
      </w:r>
    </w:p>
    <w:p>
      <w:pPr>
        <w:spacing w:after="0" w:line="8"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a lien upon Collateral; impaired Collateral; or did not obtain the fair market value of Collateral at a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570865</wp:posOffset>
            </wp:positionV>
            <wp:extent cx="5775325" cy="3632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75325" cy="36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00"/>
        <w:spacing w:after="0"/>
        <w:rPr>
          <w:sz w:val="20"/>
          <w:szCs w:val="20"/>
          <w:color w:val="auto"/>
        </w:rPr>
      </w:pPr>
      <w:r>
        <w:rPr>
          <w:rFonts w:ascii="Arial" w:cs="Arial" w:eastAsia="Arial" w:hAnsi="Arial"/>
          <w:sz w:val="17"/>
          <w:szCs w:val="17"/>
          <w:color w:val="auto"/>
        </w:rPr>
        <w:t>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373380</wp:posOffset>
            </wp:positionV>
            <wp:extent cx="71513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0440"/>
          </w:cols>
          <w:pgMar w:left="1120" w:top="920" w:right="339" w:bottom="1440" w:gutter="0" w:footer="0" w:header="0"/>
        </w:sectPr>
      </w:pPr>
    </w:p>
    <w:bookmarkStart w:id="28" w:name="page29"/>
    <w:bookmarkEnd w:id="28"/>
    <w:p>
      <w:pPr>
        <w:ind w:left="800" w:right="7400" w:hanging="795"/>
        <w:spacing w:after="0" w:line="470" w:lineRule="auto"/>
        <w:tabs>
          <w:tab w:leader="none" w:pos="304" w:val="left"/>
        </w:tabs>
        <w:numPr>
          <w:ilvl w:val="0"/>
          <w:numId w:val="26"/>
        </w:numPr>
        <w:rPr>
          <w:rFonts w:ascii="Arial" w:cs="Arial" w:eastAsia="Arial" w:hAnsi="Arial"/>
          <w:sz w:val="19"/>
          <w:szCs w:val="19"/>
          <w:color w:val="auto"/>
        </w:rPr>
      </w:pPr>
      <w:r>
        <w:rPr>
          <w:rFonts w:ascii="Arial" w:cs="Arial" w:eastAsia="Arial" w:hAnsi="Arial"/>
          <w:sz w:val="19"/>
          <w:szCs w:val="19"/>
          <w:color w:val="auto"/>
        </w:rPr>
        <w:t>STATE-SPECIFIC PROVISIONS: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2439035</wp:posOffset>
            </wp:positionV>
            <wp:extent cx="5775325" cy="363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75325" cy="36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366395</wp:posOffset>
            </wp:positionV>
            <wp:extent cx="71513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0420"/>
          </w:cols>
          <w:pgMar w:left="1120" w:top="1386" w:right="359" w:bottom="1440" w:gutter="0" w:footer="0" w:header="0"/>
        </w:sectPr>
      </w:pPr>
    </w:p>
    <w:bookmarkStart w:id="29" w:name="page30"/>
    <w:bookmarkEnd w:id="29"/>
    <w:p>
      <w:pPr>
        <w:ind w:left="140"/>
        <w:spacing w:after="0"/>
        <w:rPr>
          <w:sz w:val="20"/>
          <w:szCs w:val="20"/>
          <w:color w:val="auto"/>
        </w:rPr>
      </w:pPr>
      <w:r>
        <w:rPr>
          <w:rFonts w:ascii="Arial" w:cs="Arial" w:eastAsia="Arial" w:hAnsi="Arial"/>
          <w:sz w:val="19"/>
          <w:szCs w:val="19"/>
          <w:color w:val="auto"/>
        </w:rPr>
        <w:t>11. BORROWER’S NAME(S) AND SIGNATURE(S):</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 signing below, each individual or entity becomes obligated under this Note as Borrower.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Electronic Signatures</w:t>
      </w:r>
    </w:p>
    <w:p>
      <w:pPr>
        <w:spacing w:after="0" w:line="23" w:lineRule="exact"/>
        <w:rPr>
          <w:sz w:val="20"/>
          <w:szCs w:val="20"/>
          <w:color w:val="auto"/>
        </w:rPr>
      </w:pPr>
    </w:p>
    <w:p>
      <w:pPr>
        <w:ind w:left="660" w:right="100"/>
        <w:spacing w:after="0" w:line="286" w:lineRule="auto"/>
        <w:rPr>
          <w:sz w:val="20"/>
          <w:szCs w:val="20"/>
          <w:color w:val="auto"/>
        </w:rPr>
      </w:pPr>
      <w:r>
        <w:rPr>
          <w:rFonts w:ascii="Arial" w:cs="Arial" w:eastAsia="Arial" w:hAnsi="Arial"/>
          <w:sz w:val="16"/>
          <w:szCs w:val="16"/>
          <w:color w:val="auto"/>
        </w:rPr>
        <w:t>Borrower's electronic signature shall have the same force and effect as an original signature and shall be deemed (i) to be “written” or “in writing” or an “electronic record”, (ii) to have been signed and (iii) to constitute a record established and maintained in the ordinary course of business and an original written record when printed from electronic files. Such paper copies or “printouts,” if introduced as evidence in any judicial, arbitral, mediation or administrative proceeding, will be admissible as between the parties to the same extent and under the same conditions as other original business records created and maintained in documentary form.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color w:val="auto"/>
        </w:rPr>
        <w:t>Red Violet,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1781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12"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1781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12"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b w:val="1"/>
          <w:bCs w:val="1"/>
          <w:color w:val="auto"/>
        </w:rPr>
        <w:t>Printed</w:t>
      </w:r>
      <w:r>
        <w:rPr>
          <w:sz w:val="20"/>
          <w:szCs w:val="20"/>
          <w:color w:val="auto"/>
        </w:rPr>
        <w:tab/>
      </w:r>
      <w:r>
        <w:rPr>
          <w:rFonts w:ascii="Arial" w:cs="Arial" w:eastAsia="Arial" w:hAnsi="Arial"/>
          <w:sz w:val="18"/>
          <w:szCs w:val="18"/>
          <w:color w:val="auto"/>
        </w:rPr>
        <w:t>Daniel MacLachlan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4445</wp:posOffset>
            </wp:positionV>
            <wp:extent cx="1781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19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1781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 xml:space="preserve">Date Signed: </w:t>
      </w:r>
      <w:r>
        <w:rPr>
          <w:rFonts w:ascii="Arial" w:cs="Arial" w:eastAsia="Arial" w:hAnsi="Arial"/>
          <w:sz w:val="18"/>
          <w:szCs w:val="18"/>
          <w:color w:val="auto"/>
        </w:rPr>
        <w:t>5/1/2020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15240</wp:posOffset>
            </wp:positionV>
            <wp:extent cx="1781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117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1475740</wp:posOffset>
            </wp:positionV>
            <wp:extent cx="5775325" cy="363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5325" cy="36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of 6</w:t>
      </w:r>
    </w:p>
    <w:p>
      <w:pPr>
        <w:sectPr>
          <w:pgSz w:w="11900" w:h="16838" w:orient="portrait"/>
          <w:cols w:equalWidth="0" w:num="1">
            <w:col w:w="10100"/>
          </w:cols>
          <w:pgMar w:left="1440" w:top="1160" w:right="3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18" w:lineRule="exact"/>
        <w:rPr>
          <w:sz w:val="20"/>
          <w:szCs w:val="20"/>
          <w:color w:val="auto"/>
        </w:rPr>
      </w:pPr>
    </w:p>
    <w:p>
      <w:pPr>
        <w:ind w:left="1020" w:hanging="508"/>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18" w:lineRule="exact"/>
        <w:rPr>
          <w:rFonts w:ascii="Arial" w:cs="Arial" w:eastAsia="Arial" w:hAnsi="Arial"/>
          <w:sz w:val="18"/>
          <w:szCs w:val="18"/>
          <w:color w:val="auto"/>
        </w:rPr>
      </w:pPr>
    </w:p>
    <w:p>
      <w:pPr>
        <w:jc w:val="both"/>
        <w:ind w:left="1020" w:right="180" w:hanging="508"/>
        <w:spacing w:after="0" w:line="25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1020" w:right="140" w:hanging="508"/>
        <w:spacing w:after="0" w:line="329"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jc w:val="both"/>
        <w:ind w:left="1020" w:right="100" w:hanging="508"/>
        <w:spacing w:after="0" w:line="284"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07" w:lineRule="exact"/>
        <w:rPr>
          <w:rFonts w:ascii="Arial" w:cs="Arial" w:eastAsia="Arial" w:hAnsi="Arial"/>
          <w:sz w:val="16"/>
          <w:szCs w:val="16"/>
          <w:color w:val="auto"/>
        </w:rPr>
      </w:pPr>
    </w:p>
    <w:p>
      <w:pPr>
        <w:ind w:left="1520" w:right="60" w:hanging="503"/>
        <w:spacing w:after="0" w:line="256"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1520" w:right="60" w:hanging="503"/>
        <w:spacing w:after="0" w:line="256"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520" w:right="140" w:hanging="503"/>
        <w:spacing w:after="0" w:line="410" w:lineRule="auto"/>
        <w:tabs>
          <w:tab w:leader="none" w:pos="15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4"/>
          <w:szCs w:val="14"/>
          <w:color w:val="auto"/>
        </w:rPr>
      </w:pPr>
    </w:p>
    <w:p>
      <w:pPr>
        <w:ind w:left="1520" w:right="140" w:hanging="503"/>
        <w:spacing w:after="0" w:line="256"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1020" w:right="60" w:hanging="508"/>
        <w:spacing w:after="0" w:line="329"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520" w:right="380" w:hanging="503"/>
        <w:spacing w:after="0" w:line="329" w:lineRule="auto"/>
        <w:tabs>
          <w:tab w:leader="none" w:pos="15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6"/>
          <w:szCs w:val="16"/>
          <w:color w:val="auto"/>
        </w:rPr>
      </w:pPr>
    </w:p>
    <w:p>
      <w:pPr>
        <w:ind w:left="1520" w:right="80" w:hanging="503"/>
        <w:spacing w:after="0" w:line="266"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color w:val="auto"/>
        </w:rPr>
        <w:t>By:  /s/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11430</wp:posOffset>
            </wp:positionV>
            <wp:extent cx="29889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auto"/>
        </w:rPr>
        <w:t>Derek Dubner</w:t>
      </w:r>
    </w:p>
    <w:p>
      <w:pPr>
        <w:spacing w:after="0" w:line="1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18" w:lineRule="exact"/>
        <w:rPr>
          <w:sz w:val="20"/>
          <w:szCs w:val="20"/>
          <w:color w:val="auto"/>
        </w:rPr>
      </w:pPr>
    </w:p>
    <w:p>
      <w:pPr>
        <w:ind w:left="1020" w:hanging="508"/>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18" w:lineRule="exact"/>
        <w:rPr>
          <w:rFonts w:ascii="Arial" w:cs="Arial" w:eastAsia="Arial" w:hAnsi="Arial"/>
          <w:sz w:val="18"/>
          <w:szCs w:val="18"/>
          <w:color w:val="auto"/>
        </w:rPr>
      </w:pPr>
    </w:p>
    <w:p>
      <w:pPr>
        <w:jc w:val="both"/>
        <w:ind w:left="1020" w:right="180" w:hanging="508"/>
        <w:spacing w:after="0" w:line="25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1020" w:right="140" w:hanging="508"/>
        <w:spacing w:after="0" w:line="329"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jc w:val="both"/>
        <w:ind w:left="1020" w:right="100" w:hanging="508"/>
        <w:spacing w:after="0" w:line="284"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07" w:lineRule="exact"/>
        <w:rPr>
          <w:rFonts w:ascii="Arial" w:cs="Arial" w:eastAsia="Arial" w:hAnsi="Arial"/>
          <w:sz w:val="16"/>
          <w:szCs w:val="16"/>
          <w:color w:val="auto"/>
        </w:rPr>
      </w:pPr>
    </w:p>
    <w:p>
      <w:pPr>
        <w:ind w:left="1520" w:right="60" w:hanging="503"/>
        <w:spacing w:after="0" w:line="256"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ind w:left="1520" w:right="60" w:hanging="503"/>
        <w:spacing w:after="0" w:line="256"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520" w:right="140" w:hanging="503"/>
        <w:spacing w:after="0" w:line="410" w:lineRule="auto"/>
        <w:tabs>
          <w:tab w:leader="none" w:pos="1520" w:val="left"/>
        </w:tabs>
        <w:numPr>
          <w:ilvl w:val="1"/>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Arial" w:cs="Arial" w:eastAsia="Arial" w:hAnsi="Arial"/>
          <w:sz w:val="14"/>
          <w:szCs w:val="14"/>
          <w:color w:val="auto"/>
        </w:rPr>
      </w:pPr>
    </w:p>
    <w:p>
      <w:pPr>
        <w:ind w:left="1520" w:right="140" w:hanging="503"/>
        <w:spacing w:after="0" w:line="256"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1020" w:right="60" w:hanging="508"/>
        <w:spacing w:after="0" w:line="329"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6"/>
          <w:szCs w:val="16"/>
          <w:color w:val="auto"/>
        </w:rPr>
      </w:pPr>
    </w:p>
    <w:p>
      <w:pPr>
        <w:ind w:left="1520" w:right="380" w:hanging="503"/>
        <w:spacing w:after="0" w:line="329" w:lineRule="auto"/>
        <w:tabs>
          <w:tab w:leader="none" w:pos="15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6"/>
          <w:szCs w:val="16"/>
          <w:color w:val="auto"/>
        </w:rPr>
      </w:pPr>
    </w:p>
    <w:p>
      <w:pPr>
        <w:ind w:left="1520" w:right="80" w:hanging="503"/>
        <w:spacing w:after="0" w:line="266"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color w:val="auto"/>
        </w:rPr>
        <w:t>By:  /s/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11430</wp:posOffset>
            </wp:positionV>
            <wp:extent cx="2988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auto"/>
        </w:rPr>
        <w:t>Daniel MacLachlan</w:t>
      </w:r>
    </w:p>
    <w:p>
      <w:pPr>
        <w:spacing w:after="0" w:line="1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right="260" w:firstLine="510"/>
        <w:spacing w:after="0" w:line="256"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March 31, 2020 (the “Report”), the undersigned hereby certifies pursuant to 18 U.S.C. Section 1350, as adopted pursuant to Section 906 of the Sarbanes-Oxley Act of 2002, to my knowledge and belief, that:</w:t>
      </w:r>
    </w:p>
    <w:p>
      <w:pPr>
        <w:spacing w:after="0" w:line="189" w:lineRule="exact"/>
        <w:rPr>
          <w:sz w:val="20"/>
          <w:szCs w:val="20"/>
          <w:color w:val="auto"/>
        </w:rPr>
      </w:pPr>
    </w:p>
    <w:p>
      <w:pPr>
        <w:ind w:left="520" w:hanging="514"/>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8" w:lineRule="exact"/>
        <w:rPr>
          <w:rFonts w:ascii="Arial" w:cs="Arial" w:eastAsia="Arial" w:hAnsi="Arial"/>
          <w:sz w:val="18"/>
          <w:szCs w:val="18"/>
          <w:color w:val="auto"/>
        </w:rPr>
      </w:pPr>
    </w:p>
    <w:p>
      <w:pPr>
        <w:ind w:left="520" w:hanging="514"/>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6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color w:val="auto"/>
        </w:rPr>
        <w:t>By:  /s/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11430</wp:posOffset>
            </wp:positionV>
            <wp:extent cx="2633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3398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Derek Dubner</w:t>
      </w:r>
    </w:p>
    <w:p>
      <w:pPr>
        <w:spacing w:after="0" w:line="1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ind w:right="160" w:firstLine="510"/>
        <w:spacing w:after="0" w:line="266"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ectPr>
          <w:pgSz w:w="11900" w:h="16838" w:orient="portrait"/>
          <w:cols w:equalWidth="0" w:num="1">
            <w:col w:w="11240"/>
          </w:cols>
          <w:pgMar w:left="320" w:top="33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right="260" w:firstLine="510"/>
        <w:spacing w:after="0" w:line="256"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March 31, 2020 (the “Report”), the undersigned hereby certifies pursuant to 18 U.S.C. Section 1350, as adopted pursuant to Section 906 of the Sarbanes-Oxley Act of 2002, to my knowledge and belief, that:</w:t>
      </w:r>
    </w:p>
    <w:p>
      <w:pPr>
        <w:spacing w:after="0" w:line="189" w:lineRule="exact"/>
        <w:rPr>
          <w:sz w:val="20"/>
          <w:szCs w:val="20"/>
          <w:color w:val="auto"/>
        </w:rPr>
      </w:pPr>
    </w:p>
    <w:p>
      <w:pPr>
        <w:ind w:left="520" w:hanging="514"/>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8" w:lineRule="exact"/>
        <w:rPr>
          <w:rFonts w:ascii="Arial" w:cs="Arial" w:eastAsia="Arial" w:hAnsi="Arial"/>
          <w:sz w:val="18"/>
          <w:szCs w:val="18"/>
          <w:color w:val="auto"/>
        </w:rPr>
      </w:pPr>
    </w:p>
    <w:p>
      <w:pPr>
        <w:ind w:left="520" w:hanging="514"/>
        <w:spacing w:after="0"/>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6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May 11, 2020</w:t>
      </w:r>
      <w:r>
        <w:rPr>
          <w:sz w:val="20"/>
          <w:szCs w:val="20"/>
          <w:color w:val="auto"/>
        </w:rPr>
        <w:tab/>
      </w:r>
      <w:r>
        <w:rPr>
          <w:rFonts w:ascii="Arial" w:cs="Arial" w:eastAsia="Arial" w:hAnsi="Arial"/>
          <w:sz w:val="16"/>
          <w:szCs w:val="16"/>
          <w:color w:val="auto"/>
        </w:rPr>
        <w:t>By:  /s/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11430</wp:posOffset>
            </wp:positionV>
            <wp:extent cx="2633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3398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Daniel MacLachlan</w:t>
      </w:r>
    </w:p>
    <w:p>
      <w:pPr>
        <w:spacing w:after="0" w:line="1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Financial and Accounting Officer)</w:t>
      </w:r>
    </w:p>
    <w:p>
      <w:pPr>
        <w:spacing w:after="0" w:line="207" w:lineRule="exact"/>
        <w:rPr>
          <w:sz w:val="20"/>
          <w:szCs w:val="20"/>
          <w:color w:val="auto"/>
        </w:rPr>
      </w:pPr>
    </w:p>
    <w:p>
      <w:pPr>
        <w:ind w:right="160" w:firstLine="510"/>
        <w:spacing w:after="0" w:line="266"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sectPr>
      <w:pgSz w:w="11900" w:h="16838" w:orient="portrait"/>
      <w:cols w:equalWidth="0" w:num="1">
        <w:col w:w="11240"/>
      </w:cols>
      <w:pgMar w:left="320" w:top="3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Roman"/>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upperLetter"/>
      <w:start w:val="1"/>
    </w:lvl>
    <w:lvl w:ilvl="1">
      <w:lvlJc w:val="left"/>
      <w:lvlText w:val="%2."/>
      <w:numFmt w:val="upperLetter"/>
      <w:start w:val="2"/>
    </w:lvl>
  </w:abstractNum>
  <w:abstractNum w:abstractNumId="11">
    <w:nsid w:val="628C895D"/>
    <w:multiLevelType w:val="hybridMultilevel"/>
    <w:lvl w:ilvl="0">
      <w:lvlJc w:val="left"/>
      <w:lvlText w:val="%1."/>
      <w:numFmt w:val="lowerRoman"/>
      <w:start w:val="1"/>
    </w:lvl>
    <w:lvl w:ilvl="1">
      <w:lvlJc w:val="left"/>
      <w:lvlText w:val="%2."/>
      <w:numFmt w:val="lowerRoman"/>
      <w:start w:val="2"/>
    </w:lvl>
  </w:abstractNum>
  <w:abstractNum w:abstractNumId="12">
    <w:nsid w:val="333AB105"/>
    <w:multiLevelType w:val="hybridMultilevel"/>
    <w:lvl w:ilvl="0">
      <w:lvlJc w:val="left"/>
      <w:lvlText w:val="%1"/>
      <w:numFmt w:val="upperLetter"/>
      <w:start w:val="1"/>
    </w:lvl>
    <w:lvl w:ilvl="1">
      <w:lvlJc w:val="left"/>
      <w:lvlText w:val="%2."/>
      <w:numFmt w:val="lowerRoman"/>
      <w:start w:val="3"/>
    </w:lvl>
  </w:abstractNum>
  <w:abstractNum w:abstractNumId="13">
    <w:nsid w:val="721DA317"/>
    <w:multiLevelType w:val="hybridMultilevel"/>
    <w:lvl w:ilvl="0">
      <w:lvlJc w:val="left"/>
      <w:lvlText w:val="%1."/>
      <w:numFmt w:val="upperLetter"/>
      <w:start w:val="3"/>
    </w:lvl>
    <w:lvl w:ilvl="1">
      <w:lvlJc w:val="left"/>
      <w:lvlText w:val="%2"/>
      <w:numFmt w:val="lowerRoman"/>
      <w:start w:val="1"/>
    </w:lvl>
  </w:abstractNum>
  <w:abstractNum w:abstractNumId="14">
    <w:nsid w:val="2443A858"/>
    <w:multiLevelType w:val="hybridMultilevel"/>
    <w:lvl w:ilvl="0">
      <w:lvlJc w:val="left"/>
      <w:lvlText w:val="%1."/>
      <w:numFmt w:val="upperLetter"/>
      <w:start w:val="6"/>
    </w:lvl>
    <w:lvl w:ilvl="1">
      <w:lvlJc w:val="left"/>
      <w:lvlText w:val="%2"/>
      <w:numFmt w:val="upperLetter"/>
      <w:start w:val="1"/>
    </w:lvl>
    <w:lvl w:ilvl="2">
      <w:lvlJc w:val="left"/>
      <w:lvlText w:val="%3"/>
      <w:numFmt w:val="upperLetter"/>
      <w:start w:val="1"/>
    </w:lvl>
  </w:abstractNum>
  <w:abstractNum w:abstractNumId="15">
    <w:nsid w:val="2D1D5AE9"/>
    <w:multiLevelType w:val="hybridMultilevel"/>
    <w:lvl w:ilvl="0">
      <w:lvlJc w:val="left"/>
      <w:lvlText w:val="%1"/>
      <w:numFmt w:val="upperLetter"/>
      <w:start w:val="1"/>
    </w:lvl>
    <w:lvl w:ilvl="1">
      <w:lvlJc w:val="left"/>
      <w:lvlText w:val="%2."/>
      <w:numFmt w:val="upperLetter"/>
      <w:start w:val="9"/>
    </w:lvl>
  </w:abstractNum>
  <w:abstractNum w:abstractNumId="16">
    <w:nsid w:val="6763845E"/>
    <w:multiLevelType w:val="hybridMultilevel"/>
    <w:lvl w:ilvl="0">
      <w:lvlJc w:val="left"/>
      <w:lvlText w:val="%1."/>
      <w:numFmt w:val="upperLetter"/>
      <w:start w:val="10"/>
    </w:lvl>
    <w:lvl w:ilvl="1">
      <w:lvlJc w:val="left"/>
      <w:lvlText w:val="%2"/>
      <w:numFmt w:val="upperLetter"/>
      <w:start w:val="1"/>
    </w:lvl>
  </w:abstractNum>
  <w:abstractNum w:abstractNumId="17">
    <w:nsid w:val="75A2A8D4"/>
    <w:multiLevelType w:val="hybridMultilevel"/>
    <w:lvl w:ilvl="0">
      <w:lvlJc w:val="left"/>
      <w:lvlText w:val="%1."/>
      <w:numFmt w:val="upperLetter"/>
      <w:start w:val="1"/>
    </w:lvl>
    <w:lvl w:ilvl="1">
      <w:lvlJc w:val="left"/>
      <w:lvlText w:val="%2."/>
      <w:numFmt w:val="upperLetter"/>
      <w:start w:val="6"/>
    </w:lvl>
    <w:lvl w:ilvl="2">
      <w:lvlJc w:val="left"/>
      <w:lvlText w:val="%3."/>
      <w:numFmt w:val="upperLetter"/>
      <w:start w:val="6"/>
    </w:lvl>
  </w:abstractNum>
  <w:abstractNum w:abstractNumId="18">
    <w:nsid w:val="8EDBDAB"/>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1"/>
    </w:lvl>
  </w:abstractNum>
  <w:abstractNum w:abstractNumId="19">
    <w:nsid w:val="79838CB2"/>
    <w:multiLevelType w:val="hybridMultilevel"/>
    <w:lvl w:ilvl="0">
      <w:lvlJc w:val="left"/>
      <w:lvlText w:val="%1."/>
      <w:numFmt w:val="upperLetter"/>
      <w:start w:val="12"/>
    </w:lvl>
  </w:abstractNum>
  <w:abstractNum w:abstractNumId="20">
    <w:nsid w:val="4353D0CD"/>
    <w:multiLevelType w:val="hybridMultilevel"/>
    <w:lvl w:ilvl="0">
      <w:lvlJc w:val="left"/>
      <w:lvlText w:val="%1."/>
      <w:numFmt w:val="upperLetter"/>
      <w:start w:val="1"/>
    </w:lvl>
    <w:lvl w:ilvl="1">
      <w:lvlJc w:val="left"/>
      <w:lvlText w:val="%2."/>
      <w:numFmt w:val="upperLetter"/>
      <w:start w:val="5"/>
    </w:lvl>
  </w:abstractNum>
  <w:abstractNum w:abstractNumId="21">
    <w:nsid w:val="B03E0C6"/>
    <w:multiLevelType w:val="hybridMultilevel"/>
    <w:lvl w:ilvl="0">
      <w:lvlJc w:val="left"/>
      <w:lvlText w:val="%1."/>
      <w:numFmt w:val="upperLetter"/>
      <w:start w:val="1"/>
    </w:lvl>
    <w:lvl w:ilvl="1">
      <w:lvlJc w:val="left"/>
      <w:lvlText w:val="%2."/>
      <w:numFmt w:val="upperLetter"/>
      <w:start w:val="2"/>
    </w:lvl>
  </w:abstractNum>
  <w:abstractNum w:abstractNumId="22">
    <w:nsid w:val="189A769B"/>
    <w:multiLevelType w:val="hybridMultilevel"/>
    <w:lvl w:ilvl="0">
      <w:lvlJc w:val="left"/>
      <w:lvlText w:val="%1."/>
      <w:numFmt w:val="upperLetter"/>
      <w:start w:val="3"/>
    </w:lvl>
  </w:abstractNum>
  <w:abstractNum w:abstractNumId="23">
    <w:nsid w:val="54E49EB4"/>
    <w:multiLevelType w:val="hybridMultilevel"/>
    <w:lvl w:ilvl="0">
      <w:lvlJc w:val="left"/>
      <w:lvlText w:val="%1."/>
      <w:numFmt w:val="decimal"/>
      <w:start w:val="9"/>
    </w:lvl>
    <w:lvl w:ilvl="1">
      <w:lvlJc w:val="left"/>
      <w:lvlText w:val="%2."/>
      <w:numFmt w:val="upperLetter"/>
      <w:start w:val="1"/>
    </w:lvl>
    <w:lvl w:ilvl="2">
      <w:lvlJc w:val="left"/>
      <w:lvlText w:val="%3."/>
      <w:numFmt w:val="upperLetter"/>
      <w:start w:val="3"/>
    </w:lvl>
  </w:abstractNum>
  <w:abstractNum w:abstractNumId="24">
    <w:nsid w:val="71F32454"/>
    <w:multiLevelType w:val="hybridMultilevel"/>
    <w:lvl w:ilvl="0">
      <w:lvlJc w:val="left"/>
      <w:lvlText w:val="%1."/>
      <w:numFmt w:val="upperLetter"/>
      <w:start w:val="6"/>
    </w:lvl>
    <w:lvl w:ilvl="1">
      <w:lvlJc w:val="left"/>
      <w:lvlText w:val="%2."/>
      <w:numFmt w:val="upperLetter"/>
      <w:start w:val="7"/>
    </w:lvl>
  </w:abstractNum>
  <w:abstractNum w:abstractNumId="25">
    <w:nsid w:val="2CA88611"/>
    <w:multiLevelType w:val="hybridMultilevel"/>
    <w:lvl w:ilvl="0">
      <w:lvlJc w:val="left"/>
      <w:lvlText w:val="%1."/>
      <w:numFmt w:val="decimal"/>
      <w:start w:val="10"/>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2020-05-11T16:21:48Z</dcterms:created>
  <dcterms:modified xsi:type="dcterms:W3CDTF">2020-05-11T16:21:48Z</dcterms:modified>
</cp:coreProperties>
</file>