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0" w:lineRule="exact"/>
        <w:rPr>
          <w:sz w:val="24"/>
          <w:szCs w:val="24"/>
          <w:color w:val="auto"/>
        </w:rPr>
      </w:pPr>
    </w:p>
    <w:p>
      <w:pPr>
        <w:ind w:left="580" w:hanging="559"/>
        <w:spacing w:after="0"/>
        <w:tabs>
          <w:tab w:leader="none" w:pos="58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ANNUAL REPORT PURSUANT TO SECTION 13 OR 15 (d) OF THE SECURITIES EXCHANGE ACT OF 1934</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3" w:lineRule="exact"/>
        <w:rPr>
          <w:sz w:val="24"/>
          <w:szCs w:val="24"/>
          <w:color w:val="auto"/>
        </w:rPr>
      </w:pPr>
    </w:p>
    <w:p>
      <w:pPr>
        <w:ind w:left="580" w:hanging="559"/>
        <w:spacing w:after="0"/>
        <w:tabs>
          <w:tab w:leader="none" w:pos="58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w:t>
      </w:r>
      <w:r>
        <w:rPr>
          <w:rFonts w:ascii="Times New Roman" w:cs="Times New Roman" w:eastAsia="Times New Roman" w:hAnsi="Times New Roman"/>
          <w:sz w:val="17"/>
          <w:szCs w:val="17"/>
          <w:b w:val="1"/>
          <w:bCs w:val="1"/>
          <w:color w:val="auto"/>
        </w:rPr>
        <w:t>4</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2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3720" w:type="dxa"/>
            <w:vAlign w:val="bottom"/>
            <w:gridSpan w:val="2"/>
          </w:tcPr>
          <w:p>
            <w:pPr>
              <w:jc w:val="right"/>
              <w:ind w:right="2739"/>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58"/>
        </w:trPr>
        <w:tc>
          <w:tcPr>
            <w:tcW w:w="21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tbl>
      <w:tblPr>
        <w:tblLayout w:type="fixed"/>
        <w:tblInd w:w="10" w:type="dxa"/>
        <w:tblCellMar>
          <w:top w:w="0" w:type="dxa"/>
          <w:left w:w="0" w:type="dxa"/>
          <w:bottom w:w="0" w:type="dxa"/>
          <w:right w:w="0" w:type="dxa"/>
        </w:tblCellMar>
      </w:tblPr>
      <w:tr>
        <w:trPr>
          <w:trHeight w:val="360"/>
        </w:trPr>
        <w:tc>
          <w:tcPr>
            <w:tcW w:w="3840" w:type="dxa"/>
            <w:vAlign w:val="bottom"/>
          </w:tcPr>
          <w:p>
            <w:pPr>
              <w:spacing w:after="0"/>
              <w:rPr>
                <w:sz w:val="24"/>
                <w:szCs w:val="24"/>
                <w:color w:val="auto"/>
              </w:rPr>
            </w:pPr>
          </w:p>
        </w:tc>
        <w:tc>
          <w:tcPr>
            <w:tcW w:w="3920" w:type="dxa"/>
            <w:vAlign w:val="bottom"/>
            <w:gridSpan w:val="4"/>
          </w:tcPr>
          <w:p>
            <w:pPr>
              <w:jc w:val="center"/>
              <w:ind w:right="360"/>
              <w:spacing w:after="0"/>
              <w:rPr>
                <w:sz w:val="20"/>
                <w:szCs w:val="20"/>
                <w:color w:val="auto"/>
              </w:rPr>
            </w:pPr>
            <w:r>
              <w:rPr>
                <w:rFonts w:ascii="Times New Roman" w:cs="Times New Roman" w:eastAsia="Times New Roman" w:hAnsi="Times New Roman"/>
                <w:sz w:val="29"/>
                <w:szCs w:val="29"/>
                <w:b w:val="1"/>
                <w:bCs w:val="1"/>
                <w:color w:val="auto"/>
                <w:w w:val="98"/>
              </w:rPr>
              <w:t>RED VIOLET, INC.</w:t>
            </w: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39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4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840" w:type="dxa"/>
            <w:vAlign w:val="bottom"/>
            <w:vMerge w:val="restart"/>
          </w:tcPr>
          <w:p>
            <w:pPr>
              <w:jc w:val="center"/>
              <w:ind w:left="172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6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80" w:type="dxa"/>
            <w:vAlign w:val="bottom"/>
            <w:gridSpan w:val="2"/>
            <w:vMerge w:val="restart"/>
          </w:tcPr>
          <w:p>
            <w:pPr>
              <w:jc w:val="center"/>
              <w:ind w:right="1944"/>
              <w:spacing w:after="0"/>
              <w:rPr>
                <w:sz w:val="20"/>
                <w:szCs w:val="20"/>
                <w:color w:val="auto"/>
              </w:rPr>
            </w:pPr>
            <w:r>
              <w:rPr>
                <w:rFonts w:ascii="Times New Roman" w:cs="Times New Roman" w:eastAsia="Times New Roman" w:hAnsi="Times New Roman"/>
                <w:sz w:val="16"/>
                <w:szCs w:val="16"/>
                <w:b w:val="1"/>
                <w:bCs w:val="1"/>
                <w:color w:val="auto"/>
              </w:rPr>
              <w:t>82-2408531</w:t>
            </w:r>
          </w:p>
        </w:tc>
        <w:tc>
          <w:tcPr>
            <w:tcW w:w="0" w:type="dxa"/>
            <w:vAlign w:val="bottom"/>
          </w:tcPr>
          <w:p>
            <w:pPr>
              <w:spacing w:after="0"/>
              <w:rPr>
                <w:sz w:val="1"/>
                <w:szCs w:val="1"/>
                <w:color w:val="auto"/>
              </w:rPr>
            </w:pPr>
          </w:p>
        </w:tc>
      </w:tr>
      <w:tr>
        <w:trPr>
          <w:trHeight w:val="271"/>
        </w:trPr>
        <w:tc>
          <w:tcPr>
            <w:tcW w:w="384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840" w:type="dxa"/>
            <w:vAlign w:val="bottom"/>
          </w:tcPr>
          <w:p>
            <w:pPr>
              <w:jc w:val="center"/>
              <w:ind w:left="1725"/>
              <w:spacing w:after="0" w:line="148"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gridSpan w:val="2"/>
          </w:tcPr>
          <w:p>
            <w:pPr>
              <w:jc w:val="center"/>
              <w:ind w:right="1944"/>
              <w:spacing w:after="0" w:line="14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40" w:type="dxa"/>
            <w:vAlign w:val="bottom"/>
          </w:tcPr>
          <w:p>
            <w:pPr>
              <w:jc w:val="center"/>
              <w:ind w:left="1725"/>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92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2650 North Military Trail, Suite 300,</w:t>
            </w:r>
          </w:p>
        </w:tc>
        <w:tc>
          <w:tcPr>
            <w:tcW w:w="3480" w:type="dxa"/>
            <w:vAlign w:val="bottom"/>
            <w:gridSpan w:val="2"/>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3920" w:type="dxa"/>
            <w:vAlign w:val="bottom"/>
            <w:gridSpan w:val="4"/>
            <w:vMerge w:val="continue"/>
          </w:tcPr>
          <w:p>
            <w:pPr>
              <w:spacing w:after="0"/>
              <w:rPr>
                <w:sz w:val="16"/>
                <w:szCs w:val="16"/>
                <w:color w:val="auto"/>
              </w:rPr>
            </w:pPr>
          </w:p>
        </w:tc>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Boca Raton, Florida 33431</w:t>
            </w:r>
          </w:p>
        </w:tc>
        <w:tc>
          <w:tcPr>
            <w:tcW w:w="4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39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392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 (561) 757-4000</w:t>
            </w:r>
          </w:p>
        </w:tc>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38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1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840" w:type="dxa"/>
            <w:vAlign w:val="bottom"/>
            <w:tcBorders>
              <w:left w:val="single" w:sz="8" w:color="auto"/>
              <w:bottom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w w:val="97"/>
              </w:rPr>
              <w:t>Title of each class</w:t>
            </w:r>
          </w:p>
        </w:tc>
        <w:tc>
          <w:tcPr>
            <w:tcW w:w="660" w:type="dxa"/>
            <w:vAlign w:val="bottom"/>
            <w:tcBorders>
              <w:bottom w:val="single" w:sz="8" w:color="auto"/>
            </w:tcBorders>
          </w:tcPr>
          <w:p>
            <w:pPr>
              <w:spacing w:after="0"/>
              <w:rPr>
                <w:sz w:val="13"/>
                <w:szCs w:val="13"/>
                <w:color w:val="auto"/>
              </w:rPr>
            </w:pPr>
          </w:p>
        </w:tc>
        <w:tc>
          <w:tcPr>
            <w:tcW w:w="3160" w:type="dxa"/>
            <w:vAlign w:val="bottom"/>
            <w:tcBorders>
              <w:bottom w:val="single" w:sz="8" w:color="auto"/>
              <w:right w:val="single" w:sz="8" w:color="auto"/>
            </w:tcBorders>
            <w:gridSpan w:val="2"/>
          </w:tcPr>
          <w:p>
            <w:pPr>
              <w:jc w:val="center"/>
              <w:ind w:right="700"/>
              <w:spacing w:after="0" w:line="136" w:lineRule="exact"/>
              <w:rPr>
                <w:sz w:val="20"/>
                <w:szCs w:val="20"/>
                <w:color w:val="auto"/>
              </w:rPr>
            </w:pPr>
            <w:r>
              <w:rPr>
                <w:rFonts w:ascii="Times New Roman" w:cs="Times New Roman" w:eastAsia="Times New Roman" w:hAnsi="Times New Roman"/>
                <w:sz w:val="13"/>
                <w:szCs w:val="13"/>
                <w:color w:val="auto"/>
                <w:w w:val="96"/>
              </w:rPr>
              <w:t>Trading Symbol (s)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0" w:type="dxa"/>
            <w:vAlign w:val="bottom"/>
            <w:tcBorders>
              <w:bottom w:val="single" w:sz="8" w:color="auto"/>
              <w:right w:val="single" w:sz="8" w:color="auto"/>
            </w:tcBorders>
          </w:tcPr>
          <w:p>
            <w:pPr>
              <w:ind w:left="80"/>
              <w:spacing w:after="0" w:line="136" w:lineRule="exact"/>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20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660" w:type="dxa"/>
            <w:vAlign w:val="bottom"/>
            <w:tcBorders>
              <w:bottom w:val="single" w:sz="8" w:color="auto"/>
            </w:tcBorders>
          </w:tcPr>
          <w:p>
            <w:pPr>
              <w:spacing w:after="0"/>
              <w:rPr>
                <w:sz w:val="17"/>
                <w:szCs w:val="17"/>
                <w:color w:val="auto"/>
              </w:rPr>
            </w:pPr>
          </w:p>
        </w:tc>
        <w:tc>
          <w:tcPr>
            <w:tcW w:w="316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RDVT</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51"/>
        </w:trPr>
        <w:tc>
          <w:tcPr>
            <w:tcW w:w="7760" w:type="dxa"/>
            <w:vAlign w:val="bottom"/>
            <w:gridSpan w:val="5"/>
          </w:tcPr>
          <w:p>
            <w:pPr>
              <w:jc w:val="center"/>
              <w:ind w:left="3405"/>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4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500" w:type="dxa"/>
            <w:vAlign w:val="bottom"/>
            <w:gridSpan w:val="2"/>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020" w:type="dxa"/>
            <w:vAlign w:val="bottom"/>
            <w:gridSpan w:val="2"/>
          </w:tcPr>
          <w:p>
            <w:pPr>
              <w:spacing w:after="0"/>
              <w:rPr>
                <w:sz w:val="6"/>
                <w:szCs w:val="6"/>
                <w:color w:val="auto"/>
              </w:rPr>
            </w:pPr>
          </w:p>
        </w:tc>
        <w:tc>
          <w:tcPr>
            <w:tcW w:w="480" w:type="dxa"/>
            <w:vAlign w:val="bottom"/>
            <w:vMerge w:val="restart"/>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p>
        </w:tc>
        <w:tc>
          <w:tcPr>
            <w:tcW w:w="3000" w:type="dxa"/>
            <w:vAlign w:val="bottom"/>
            <w:vMerge w:val="restart"/>
          </w:tcPr>
          <w:p>
            <w:pPr>
              <w:jc w:val="center"/>
              <w:ind w:right="2184"/>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80" w:type="dxa"/>
            <w:vAlign w:val="bottom"/>
            <w:vMerge w:val="continue"/>
          </w:tcPr>
          <w:p>
            <w:pPr>
              <w:spacing w:after="0"/>
              <w:rPr>
                <w:sz w:val="20"/>
                <w:szCs w:val="20"/>
                <w:color w:val="auto"/>
              </w:rPr>
            </w:pPr>
          </w:p>
        </w:tc>
        <w:tc>
          <w:tcPr>
            <w:tcW w:w="3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3000" w:type="dxa"/>
            <w:vAlign w:val="bottom"/>
          </w:tcPr>
          <w:p>
            <w:pPr>
              <w:jc w:val="center"/>
              <w:ind w:right="2184"/>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5" w:lineRule="exact"/>
        <w:rPr>
          <w:sz w:val="24"/>
          <w:szCs w:val="24"/>
          <w:color w:val="auto"/>
        </w:rPr>
      </w:pPr>
    </w:p>
    <w:p>
      <w:pPr>
        <w:ind w:right="40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6"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88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7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88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7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70"/>
        </w:trPr>
        <w:tc>
          <w:tcPr>
            <w:tcW w:w="23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7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28" w:lineRule="exact"/>
        <w:rPr>
          <w:sz w:val="24"/>
          <w:szCs w:val="24"/>
          <w:color w:val="auto"/>
        </w:rPr>
      </w:pPr>
    </w:p>
    <w:p>
      <w:pPr>
        <w:ind w:right="580"/>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6" w:lineRule="exact"/>
        <w:rPr>
          <w:sz w:val="24"/>
          <w:szCs w:val="24"/>
          <w:color w:val="auto"/>
        </w:rPr>
      </w:pPr>
    </w:p>
    <w:p>
      <w:pPr>
        <w:ind w:right="22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300"/>
        <w:spacing w:after="0" w:line="21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16" w:lineRule="exact"/>
        <w:rPr>
          <w:sz w:val="24"/>
          <w:szCs w:val="24"/>
          <w:color w:val="auto"/>
        </w:rPr>
      </w:pPr>
    </w:p>
    <w:p>
      <w:pPr>
        <w:ind w:right="320"/>
        <w:spacing w:after="0" w:line="215"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spacing w:after="0" w:line="215" w:lineRule="exact"/>
        <w:tabs>
          <w:tab w:leader="none" w:pos="73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30" w:lineRule="exact"/>
        <w:rPr>
          <w:sz w:val="24"/>
          <w:szCs w:val="24"/>
          <w:color w:val="auto"/>
        </w:rPr>
      </w:pPr>
    </w:p>
    <w:p>
      <w:pPr>
        <w:ind w:right="280"/>
        <w:spacing w:after="0" w:line="290" w:lineRule="auto"/>
        <w:rPr>
          <w:sz w:val="20"/>
          <w:szCs w:val="20"/>
          <w:color w:val="auto"/>
        </w:rPr>
      </w:pPr>
      <w:r>
        <w:rPr>
          <w:rFonts w:ascii="Times New Roman" w:cs="Times New Roman" w:eastAsia="Times New Roman" w:hAnsi="Times New Roman"/>
          <w:sz w:val="16"/>
          <w:szCs w:val="16"/>
          <w:color w:val="auto"/>
        </w:rPr>
        <w:t>On June 30, 2022, the last business day of the registrant’s most recently completed second fiscal quarter, the aggregate market value (based on the closing per share sales price of its common stock on that date) of the voting stock held by non-affiliates of the registrant was $205.5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as of March 3, 2023, was 13,958,504.</w:t>
      </w:r>
    </w:p>
    <w:p>
      <w:pPr>
        <w:spacing w:after="0" w:line="5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Portions of the registrant’s Proxy Statement relating to its 2023 Annual Meeting of Stockholders to be filed with the SEC within 120 days after the end of the fiscal year ended December 31, 2022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gridSpan w:val="10"/>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RED VIOLET,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60" w:type="dxa"/>
            <w:vAlign w:val="bottom"/>
            <w:gridSpan w:val="12"/>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TABLE OF CONTENTS FOR FORM 10-K</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15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6"/>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8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0" w:type="dxa"/>
            <w:vAlign w:val="bottom"/>
            <w:gridSpan w:val="5"/>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Business</w:t>
            </w:r>
          </w:p>
        </w:tc>
        <w:tc>
          <w:tcPr>
            <w:tcW w:w="8060" w:type="dxa"/>
            <w:vAlign w:val="bottom"/>
            <w:gridSpan w:val="2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Properties</w:t>
            </w:r>
          </w:p>
        </w:tc>
        <w:tc>
          <w:tcPr>
            <w:tcW w:w="6660" w:type="dxa"/>
            <w:vAlign w:val="bottom"/>
            <w:gridSpan w:val="1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7360" w:type="dxa"/>
            <w:vAlign w:val="bottom"/>
            <w:gridSpan w:val="16"/>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840" w:type="dxa"/>
            <w:vAlign w:val="bottom"/>
            <w:gridSpan w:val="4"/>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[Reserved]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2240" w:type="dxa"/>
            <w:vAlign w:val="bottom"/>
            <w:gridSpan w:val="4"/>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4340" w:type="dxa"/>
            <w:vAlign w:val="bottom"/>
            <w:gridSpan w:val="7"/>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222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auto"/>
            </w:tcBorders>
            <w:gridSpan w:val="3"/>
          </w:tcPr>
          <w:p>
            <w:pPr>
              <w:spacing w:after="0"/>
              <w:rPr>
                <w:sz w:val="18"/>
                <w:szCs w:val="18"/>
                <w:color w:val="auto"/>
              </w:rPr>
            </w:pPr>
          </w:p>
        </w:tc>
        <w:tc>
          <w:tcPr>
            <w:tcW w:w="6940" w:type="dxa"/>
            <w:vAlign w:val="bottom"/>
            <w:gridSpan w:val="14"/>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760" w:type="dxa"/>
            <w:vAlign w:val="bottom"/>
            <w:gridSpan w:val="2"/>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460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7"/>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2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3260" w:type="dxa"/>
            <w:vAlign w:val="bottom"/>
            <w:gridSpan w:val="5"/>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780" w:type="dxa"/>
            <w:vAlign w:val="bottom"/>
            <w:gridSpan w:val="3"/>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554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7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44"/>
        </w:trPr>
        <w:tc>
          <w:tcPr>
            <w:tcW w:w="1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65"/>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7"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This business description should be read in conjunction with our audited consolidated financial statements and accompanying notes thereto appearing elsewhere in this Annual Report on Form 10-K for the year ended December 31, 2022 (the “2022 Form 10-K”), which are incorporated herein by this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many diverse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the risk management industry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2022 and 2021, IDI had 7,021 and 6,548 billable customers and FOREWARN had 116,960 and 82,419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We define a user of FOREWARN as a unique person that has a subscription to use the FOREWARN service as of the last day of the period. A unique person can only have one user account.</w:t>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2022 and 2021, 75% and 80% of total revenue was attributable to customers with pricing contracts, respectively, versus 25% and 20% attributable to transactional customers, respectively.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 w:name="page4"/>
    <w:bookmarkEnd w:id="3"/>
    <w:p>
      <w:pPr>
        <w:ind w:right="4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6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and 2021, we had revenue of $53.3 million and $44.0 million, net income of $0.6 million and $0.7 million, and adjusted EBITDA of $12.9 million and $10.9 million, respectively. Adjusted EBITDA is a non-GAAP financial measure equal to net income, the most directly comparable financial measure based on accounting principles generally accepted in the United States (“US GAAP”), excluding interest (income) expense, net, income tax expense, depreciation and amortization, share-based compensation expense, gain on extinguishment of debt, litigation costs, and write-off of long-lived assets and others, as noted in the tables included in “Use and Reconciliation of Non-GAAP Financial Measures” of Item 7, “Management’s Discussion and Analysis of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target market for our solutions today consists of public and private sector organizations where cloud-driven identity intelligence is primary to their daily workflow.</w:t>
      </w:r>
    </w:p>
    <w:p>
      <w:pPr>
        <w:spacing w:after="0" w:line="13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data and analytics sector continues to grow at an accelerated pace due to the proliferation of data generated over the past two decades from both traditional and emerging sources, including e-commerce, mobile and social media. International Data Corporation, a global provider of market intelligence and advisory services, estimates that worldwide revenue for data and business analytics services was $215.7 billion in the year 2021, and a compound annual growth rate (“CAGR”) from 2021 through 2025 will be 12.8%. Fortune Business Insights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projected the global big data analytics market to rise to $655.5 billion by 2029, exhibiting a CAGR of 13.4% during the forecast period from 2022 through 2029. Continued, rapid innovation and adoption of new technologies presents enormous challenges for organizations of all types to sort through this sea of data to glean actionable intelligence and address their mission-critical functions. These challenges serve as key drivers of the sector’s growth. Our industry-agnostic platform, solutions, and analytical capabilities are designed to solve the myriad of complex problems that organizations face on a daily basis.</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Risk and fraud analytics has become increasingly important not only in the banking and financial services sectors but across multiple other industries and use cases. According to the market research company MarketsAndMarkets, the risk analytics market is projected to grow to $70.5 billion by 2027, representing CAGR of 12.4% from 2022 through 2027, with North America expected to account for the largest market size in the risk analytics market. Risk and fraud analytics and the information derived therefrom is now the primary service product for risk management associated with key purchasers such as banking and financial services companies, insurance companies, healthcare companies, law enforcement and government, collection agencies, law firms, retail, telecommunications companies and investigative firms. Primary use cases include, but are not limited to, obtaining information on consumers, businesses and assets (and their interrelationships) to facilitate the location of individuals and assets, identity verification, legislative compliance and to support criminal, legal, financial, insurance, and corporate investigations, due diligence and the assessment and mitigation of counterparty risk.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Challenges Facing Our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solutions address the challenges that the industry faces today, which include:</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Actionable Insights Through a Single, Cloud-Native Platform</w:t>
      </w:r>
      <w:r>
        <w:rPr>
          <w:rFonts w:ascii="Times New Roman" w:cs="Times New Roman" w:eastAsia="Times New Roman" w:hAnsi="Times New Roman"/>
          <w:sz w:val="18"/>
          <w:szCs w:val="18"/>
          <w:color w:val="auto"/>
        </w:rPr>
        <w:t>—As the velocity and volume of data continues to grow exponentially, organizations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overwhelmed with data and their inability to glean actionable insights from such data to derive successful decisions in real-time. Customers demand full-suite, turn-key solutions that are agile, flexible, and available on-demand in order to gain the speed, scale and insight necessary to drive decisioning. As the breadth and depth of data increases, organizations will need to deploy new technologies that enable both the ingestion of data at massive scale in real-time, irrespective of structure or form, and the analytics applications necessary to function across multiple channels. The accelerating digitization of human interactions, and the corresponding generation of the data resulting therefrom, is driving demand for data capture, management and analysis software. As a result, customers are looking for flexible and efficient solutions to unify disparate and often siloed sets of not only transactional data but also demographic, ethnographic and behavioral data as well, in order to provide insights that are truly actionable.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 w:name="page5"/>
    <w:bookmarkEnd w:id="4"/>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and Performance Pressures</w:t>
      </w:r>
      <w:r>
        <w:rPr>
          <w:rFonts w:ascii="Times New Roman" w:cs="Times New Roman" w:eastAsia="Times New Roman" w:hAnsi="Times New Roman"/>
          <w:sz w:val="18"/>
          <w:szCs w:val="18"/>
          <w:color w:val="auto"/>
        </w:rPr>
        <w:t>—As customers face constant cost pressures, they are increasingly dependent upon extracting greater value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solutions. Whether it is identity verification, managing risk, or regulatory compliance, customers are increasingly more sophisticated, requiring enhanced performance that provides fast, accurate, and cost-effective solutions to satisfy their business objectives. Improving performance can mean delivering the right information at the right time at greater scale, or providing the most intuitive information as rapidly as possible to capitalize on opportunities or reduce risk. Superior analytics combined with unified data assets delivers competitive advantages to our customers as they cope with these pressures.</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Delivering Solutions for Complex Problems Using Scalable Analytics</w:t>
      </w:r>
      <w:r>
        <w:rPr>
          <w:rFonts w:ascii="Times New Roman" w:cs="Times New Roman" w:eastAsia="Times New Roman" w:hAnsi="Times New Roman"/>
          <w:sz w:val="18"/>
          <w:szCs w:val="18"/>
          <w:color w:val="auto"/>
        </w:rPr>
        <w:t>—The larger and more complex a data set, the more difficult it is to derive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sustained levels of performance and insight. The highly-fragmented nature of data across multiple mediums and often siloed within organizations, the historical proliferation of data augmented by the recent acceleration of the digital transformation, and lack of robust technology inhibits the ability to create a unified data asset. There is an inherent need for information solutions that allow organizations to leverage unified data assets for actionable intelligence in support of their operational workflows and in a more efficient manner.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our leading-edge technology platform, massive database, and dynamic and intuitive solutions deliver superior capabilities to our customers. Our solutions enable our customers to make more informed inquiries regarding their challenges and better decisions to solve their most complex problems. We believe the following competitive strengths will continue to deliver an unrivaled value proposition that further drives our differentiation:</w:t>
      </w:r>
    </w:p>
    <w:p>
      <w:pPr>
        <w:spacing w:after="0" w:line="64" w:lineRule="exact"/>
        <w:rPr>
          <w:sz w:val="20"/>
          <w:szCs w:val="20"/>
          <w:color w:val="auto"/>
        </w:rPr>
      </w:pPr>
    </w:p>
    <w:p>
      <w:pPr>
        <w:ind w:left="300" w:right="140" w:hanging="292"/>
        <w:spacing w:after="0" w:line="26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Transformative and Innovative Cloud-Native Technology Platform</w:t>
      </w:r>
      <w:r>
        <w:rPr>
          <w:rFonts w:ascii="Times New Roman" w:cs="Times New Roman" w:eastAsia="Times New Roman" w:hAnsi="Times New Roman"/>
          <w:sz w:val="18"/>
          <w:szCs w:val="18"/>
          <w:color w:val="auto"/>
        </w:rPr>
        <w:t>—Through the power of our platform, CORE, we offer a comprehensive suite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solutions. Our cloud-native, data and industry agnostic platform enables us to assimilate, structure, and unify billions of disparate records to create comprehensive views that provide identity intelligence, and to present these insights in real-time via analytical interfaces. We believe our platform’s speed, power, extensibility and scalability are key differentiators in the marketplace.</w:t>
      </w:r>
    </w:p>
    <w:p>
      <w:pPr>
        <w:spacing w:after="0" w:line="68" w:lineRule="exact"/>
        <w:rPr>
          <w:rFonts w:ascii="Times New Roman" w:cs="Times New Roman" w:eastAsia="Times New Roman" w:hAnsi="Times New Roman"/>
          <w:sz w:val="18"/>
          <w:szCs w:val="18"/>
          <w:color w:val="auto"/>
        </w:rPr>
      </w:pPr>
    </w:p>
    <w:p>
      <w:pPr>
        <w:ind w:left="300" w:right="140" w:hanging="292"/>
        <w:spacing w:after="0" w:line="272"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Massive Unified Data Asset</w:t>
      </w:r>
      <w:r>
        <w:rPr>
          <w:rFonts w:ascii="Times New Roman" w:cs="Times New Roman" w:eastAsia="Times New Roman" w:hAnsi="Times New Roman"/>
          <w:sz w:val="17"/>
          <w:szCs w:val="17"/>
          <w:color w:val="auto"/>
        </w:rPr>
        <w:t>—Data is the lifeblood of our technology platform, and of modern society. We leverage our CORE platform to build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massive proprietary datasets and apply analytics in real-time to provide actionable insights. Our data is compiled from a myriad of online and offline sources, both structured and unstructured, including public record, publicly-available, proprietary, and self-reported data. Public record data includes personal information, as well as property, identity, bankruptcy, lien, judgment, automotive, phone and other information aggregated from companies specializing in data aggregation, public record databases, and publicly-available sources. Proprietary data is internally generated data unified by proprietary algorithms and analytic processes. Through next-generation technology and proprietary algorithms, we efficiently ingest these datasets, structure them into normalized form, and unify the data to resolve unique identities so as to create an actionable, real-time view of the information for various use cases, delivering greater intelligence to our customers and enhancing their decision-making capabilities across all markets and industries.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Solutions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public-record, proprietary and publicly-available data, our differentiated information and innovative platform and solutions deliver intelligence relating to all things identity – entities, relationships, affiliations, interactions, and events. Our solutions are used today to enable frictionless commerce, to ensure safety, and to reduce fraud and the concomitant expense borne by society.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Distribution and Marketing</w:t>
      </w:r>
    </w:p>
    <w:p>
      <w:pPr>
        <w:spacing w:after="0" w:line="19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Inside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Our inside sales team cultivates relationships, and ultimately closes business, with their end-user markets. These professionals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relationship-based sellers with experience in identifying customers’ needs and clearly explaining and defining products that provide solutions to those needs.</w:t>
      </w:r>
    </w:p>
    <w:p>
      <w:pPr>
        <w:spacing w:after="0" w:line="13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While the majority of our direct sales efforts are supported through professional inside sales staff, major accounts within certain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 a more personal, face-to-face strategic sales approach. We continue to expand this team to meet the demand of the markets.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5" w:name="page6"/>
    <w:bookmarkEnd w:id="5"/>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Distributors, Resellers, and Strategic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 conjunction with direct-to-customer sales efforts, we engage value-added distributors, resellers,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partners that have a significant foothold in many of the industries that we have not historically served, as well as to further penetrate those industries that we do serve. This allows us to rapidly penetrate these markets while also significantly reducing overhead associated with direct sales and support efforts.</w:t>
      </w:r>
    </w:p>
    <w:p>
      <w:pPr>
        <w:spacing w:after="0" w:line="14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We have implemented several methods to market our products, including participation in trade shows and seminars, advertising,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 distribution of sales literature and product specifications and ongoing communication with prospective customers, distributors, resellers, strategic partners and our installed base of current customers.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committed to developing innovative technology and using our analytical capabilities to deliver solutions that transform the way organizations interact with information. We are advancing our business through the following strategic approach:</w:t>
      </w:r>
    </w:p>
    <w:p>
      <w:pPr>
        <w:spacing w:after="0" w:line="131" w:lineRule="exact"/>
        <w:rPr>
          <w:sz w:val="20"/>
          <w:szCs w:val="20"/>
          <w:color w:val="auto"/>
        </w:rPr>
      </w:pPr>
    </w:p>
    <w:p>
      <w:pPr>
        <w:ind w:left="300" w:right="40" w:hanging="292"/>
        <w:spacing w:after="0" w:line="259"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Transform Data Into Intelligence</w:t>
      </w:r>
      <w:r>
        <w:rPr>
          <w:rFonts w:ascii="Times New Roman" w:cs="Times New Roman" w:eastAsia="Times New Roman" w:hAnsi="Times New Roman"/>
          <w:sz w:val="18"/>
          <w:szCs w:val="18"/>
          <w:color w:val="auto"/>
        </w:rPr>
        <w:t>—Our massive, unified data asset, integrated with our leading technology platform and solutions, delivers actionable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to organizations across diverse industries. As the digital transformation accelerates, the data generated therefrom increases rapidly. Derived semantic insight increases exponentially with each new data asset, creating compounded additional value that can be used by supervised and unsupervised machine learning algorithms. As we identify, assimilate and unify these new data assets, our solutions expand in applicability to larger-sized customers as well as additional industries and uses cases within.</w:t>
      </w:r>
    </w:p>
    <w:p>
      <w:pPr>
        <w:spacing w:after="0" w:line="138" w:lineRule="exact"/>
        <w:rPr>
          <w:rFonts w:ascii="Times New Roman" w:cs="Times New Roman" w:eastAsia="Times New Roman" w:hAnsi="Times New Roman"/>
          <w:sz w:val="18"/>
          <w:szCs w:val="18"/>
          <w:color w:val="auto"/>
        </w:rPr>
      </w:pPr>
    </w:p>
    <w:p>
      <w:pPr>
        <w:ind w:left="300" w:right="60" w:hanging="292"/>
        <w:spacing w:after="0" w:line="259"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Widen Our Technology Lead</w:t>
      </w:r>
      <w:r>
        <w:rPr>
          <w:rFonts w:ascii="Times New Roman" w:cs="Times New Roman" w:eastAsia="Times New Roman" w:hAnsi="Times New Roman"/>
          <w:sz w:val="18"/>
          <w:szCs w:val="18"/>
          <w:color w:val="auto"/>
        </w:rPr>
        <w:t>—Unlike legacy technologies, our platform was built in the cloud from the ground up. Due to its cloud-native construct,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CORE demonstrates increased speed and scalability as compared to legacy constructs. As competitors invest millions of dollars transitioning platforms from dated infrastructures to primarily hybrid-cloud environments, we are advancing and expanding our cloud-native technology and functionality to meet customer need, as customers increasingly rely on the speed, reliability, security, scalability and efficiencies that only the cloud delivers. We will continue to invest in our technology and people to widen our lead over competitive technologies.</w:t>
      </w:r>
    </w:p>
    <w:p>
      <w:pPr>
        <w:spacing w:after="0" w:line="138" w:lineRule="exact"/>
        <w:rPr>
          <w:rFonts w:ascii="Times New Roman" w:cs="Times New Roman" w:eastAsia="Times New Roman" w:hAnsi="Times New Roman"/>
          <w:sz w:val="18"/>
          <w:szCs w:val="18"/>
          <w:color w:val="auto"/>
        </w:rPr>
      </w:pPr>
    </w:p>
    <w:p>
      <w:pPr>
        <w:ind w:left="300" w:right="20" w:hanging="292"/>
        <w:spacing w:after="0" w:line="257"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Enhance Functionality and Develop New Products</w:t>
      </w:r>
      <w:r>
        <w:rPr>
          <w:rFonts w:ascii="Times New Roman" w:cs="Times New Roman" w:eastAsia="Times New Roman" w:hAnsi="Times New Roman"/>
          <w:sz w:val="18"/>
          <w:szCs w:val="18"/>
          <w:color w:val="auto"/>
        </w:rPr>
        <w:t>—We operate with a relentless focus on innovation and the customer experience. Customers rely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solutions to solve complex problems, to make better data-driven decisions, and to produce greater efficiencies in their workflow. We are devoted to enhancing the functionality of our current solutions and to developing new products, to enable more intelligent interaction with information and to become further engrained in the daily workflows of our customers. As we introduce greater functionality and additional products, it will serve to expand the applications of our solutions, and increase the opportunities whereby our customers can solve for existing and evolving problems generated by disparate and siloed data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Competition in the data and analytics sector centers on innovation, product stability, pricing and customer service. The market for our products and services is highly competitive and is subject to constant change. We compete on the basis of innovative technology, differentiated solutions, analytical capabilities, integration with our customers’ technology, customer relationships, service stability, and price. We believe we are well-positioned to effectively compete on all fronts.</w:t>
      </w:r>
    </w:p>
    <w:p>
      <w:pPr>
        <w:spacing w:after="0" w:line="13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competitors vary widely in size and nature of the products and services they offer. There are a large number of competitors who offer products and services in specialized areas, such as fraud prevention, risk management and decisioning solutions. We believe our innovative technology, analytical capabilities, robust and unified database, and the intelligent design of our cloud-native infrastructure will allow us to differentiate ourselves from our competition in flexibility, capability, service and price.</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companies in the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Concentration of Customers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2022 and 2021, no individual customer accounted for more than 10% of total revenue.</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2022, one individual customer accounted for 11% of our accounts receivable, net. As of December 31, 2021, no individual customer accounted for more than 10% of our accounts receivable, net.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Suppliers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products and services depend extensively upon continued access to and receipt of data from external sources, including data received from the major credit bureaus, including our largest data supplier. Our other data suppliers include strategic partners, as well as various government and public record databases. Our largest data supplier, with whom we have expanded our relationship while securing what we believe to be favorable business terms over the years, accounted for 49% of our total data acquisition costs for the years ended December 31, 2022 and 2021. The amended and renewed term of the agreement with this supplier ends June 30, 2026. We may elect to extend the term for an additional twelve months upon written notice to this supplier at least 30 days prior to the end of the amended and renewed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us and we may terminate this agreement by providing not less than 24 months’ advance written notice to this supplier. As of December 31, 2022, the remaining minimum purchase commitments through the end of the amended and renewed term is $18.6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avail ourself of applicable trade secret and unfair competition laws to protect our proprietary technology, trademark law to protect our trademarks and domain names, and copyright laws to protect our content relating to, among other things, websites and marketing materials. Our intellectual property rights are embodied in confidential and proprietary technology and data, trademarked brands relating to our business units, products, services, and solutions, original content on our materials such as websites and marketing materials, and domain names. With respect to our trademarks, we maintain an extensive portfolio of perpetual common law and federally-registered trademark rights across several brands. We have also sought protection and registration of certain brands and trademarks internationally, such as in Europe and Canada. At present, we do not hold any issued patents.</w:t>
      </w:r>
    </w:p>
    <w:p>
      <w:pPr>
        <w:spacing w:after="0" w:line="1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use data acquired through licensing rights from approximately 20 providers. The loss of any one of these providers could have an immediate near-term impact on our financial position, results of operations, and liquidity. Also see “Concentration of Suppliers”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rules, and regulations, including, without limitation, the Gramm-Leach-Bliley Act (15 U.S.C. §§ 6801- 6809) (the “GLBA”), the Driver’s Privacy Protection Act (18 U.S.C. §§ 2721- 2725) (the “DPPA”) and the Federal Trade Commission Act (the “FTC Act”). A change in any one of a number of the laws, rules, or regulations applicable to our business or the enactment of new or amended legislation or industry regulations pertaining to consumer or private sector privacy issues could have a material adverse impact on information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customers’ requirements and our profitability and cash flow targets.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02" w:lineRule="exact"/>
        <w:rPr>
          <w:sz w:val="20"/>
          <w:szCs w:val="20"/>
          <w:color w:val="auto"/>
        </w:rPr>
      </w:pPr>
    </w:p>
    <w:p>
      <w:pPr>
        <w:ind w:right="1800"/>
        <w:spacing w:after="0" w:line="453" w:lineRule="auto"/>
        <w:rPr>
          <w:sz w:val="20"/>
          <w:szCs w:val="20"/>
          <w:color w:val="auto"/>
        </w:rPr>
      </w:pPr>
      <w:r>
        <w:rPr>
          <w:rFonts w:ascii="Times New Roman" w:cs="Times New Roman" w:eastAsia="Times New Roman" w:hAnsi="Times New Roman"/>
          <w:sz w:val="18"/>
          <w:szCs w:val="18"/>
          <w:color w:val="auto"/>
        </w:rPr>
        <w:t xml:space="preserve">Our results are subject to seasonal fluctuation. Historically, certain products experience seasonal pressure during the fourth quarter. </w:t>
      </w:r>
      <w:r>
        <w:rPr>
          <w:rFonts w:ascii="Times New Roman" w:cs="Times New Roman" w:eastAsia="Times New Roman" w:hAnsi="Times New Roman"/>
          <w:sz w:val="18"/>
          <w:szCs w:val="18"/>
          <w:b w:val="1"/>
          <w:bCs w:val="1"/>
          <w:color w:val="auto"/>
        </w:rPr>
        <w:t>Management Team</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team has a track record of strong performance and significant expertise in the markets we serve. We have built the leading companies in our industry, creating significant shareholder value. We continue to attract and retain experienced management talent for our business. Our team has deep knowledge of the data and analytics sector and expertise across the various industries that we serve. Our team has overseen the expansion of our proprietary technology platform while managing ongoing initiatives, including the transition from a development-focused company to a sales-driven company. As a result, we are well positioned to continue to successfully drive growth organically.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employ a total of 186 full-time employees and one part-time employee as of December 31, 2022. None of our employees are represented by a labor organization, and none are party to any collective bargaining agreement. We have not experienced any work stoppages and consider our relations with our employees to be good. Competition in the recruiting of personnel in the data and analytics sector is intense. We believe that our future success will depend in part on our continued ability to hire, motivate and retain qualified sales and marketing, executive and administrative and technical personnel. To date, we have not experienced significant difficulties in attracting or retaining qualified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26, 2018, Cogint, Inc. (“cogint”) (now known as Fluent, Inc.) spun off its risk management business by way of a distribution of all of the shares of common stock of its then wholly-owned subsidiary, red violet, to its stockholders as of the record date and certain warrant holders (the “Spin-off”).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2650 North Military Trail, Suite 300, Boca Raton, Florida 33431 and our telephone number is (561) 757-4000. Our corporate website is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 xml:space="preserve">. The website address provided in this 2022 Form 10-K is not intended to function as a hyperlink and information obtained on the website is not and should not be considered part of this 2022 Form 10-K and is not incorporated by reference in this 2022 Form 10-K or any filing with the Securities and Exchange Commission (the “SEC”). Our Annual Report on Form 10-K, Quarterly Reports on Form 10-Q, Current Reports on Form 8-K, and amendments to reports filed or furnished pursuant to Sections 13(a) and 15(d) of the Securities Exchange Act of 1934, as amended (the “Exchange Act”), are available, free of charge, under the “Investors” section of our website at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 xml:space="preserve"> as soon as reasonably practicable after we electronically file such material with, or furnish it to, the SEC. The SEC maintains an internet website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that contains the information we file or furnish electronically with the SEC.</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12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executive officers are as follows:</w:t>
            </w:r>
          </w:p>
        </w:tc>
        <w:tc>
          <w:tcPr>
            <w:tcW w:w="1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Derek Dubner</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James Reilly</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President</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Daniel MacLachlan</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Jeff Dell</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Chief Information Officer</w:t>
            </w:r>
          </w:p>
        </w:tc>
        <w:tc>
          <w:tcPr>
            <w:tcW w:w="20" w:type="dxa"/>
            <w:vAlign w:val="bottom"/>
          </w:tcPr>
          <w:p>
            <w:pPr>
              <w:spacing w:after="0"/>
              <w:rPr>
                <w:sz w:val="21"/>
                <w:szCs w:val="21"/>
                <w:color w:val="auto"/>
              </w:rPr>
            </w:pPr>
          </w:p>
        </w:tc>
      </w:tr>
      <w:tr>
        <w:trPr>
          <w:trHeight w:val="66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b w:val="1"/>
          <w:bCs w:val="1"/>
          <w:color w:val="auto"/>
        </w:rPr>
        <w:t>Mr. Derek Dubner</w:t>
      </w:r>
      <w:r>
        <w:rPr>
          <w:rFonts w:ascii="Times New Roman" w:cs="Times New Roman" w:eastAsia="Times New Roman" w:hAnsi="Times New Roman"/>
          <w:sz w:val="18"/>
          <w:szCs w:val="18"/>
          <w:color w:val="auto"/>
        </w:rPr>
        <w:t>, 51, has served as the Chief Executive Officer and a director of the Company since its formation in August 2017 and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Spin-off from cogint on March 26, 2018. Mr. Dubner was appointed as Interim Chairman of our board of directors in September 2018 and as Chairman of our board of directors in April 2020. Mr. Dubner served as the Chief Executive Officer and a director of cogint, from March 2016 until the Spin-off. Mr. Dubner served as cogint’s Co-Chief Executive Officer from March 2015 until March 2016. Mr. Dubner has over 20 years of experience in the data and analytics industry. Mr. Dubner has served as the Chief Executive Officer of our subsidiary The Best One, Inc. (“TBO”), now known as the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w:t>
      </w:r>
    </w:p>
    <w:p>
      <w:pPr>
        <w:spacing w:after="0" w:line="16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Mr. James Reilly</w:t>
      </w:r>
      <w:r>
        <w:rPr>
          <w:rFonts w:ascii="Times New Roman" w:cs="Times New Roman" w:eastAsia="Times New Roman" w:hAnsi="Times New Roman"/>
          <w:sz w:val="18"/>
          <w:szCs w:val="18"/>
          <w:color w:val="auto"/>
        </w:rPr>
        <w:t>, 48, has served as President of the Company since its formation in August 2017 and continuing through its Spin-off from cogint.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Reilly served as President of cogint from July 2017 until the Spin-off, and previously from June 2015 until June 2016 and as President and Chief Operating Officer of two of our subsidiaries, IDI Holdings and Interactive Data from October 2014 until June 2016. From July 2016 to June 2017, Mr. Reilly was enjoined from providing services for cogint or its subsidiaries. From January 2014 through September 2014, Mr. Reilly served as Vice President of Sales at TRADS. From August 2010 through its acquisition of substantially all of the assets by TRADS in December 2013, Mr. Reilly served as Senior Vice President of TLO.</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Mr. Daniel MacLachlan</w:t>
      </w:r>
      <w:r>
        <w:rPr>
          <w:rFonts w:ascii="Times New Roman" w:cs="Times New Roman" w:eastAsia="Times New Roman" w:hAnsi="Times New Roman"/>
          <w:sz w:val="18"/>
          <w:szCs w:val="18"/>
          <w:color w:val="auto"/>
        </w:rPr>
        <w:t>, 44, has served as the Chief Financial Officer of the Company since its formation in August 2017 and continuing through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Spin-off from cogint. Mr. MacLachlan served as Chief Financial Officer of cogint from March 2016 until the Spin-off and brings over fifteen years of experience as the chief financial officer of data-driven technology companies. Mr. MacLachlan served as an independent director, Audit and Compensation Committee Chairman for Vapor Corp., a U.S.-based distributor and retailer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substantially all of the assets of TLO, through a 363 sale process in December 2013. Mr. MacLachlan was the Chief Financial Officer of TLO from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w:t>
      </w:r>
    </w:p>
    <w:p>
      <w:pPr>
        <w:spacing w:after="0" w:line="1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Mr. Jeff Dell</w:t>
      </w:r>
      <w:r>
        <w:rPr>
          <w:rFonts w:ascii="Times New Roman" w:cs="Times New Roman" w:eastAsia="Times New Roman" w:hAnsi="Times New Roman"/>
          <w:sz w:val="18"/>
          <w:szCs w:val="18"/>
          <w:color w:val="auto"/>
        </w:rPr>
        <w:t>, 51, has served as the Chief Information Officer of the Company since its formation in August 2017 and continuing through its Spin-off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cogint. Mr. Dell served as Chief Information Officer of cogint from September 2016 until the Spin-off and served as the Interim Chief Information Officer of cogint from June 2016 through September 2016. From July 2015 through May 2016, Mr. Dell served as the VP Information Security of cogint.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 leading provider in the data fusion industry.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operating results, and cash flows may be impacted by a number of factors, many of which are beyond our control, including those set forth below and elsewhere in this 2022 Form 10-K, the occurrence of any one of which could have a material adverse effect on our actual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Technology Risks</w:t>
      </w:r>
    </w:p>
    <w:p>
      <w:pPr>
        <w:spacing w:after="0" w:line="1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products and services are highly technical and complex. Our products and services have contained and may contain one or more undetected errors, defects or security vulnerabilities. Some errors in our products and services may only be discovered after a product or service has been used by end customers. Any errors or security vulnerabilities discovered in our products after commercial release could result in loss of revenue or delay in revenue recognition, or loss of customers, any of which could adversely affect our business and results of operations. In addition, we could face claims for product liability or breach of personal information.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4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respond to rapid technological changes in the data and analytics sector, we may lose customers and/or our products and/or services may become obsolete.</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data and analytics sector is characterized by rapidly changing technology, frequent product introductions, and continued evolution of new industry standards. As a result, our success depends upon our ability to develop and introduce in a timely manner new products and services and enhancements to existing products and services that meet changing customer requirements and evolving industry standards. The development of technologically advanced product solutions is a complex and uncertain process requiring high levels of innovation, rapid response and accurate anticipation of technological and market trends. We cannot assure you that we will be able to identify, develop, manufacture, market or support new or enhanced products and services successfully in a timely manner. Further, we or our competitors may introduce new products or services or product enhancements that shorten the life cycle of existing products or services or cause existing products or services to become obsolete.</w:t>
      </w:r>
    </w:p>
    <w:p>
      <w:pPr>
        <w:spacing w:after="0" w:line="14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r>
        <w:rPr>
          <w:rFonts w:ascii="Times New Roman" w:cs="Times New Roman" w:eastAsia="Times New Roman" w:hAnsi="Times New Roman"/>
          <w:sz w:val="18"/>
          <w:szCs w:val="18"/>
          <w:b w:val="1"/>
          <w:bCs w:val="1"/>
          <w:color w:val="auto"/>
        </w:rPr>
        <w:t>.</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our business is conducted largely online, it is dependent on our networks being accessible and secure. If an actual or perceived breach of network security occurs, regardless of whether the breach is attributable to our network security controls, the market perception of the effectiveness of our network security could be harmed resulting in loss of current and potential end user customers, data suppliers, or cause us to lose potential value-added resellers, distributors, or strategic partners. Our business is largely dependent on our customer-facing websites and our websites may be inaccessible because of service interruptions or subject to hacking or computer attacks. Because the techniques used by computer hackers to access or sabotage networks change frequently and generally are not recognized until launched against a target, we may be unable to anticipate these techniques. If an actual or perceived breach were to occur, we cannot assure you that we would not lose revenue or not sustain operating losses as a result.</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also rely heavily on large information technology databases and the ability to provide services using that information from those databases. A party who is able to breach the security measures on our networks or who otherwise is able to access our system through unauthorized means could misappropriate either our proprietary information or the personal information of consumers that we collect, or otherwise cause interruptions or malfunctions to our operations. Hacking of computer data systems is a growing problem. Hackers may especially target concerns that are known to maintain large repositories of proprietary information or personal information, which can then be exploited for the hacker's personal gain. If we grow and obtain more visibility, we may be more vulnerable to hacking or other attempts to gain unauthorized access to our system. Moreover, the increased use of mobile devices also increases the risk of theft or the intentional and unintentional disclosure of data including proprietary information or personal information. We may be unable to anticipate all of these vulnerabilities and implement adequate preventative measures and, in some cases, we may not be able to immediately detect a security incident. Any security incident could result in legal, regulatory, and financial liability, as well as harm to our reputation.</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10" w:name="page11"/>
    <w:bookmarkEnd w:id="10"/>
    <w:p>
      <w:pPr>
        <w:ind w:right="20"/>
        <w:spacing w:after="0" w:line="258"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such threats or to alleviate problems caused by breaches in security. Additionally, any server interruptions, break-downs or system failures, including failures which may be attributable to events within or outside our control, could increase our future operating costs and cause us to lose business. We maintain insurance policies covering losses relating to our network systems or other assets. However, these policies may not cover the entire cost of a claim. Any future disruptions in our information technology systems, whether caused by hacking or otherwise, may have a material adverse effect on our future results.</w:t>
      </w:r>
    </w:p>
    <w:p>
      <w:pPr>
        <w:spacing w:after="0" w:line="1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Privacy concerns relating to the collection, use, accuracy, correction and sharing of personal information and any perceived or actual unauthorized disclosure of personal information, whether through breach of our network by an unauthorized party, employee theft, misuse, or error could harm our reputation, impair our ability to attract website visitors and to attract and retain customers, result in a loss of confidence in the security of our products and services, or subject us to claims or litigation arising from damages suffered by consumers, and thereby harm our business and results of operations. In addition, we could incur significant costs which our insurance policies may not adequately cover and we may need to expend significant resources to protect against security breaches and comply with the multitude of state and federal laws regarding data privacy and data breach notification obligations.</w:t>
      </w:r>
    </w:p>
    <w:p>
      <w:pPr>
        <w:spacing w:after="0" w:line="14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3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As a nationwide provider of risk and information solutions, we aggregate, store, and process a large amount of sensitive and confidential consumer information including financial information and personal information. This data is often accessed through secure transmissions over public and private networks, including the internet. We have invested significant resources to implement technical and physical security policies, procedures and systems, as well as contractual precautions, that we believe are reasonably designed to identify, detect and prevent the unauthorized access to and alteration and disclosure of our data. Despite these investments and precautions, we cannot assure you that systems that access our services and databases will not be compromised or disrupted, whether as a result of criminal conduct, DDoS attacks or other advanced persistent attacks by malicious actors, including hackers, nation states and criminals, breaches due to employee error or malfeasance, or other disruptions during the process of upgrading or replacing computer software or hardware, power outages, computer viruses, telecommunication or utility failures or natural disasters or other catastrophic events. Due to both the nature and volume of the information we aggregate, store, and process, it is not unusual for efforts to occur (coordinated or otherwise) by unauthorized persons to attempt to obtain access to our systems or data, or to inhibit our ability to deliver products or services to a customer. These efforts are likely becoming more sophisticated over time and may attempt to exploit obscure vulnerabilities. We must regularly monitor and develop our information technology networks and infrastructure to prevent, detect, address and mitigate the risk of unauthorized access, misuse, computer viruses and other events that could have a security impact. Several recent, highly-publicized data incidents and DDoS attacks have heightened consumer awareness of this issue and may embolden individuals or groups to target our systems. Unauthorized disclosure, loss or corruption of our data or inability of our customers to access our systems could disrupt our operations, subject us to substantial legal liability, result in a material loss of business and significantly harm our reputation.</w:t>
      </w:r>
    </w:p>
    <w:p>
      <w:pPr>
        <w:spacing w:after="0" w:line="1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precautions may be inadequate to thwart a cybersecurity incident. Furthermore, we may not be able to immediately address the consequences of a cybersecurity incident because a successful breach of our computer systems, software, networks or other technology assets could occur and persist for an extended period of time before being detected due to, among other things:</w:t>
      </w:r>
    </w:p>
    <w:p>
      <w:pPr>
        <w:spacing w:after="0" w:line="6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complexity of our operations and the high volume of transactions that we process;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 number of customers, counterparties and third-party service providers with which we do business;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proliferation and increasing sophistication of cyberattacks; and</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third party, after establishing a foothold on an internal network without being detected, might obtain access to other networks and systems.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11" w:name="page12"/>
    <w:bookmarkEnd w:id="11"/>
    <w:p>
      <w:pPr>
        <w:ind w:right="100"/>
        <w:spacing w:after="0" w:line="258" w:lineRule="auto"/>
        <w:rPr>
          <w:sz w:val="20"/>
          <w:szCs w:val="20"/>
          <w:color w:val="auto"/>
        </w:rPr>
      </w:pPr>
      <w:r>
        <w:rPr>
          <w:rFonts w:ascii="Times New Roman" w:cs="Times New Roman" w:eastAsia="Times New Roman" w:hAnsi="Times New Roman"/>
          <w:sz w:val="18"/>
          <w:szCs w:val="18"/>
          <w:color w:val="auto"/>
        </w:rPr>
        <w:t>A growing number of legislative and regulatory bodies have adopted consumer notification and other requirements in the event that a consumer's personal information is accessed by unauthorized persons. It is likely that additional laws pertaining to the use, access, accuracy, and security of personal information will be adopted in the future. In the United States, federal and state laws provide for more than 50 disparate data breach notification regimes, all of which we may be subject to. Complying with such numerous and complex regulations in the event of unauthorized access would be expensive and difficult, and failure to comply with these regulations could subject us to regulatory scrutiny and additional liability.</w:t>
      </w:r>
    </w:p>
    <w:p>
      <w:pPr>
        <w:spacing w:after="0" w:line="1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improve our systems, our certifications, our technology, and our interfaces with data sources and customers, demand for our services could be adversely affected.</w:t>
      </w:r>
    </w:p>
    <w:p>
      <w:pPr>
        <w:spacing w:after="0" w:line="11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our industry, there are continuous improvements in computer hardware, network operating systems, programming tools, programming languages, operating systems, data matching, data filtering and other database technologies and the use of the internet. These improvements, as well as changes in customer preferences or regulatory requirements, may require changes in the technology used to gather and process our data and deliver our services. Our future success will depend, in part, upon our ability to:</w:t>
      </w:r>
    </w:p>
    <w:p>
      <w:pPr>
        <w:spacing w:after="0" w:line="72"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develop and implement new and competitive technologies;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effectively;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changing customer needs and regulatory requirements, including being able to bring our new products to the market quickly;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customers and data sources successfully to new interfaces or other technologies.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successfully implement new technologies, cause customers or data suppliers to implement compatible technologies or adapt our technology to evolving customer, regulatory and competitive requirements. If we fail to respond, or fail to cause our customers or data suppliers to respond, to changes in technology, regulatory requirements or customer preferences, the demand for our services, the delivery of our services or our market reputation could be adversely affected. Additionally, our failure to implement important updates could affect our ability to successfully meet the timeline for us to generate cost savings resulting from our investments in improved technology. Failure to achieve any of these objectives would impede our ability to deliver strong financial results.</w:t>
      </w:r>
    </w:p>
    <w:p>
      <w:pPr>
        <w:spacing w:after="0" w:line="16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Furthermore, we may be required to obtain various industry or technical certifications under our contracts or otherwise to keep pace with our competitors. If we fail to achieve and maintain these key industry or technical certifications, our customers may stop doing business with us and we may not be able to win new business, which would negatively affect our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85"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4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business is subject to regulation under the GLBA, the DPPA, the FTC Act, and various other federal, state and local laws and regulations. These laws and regulations, which generally are designed to protect consumers and to prevent the misuse of personal information are complex, change frequently and have tended to become more stringent over time. We have already incurred significant expenses in our endeavors to comply with these laws.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t>Currently, public concern is high with regard to the collection, use, accuracy, correction and sharing of personal information, including Social Security numbers, dates of birth, financial information, department of motor vehicle data and other data which is personally identifiable or may be considered sensitive. In addition, many advocacy groups as well as some legislatures and government regulators believe that existing laws and regulations do not adequately protect privacy, and are otherwise concerned with businesses’ collection, storage, and use of personal information. Relatedly, several U.S. states have introduced and passed legislation to provide consumers with greater transparency and control over their personal information. Laws may allow consumers to request that businesses disclose to them what personal information is collected about them, delete or correct such personal information, and opt-them out of the sale or sharing of their personal information. For example, the following state privacy laws have recently taken effect, or will take effect on a future date: (i) the California Privacy Rights Act (the “CPRA”), effective January 2023, with some provisions applying retroactively, amending the California Consumer Privacy Act (the “CCPA”); (ii) the Virginia Consumer Data Protection Act (the “VCDPA”), effective January 2023; (iii) the Colorado Privacy Act (the “CPA”), effective July 2023; (iv) the Connecticut Data Privacy Act (the “CTDPA”), effective July 2023; and (v) the Utah Consumer Privacy Act (the “UCPA”), effective December 2023. While these laws include specific exemptions, including exemptions for practices and activities conducted pursuant to the GLBA and DPPA, they apply to other portions of our business that are not conducted pursuant to these laws. Other states are actively considering privacy and security bills, and may pass laws, either similar or dissimilar to California’s, Virginia’s, Colorado’s, Connecticut’s or Utah’s privacy laws in the future. Furthermore, the U.S. Congress is considering legislation and the FTC is considering rulemaking, each with respect to data privacy and security. At this time, it is unclear whether Congress will pass a law or whether the FTC will proceed with regulatory action. At this time, it is also unclear whether any federal requirements will supplement or preempt state-level data privacy and security laws. In the absence of additional federal legislation or rulemaking, the FTC has increasingly used its existing authority, such as under Section 5 of the FTC Act, to bring legal action against organizations who are alleged to have violated consumers’ privacy rights or failed to maintain adequate security measures.</w:t>
      </w:r>
    </w:p>
    <w:p>
      <w:pPr>
        <w:spacing w:after="0" w:line="1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U.S. federal and state laws and regulations, which can be enforced by government entities or, in some cases, private parties, are constantly evolving and can be subject to significant change. Keeping our business in compliance with or bringing our business into compliance with new laws may be costly and may affect our revenue and/or harm our financial results. In addition, the application, interpretation, and enforcement of these laws and regulations are often uncertain, particularly in the new and rapidly evolving industry in which we operate, and may be interpreted and applied inconsistently from jurisdiction to jurisdiction and inconsistently with our current policies and practices. In addition, new laws or regulations or changes in enforcement of existing laws or regulations applicable to our customers could affect the activities or strategies of such customers and, therefore, lead to reductions in their level of business with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legal and regulatory developments also could have a material adverse effect on our business, financial condition or results of operations:</w:t>
      </w:r>
    </w:p>
    <w:p>
      <w:pPr>
        <w:spacing w:after="0" w:line="117" w:lineRule="exact"/>
        <w:rPr>
          <w:sz w:val="20"/>
          <w:szCs w:val="20"/>
          <w:color w:val="auto"/>
        </w:rPr>
      </w:pPr>
    </w:p>
    <w:p>
      <w:pPr>
        <w:ind w:left="560" w:right="80" w:hanging="507"/>
        <w:spacing w:after="0" w:line="282" w:lineRule="auto"/>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enactment or interpretation of laws and regulations that restrict the access and use of personal information and reduce the availability or effectiveness of our solutions or the supply of data available to customers;</w:t>
      </w:r>
    </w:p>
    <w:p>
      <w:pPr>
        <w:spacing w:after="0" w:line="53" w:lineRule="exact"/>
        <w:rPr>
          <w:rFonts w:ascii="Times New Roman" w:cs="Times New Roman" w:eastAsia="Times New Roman" w:hAnsi="Times New Roman"/>
          <w:sz w:val="18"/>
          <w:szCs w:val="18"/>
          <w:color w:val="auto"/>
        </w:rPr>
      </w:pPr>
    </w:p>
    <w:p>
      <w:pPr>
        <w:ind w:left="560" w:right="40" w:hanging="507"/>
        <w:spacing w:after="0" w:line="282" w:lineRule="auto"/>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public perception or the position of government actors in favor of further restrictions on information collection and sharing, which may lead to regulations that prevent full utilization of our solutions;</w:t>
      </w:r>
    </w:p>
    <w:p>
      <w:pPr>
        <w:spacing w:after="0" w:line="53" w:lineRule="exact"/>
        <w:rPr>
          <w:rFonts w:ascii="Times New Roman" w:cs="Times New Roman" w:eastAsia="Times New Roman" w:hAnsi="Times New Roman"/>
          <w:sz w:val="18"/>
          <w:szCs w:val="18"/>
          <w:color w:val="auto"/>
        </w:rPr>
      </w:pPr>
    </w:p>
    <w:p>
      <w:pPr>
        <w:ind w:left="560" w:right="280" w:hanging="507"/>
        <w:spacing w:after="0" w:line="282" w:lineRule="auto"/>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customers, resellers, distributors, strategic business partners, or vendors to comply with laws or regulations, where these third parties' failures could reflect negatively on us or require us to cease or limit our business with them;</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solutions to comply with current laws and regulations;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solutions to adapt to changes in the regulatory environment in an efficient, cost-effective manner.</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Changes in applicable legislation or regulations that restrict or dictate how we collect, maintain, combine and disseminate information could adversely affect our business, financial condition or results of operations. In the future, we may be subject to significant additional expense to ensure continued compliance with applicable laws and regulations and to investigate, defend or remedy actual or alleged violations. Any failure by us to comply with applicable laws or regulations could also result in significant liability to us, including liability to private plaintiffs as a result of individual or class action litigation, or may result in the cessation of our operations or portions of our operations or impositions of fines and restrictions on our ability to carry on or expand our operations. Moreover, our compliance with privacy laws and regulations and our reputation depend in part on our customers’ adherence to privacy laws and regulations and their use of our services in ways consistent with consumer expectations and regulatory requirements. Certain of the laws and regulations governing our business are subject to interpretation by judges, juries and administrative entities, creating substantial uncertainty for our business. We cannot predict what effect the interpretation of existing or new laws or regulations may have on our business.</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29" w:right="439" w:bottom="1440" w:gutter="0" w:footer="0" w:header="0"/>
        </w:sectPr>
      </w:pPr>
    </w:p>
    <w:bookmarkStart w:id="13" w:name="page14"/>
    <w:bookmarkEnd w:id="13"/>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Legal proceedings arise as part of the normal course of our business. These may include actions between us and a current or former employee, actions between us and a current former customer, individual consumer cases, class action lawsuits and inquiries, investigations, examinations, regulatory proceedings or other actions brought by federal (e.g., the FTC) or state (e.g., state attorneys general) authorities. The scope and outcome of these proceedings is often difficult to assess or quantify. Plaintiffs in lawsuits may seek recovery of large amounts and the cost to defend such litigation may be significant. There may also be adverse publicity and uncertainty associated with investigations, litigation and orders (whether pertaining to us, our customers or our competitors) that could decrease customer acceptance of our services or result in material discovery expenses. In addition, a court-ordered injunction or an administrative cease-and-desist order or settlement may require us to modify our business practices or may prohibit conduct that would otherwise be legal and in which our competitors may engage. Many of the technical and complex statutes to which we are subject, including state and federal financial privacy requirements, may provide for civil and criminal penalties and may permit consumers to maintain individual or class action lawsuits against us and obtain statutorily prescribed damages. Additionally, our customers might face similar proceedings, actions or inquiries which could affect their business and, in turn, our ability to do business with those customers.</w:t>
      </w:r>
    </w:p>
    <w:p>
      <w:pPr>
        <w:spacing w:after="0" w:line="15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While we maintain various insurance policies that we believe provide us with suitable coverage and protection in the event of litigation or other legal proceedings, those policies may contain exclusions or limitations, resulting in some cases in us retaining all or a portion of the risk of loss.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do not believe that the outcome of any pending or threatened legal proceeding, investigation, examination or supervisory activity will have a material adverse effect on our financial position, such events are inherently uncertain and adverse outcomes could result in significant monetary damages, penalties or injunctive relief against us. Furthermore, we review legal proceedings and claims on an ongoing basis and follow appropriate accounting guidance, including Accounting Standards Codification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5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sole and exclusive forum for (i) any derivative action or proceeding brought against or on behalf of the Company, (ii) any action asserting a claim of breach of a duty owed by any current or former director, officer, other employee or stockholder of the Company to the Company or the Company’s stockholders, (iii) any action asserting a claim arising pursuant to any provision of the Delaware General Corporation Law, (iv) any action as to which the Delaware General Corporation Law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of 1933, as amended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the exclusive forum provision benefits us by providing increased consistency in the application of Delaware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the value of an investment in our common stock may decline.</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These factors could include:</w:t>
      </w:r>
    </w:p>
    <w:p>
      <w:pPr>
        <w:spacing w:after="0" w:line="54"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pandemics, war and/or events of terrorism.</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we estimate the timing of the accomplishment of various commercial and other product development goals or milestones.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w:t>
      </w:r>
    </w:p>
    <w:p>
      <w:pPr>
        <w:spacing w:after="0" w:line="15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in connection with acquisitions or pursuant to our stock incentive plans could have a dilutive effect on your investment.</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Since the Spin-off and through December 31, 2022, we issued an aggregate of 3,126,377 shares of our common stock in connection with vesting of awards made under the Red Violet, Inc. 2018 Stock Incentive Plan, as amended (the “2018 Plan”), 620,501 shares of which were retired and cancelled. Also, as of December 31, 2022, 40,134 shares underlying awards made under the 2018 Plan have vested but have not been delivered, and an additional 1,044,132 shares underlying awards made under the 2018 Plan are scheduled to vest and be delivered through 2026. Pursuant to the 2018 Plan, our board of directors may grant stock options, restricted stock units (“RSUs”), or other equity awards to our directors and employees. Future stock incentive plans may also allow our board of directors to issue these equity awards to our directors and employees. When these awards vest or are exercised, the issuance of shares of common stock underlying these awards will have a dilutive effect on our common stock. Future acquisitions may involve the issuance of our common stock as payment, in part or in full, for the business or assets acquired. The benefits derived by us from an acquisition might not exceed the dilutive effect of the shares issued as part of the acquisition.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may limit individual stockholder ability to influence corporate matters.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2022, officers and directors of the Company owned approximately 10% of our common stock (approximately 12% on a fully diluted basis). In addition, one other significant stockholder of the Company owned in aggregate approximately 11% of our common stock (approximately 10% on a fully diluted basis). As a result, these stockholders may be in a position to exert significant influence over all matters requiring stockholder approval, including the election of directors and determination of significant corporate actions. The interests of these stockholders may not always coincide with the interests of other stockholders, and these stockholders may act in a manner that advances their interests and not necessarily those of other stockholders, and might affect the prevailing market price for our securities.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5" w:name="page16"/>
    <w:bookmarkEnd w:id="15"/>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available to emerging growth companies will make our shares of common stock less attractive to investors.</w:t>
      </w:r>
    </w:p>
    <w:p>
      <w:pPr>
        <w:spacing w:after="0" w:line="13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13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expect that we may need additional capital in the future, we cannot be certain that it will be available to us on acceptable terms when required, or at all. Disruptions in the global equity and credit markets may limit our ability to access capital. Since the Spin-off and through December 31, 2022, we issued an aggregate of 1,233,915 shares of our common stock in connection with registered direct offerings. To the extent that we raise additional funds by issuing equity securities, our shareholders would experience dilution, which may be significant and could cause the market price of our common stock to decline significantly. Any debt financing, if available, may restrict our operations. If we are unable to raise additional capital when required or on acceptable terms, we may have to significantly delay, scale back or discontinue certain operations. Any of these events could significantly harm our business and prospects and could cause our stock price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Operations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makes our future results uncertain.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Since inception, we incurred operating losses through December 31, 2021. We need to generate greater revenue from the sale of our products and services if we are to sustain profitability. If we are unable to generate greater revenue, we may not be able to continue to achieve profitability and generate positive cash flow from operations in the future.</w:t>
      </w:r>
    </w:p>
    <w:p>
      <w:pPr>
        <w:spacing w:after="0" w:line="14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and developing Covid-19 pandemic or future pandemics may adversely impact our business, our future results of operations and our overall financial performance.</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global spread of Covid-19, and the various responses to it have created significant volatility, uncertainty and economic disruption. Covid-19 caused us, as well as many of our customers and vendors, to change certain aspects of operations and curtail travel at times. The extent to which the Covid-19 pandemic or any other pandemic may affect us in the future is uncertain and will depend on numerous evolving factors that we may not be able to accurately predict, including: the duration and scope of the pandemic and any resurgences of the pandemic; the emergence and severity of new variants; governmental, business and individuals’ actions that have been and continue to be taken in response to the pandemic; vaccination rates and the effectiveness of vaccines against new variants; the availability and cost to access the capital markets; the effect on our customers and customer demand for and ability to pay for our services; and disruptions or restrictions on our employees’ ability to work and travel. If new variants cause severe illness or existing vaccines prove ineffective against new variants, resulting in renewed travel restrictions or stay-at-home orders, that may also interfere with the conduct of our business. Such results could have a material adverse effect on our operations, business, financial condition, results of operations, or cash flows.</w:t>
      </w:r>
    </w:p>
    <w:p>
      <w:pPr>
        <w:spacing w:after="0" w:line="15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issues, including any future reporting obligations in connection with environmental issues, may adversely impact our business and operations.</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Extreme weather events and natural disasters may disrupt our operations or those of our customers and suppliers. These events may become more frequent and more severe as a result of climate change, and the long-term impacts to the economy and our industry are unknown. While we maintain business continuity and disaster recovery plans, we cannot be certain that those plans will be effective. Even if we are unaffected by an extreme weather event or natural disaster, or recover from one quickly, our customers or suppliers may be more severely impacted, thereby affecting their ability to continue to do business with 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t>Additionally, the SEC is considering enhancing and standardizing climate-related disclosure rules for publicly traded companies. This, in turn, may result in increased compliance costs and increased legal exposure. Any climate-related disclosures would likely be based on certain assumptions, estimates and third-party data, and our reports may not meet the expectations of regulators, investors, or other third parties. If our environmental practices, reporting, and performance do not meet expectations, or are perceived as not meeting expectations, we may be subject to government investigations, lawsuits, or other legal actions. Our reputation and customer retention may also be negatively affected.</w:t>
      </w:r>
    </w:p>
    <w:p>
      <w:pPr>
        <w:spacing w:after="0" w:line="1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in part, on strategic alliances and joint ventures to grow our business. If we are unable to develop and maintain these strategic alliances and joint ventures, our growth may be adversely affected.</w:t>
      </w:r>
    </w:p>
    <w:p>
      <w:pPr>
        <w:spacing w:after="0" w:line="1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 important focus of our business is to identify business partners who can enhance our services, enable us to develop solutions that differentiate us from our competitors, drive users to our websites and monetize our data. We have entered into several alliance agreements or license agreements with respect to certain of our datasets and services and may enter into similar agreements in the future. These arrangements may require us to restrict our use of certain of our technologies or datasets among certain customer industries, restrict content on our websites or grant licenses on terms that ultimately may prove to be unfavorable to us, any of which could adversely affect our business, financial condition or results of operations. Relationships with our alliance agreement partners may include risks due to incomplete information regarding the marketplace and commercial strategies of our partners, and our alliance agreements or other licensing agreements may be the subject of contractual disputes. If we or our alliance agreements’ partners are not successful in maintaining or commercializing the alliance agreements’ services, such commercial failure could adversely affect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consummate any future acquisitions, we will be subject to the risks inherent in identifying, acquiring and operating a newly acquired business</w:t>
      </w:r>
      <w:r>
        <w:rPr>
          <w:rFonts w:ascii="Times New Roman" w:cs="Times New Roman" w:eastAsia="Times New Roman" w:hAnsi="Times New Roman"/>
          <w:sz w:val="18"/>
          <w:szCs w:val="18"/>
          <w:i w:val="1"/>
          <w:iCs w:val="1"/>
          <w:color w:val="auto"/>
        </w:rPr>
        <w:t>.</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in the future, acquire additional businesses, which we believe could complement or expand our current business or offer growth opportunities. We may experience difficulties in identifying potential acquisition candidates that complement our current business at appropriate prices, or at all. We cannot assure you that our acquisition strategy will be successful. We may spend significant management time and resources in analyzing and negotiating acquisitions or investments that are not consummated. Furthermore, the ongoing process of integrating an acquired business is distracting, time consuming, expensive, and requires continuous optimization and allocation of resources. Additionally, if we use stock as consideration, this would dilute our existing shareholders and if we use cash, this would reduce our liquidity and impact our financial flexibility. We may seek debt financing for particular acquisitions, which may not be available on commercially reasonable terms, or at all. We face the risks associated with the business acquisition strategy, including:</w:t>
      </w:r>
    </w:p>
    <w:p>
      <w:pPr>
        <w:spacing w:after="0" w:line="84"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existing businesses, including the diversion of management attention and the redeployment of resources;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markets or industries in which we have limited prior experience;</w:t>
      </w:r>
    </w:p>
    <w:p>
      <w:pPr>
        <w:spacing w:after="0" w:line="117" w:lineRule="exact"/>
        <w:rPr>
          <w:rFonts w:ascii="Times New Roman" w:cs="Times New Roman" w:eastAsia="Times New Roman" w:hAnsi="Times New Roman"/>
          <w:sz w:val="18"/>
          <w:szCs w:val="18"/>
          <w:color w:val="auto"/>
        </w:rPr>
      </w:pPr>
    </w:p>
    <w:p>
      <w:pPr>
        <w:ind w:left="380" w:right="20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in due diligence to identify key issues specific to the businesses we seek to acquire or the industries or other environments in which they operate, or, failure to protect against contingent liabilities arising from those issues;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hidden or fraudulent liabilities;</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aligning and coordinating organizations which will likely be geographically separated and may involve diverse business operations and corporate cultures;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and retaining key management, sales, research and development, production and other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or distribution partners of the acquired business;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incorporating the acquired business into our organization;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customers, resellers, distributors, strategic business partners, or suppliers;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or expanding information technology systems and other business processes to accommodate the acquired business;</w:t>
      </w:r>
    </w:p>
    <w:p>
      <w:pPr>
        <w:spacing w:after="0" w:line="117" w:lineRule="exact"/>
        <w:rPr>
          <w:rFonts w:ascii="Times New Roman" w:cs="Times New Roman" w:eastAsia="Times New Roman" w:hAnsi="Times New Roman"/>
          <w:sz w:val="18"/>
          <w:szCs w:val="18"/>
          <w:color w:val="auto"/>
        </w:rPr>
      </w:pPr>
    </w:p>
    <w:p>
      <w:pPr>
        <w:ind w:left="380" w:right="5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integrating financial reporting and internal control systems, including the risk that significant deficiencies or material weaknesses may be identified in acquired entities;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impairments of goodwill and other intangible assets if the acquired business does not perform as expected;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17" w:name="page18"/>
    <w:bookmarkEnd w:id="17"/>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necessary government approvals for the acquisition, if any;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successfully operating the acquired business.</w:t>
      </w:r>
    </w:p>
    <w:p>
      <w:pPr>
        <w:spacing w:after="0" w:line="1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we cannot overcome these challenges, we may not realize actual benefits from past and future acquisitions, which will impair our overall business results. If we complete an investment or acquisition, we may not realize the anticipated benefits from the transaction.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relationships with key customers may be materially diminished or terminated.</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the services of key personnel, it could adversely affect our business.</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and retain key personnel. Our future also depends on the continued services of Derek Dubner, our Chief Executive Officer and Chairman, James Reilly, our President, Daniel MacLachlan, our Chief Financial Officer and other key employees in all areas of our organization, each of whom is important to the management of certain aspects of our business and operations and the development of our strategic direction, and each of whom may be difficult to replace. The loss of the services of these key individuals and the process to replace these individuals would involve significant time and expense and could significantly delay or prevent the achievement of our business objectives.</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Further, the FTC and certain other government entities have indicated a desire to limit the allowability of agreements that are designed to prevent employees from competing with their former employers. If the enforceability of these types of “non-compete” agreements is affected by future lawmaking or regulatory action, it may impede our ability to ensure that former employees, who received training and experience through their employment with us, refrain from using their knowledge of our business and operations to compete with us.</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customers, and therefore our business and revenue, sometimes depend on favorable macroeconomic conditions and are impacted by the availability of credit, the level and volatility of interest rates, inflation, employment levels, consumer confidence and housing demand. In addition, a significant amount of our revenue is concentrated in the U.S. market across a broad range of industries. Our customer base suffers when financial markets experience volatility, illiquidity and disruption, which has occurred in the past and which could reoccur. Such market developments, and the potential for increased and continuing disruptions going forward, present considerable risks to our business and operations. Changes in the economy have resulted, and may continue to result, in fluctuations in volumes, pricing and operating margins for our services. Recent inflation, and higher interest rates imposed to combat inflation, may reduce the demand for credit. This, in turn, may lead to a decline in the volume of services we provide to our customers in the banking or financial industry, or other industries that are affected by these types of disruptions. If businesses in these industries experience economic hardship, we cannot assure you that we will be able to generate future revenue growth and these types of disruptions could negatively impact our revenue and results of operations.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our access to data sources which could prevent us from providing our services.</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products and services depend extensively upon continued access to and receipt of data from external sources, including data received from strategic partners and various government and public record databases. In some cases, we compete with our data providers. Our data providers could stop providing data, provide untimely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 We cannot provide assurance that we will be successful in maintaining our relationships with these external data 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1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foregoing risks are heightened with respect to our largest data supplier, with whom we have expanded our relationship while securing favorable business terms over the years. If we are unable to maintain our current relationship with our largest data supplier, our ability to provide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adequately protect our intellectual property in order to prevent loss of valuable proprietary information.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primarily upon a combination of patent, copyright, trademark and trade secret laws, as well as other intellectual property laws, and confidentiality procedures and contractual agreements, such as non-disclosure agreements, to protect our proprietary technology. However, unauthorized parties may attempt to copy or reverse engineer aspects of our products or services or to obtain and use information that we regard as proprietary. Policing unauthorized use of our products or services is difficult, and we cannot be certain that the steps we have taken will prevent misappropriation of our intellectual property. If the protection of our intellectual property proves to be inadequate or unenforceable, others may be able to use our proprietary developments without compensation to us, resulting in potential cost advantages to our competitors.</w:t>
      </w:r>
    </w:p>
    <w:p>
      <w:pPr>
        <w:spacing w:after="0" w:line="1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Some of our systems and technologies are not covered by any copyright, patent or patent application. We cannot guarantee that: (i) our intellectual property rights will provide us with a competitive advantage;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4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on the merits.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third parties may independently develop intellectual property similar to ours, but without use of our trade secrets or proprietary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cases, the value of our intellectual property may be diminished but we will lack any enforceable right or remedy.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both start-up and established companies that may have significant advantages over us and our products.</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market for our products and services is intensely competitive. There are numerous companies competing with us in various segments of the data and analytics sector, and their products and services may have advantages over our products and services in areas such as conformity to existing and emerging industry standards, performance, price, ease of use, scalability, reliability, flexibility, product features and technical support.</w:t>
      </w:r>
    </w:p>
    <w:p>
      <w:pPr>
        <w:spacing w:after="0" w:line="1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principal competitors in the data and analytics sector include Palantir, RELX Group (LexisNexis), TransUnion, and Thomson Reuters. Current and potential competitors may have one or more of the following significant advantages: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19" w:name="page20"/>
    <w:bookmarkEnd w:id="19"/>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technical and marketing resources;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name recognition;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comprehensive solutions;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or more extensive cooperative relationships;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with our existing or new competitors. Some of our competitors may have, in relation to us, one or more of the following: longer operating histories, longer-standing relationships with end-user customers and greater customer service, public relations and other resources. As a result, these competitors may be able to more quickly develop or adapt to new or emerging technologies and changes in customer requirements, or devote greater resources to the development, promotion and sale of their products and services. Additionally, it is likely that new competitors or alliances among existing competitors could emerge and rapidly acquire significant market share.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further consolidation in our end-customer markets, which may adversely affect our revenue.</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has been, and we expect there will continue to be, merger, acquisition and consolidation activity in our customer markets. If our customers merge with, or are acquired by, other entities that are not our customers, or that use fewer of our services, our revenue may be adversely impacted. In addition, industry consolidation could affect the base of recurring transaction-based revenue if consolidated customers combine their operations under one contract, since many of our contracts provide for volume discounts. In addition, our existing customers might leave certain geographic markets, which would no longer require them to purchase certain products from us and, consequently, we would generate less revenue than we currently expect.</w:t>
      </w:r>
    </w:p>
    <w:p>
      <w:pPr>
        <w:spacing w:after="0" w:line="13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the availability of free or relatively inexpensive consumer and/or business information increases, the demand for some of our services may decrease.</w:t>
      </w:r>
    </w:p>
    <w:p>
      <w:pPr>
        <w:spacing w:after="0" w:line="13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Public and commercial sources of free or relatively inexpensive consumer and business information have become increasingly available and this trend is expected to continue. Public and commercial sources of free or relatively inexpensive consumer and/or business information may reduce demand for our services. To the extent that our customers choose not to obtain services from us and instead rely on information obtained at little or no cost from these public and commercial sources, our business, financial condition and results of operations may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newer products do not achieve market acceptance, revenue growth may suffer.</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products have been in the market place for a limited period of time and may have longer sales cycles than competitive products. Accordingly, we may not achieve the meaningful revenue growth needed to sustain operations. We cannot provide any assurances that sales of our newer products will continue to grow or generate sufficient revenues to sustain our business. If we are unable to recognize revenues due to longer sales cycles or other problems, our results of operations could be adversely affected.</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yet received broad market acceptance for our newer products. We cannot assure you that our present or future products will achieve market acceptance on a sustained basis. In order to achieve market acceptance and achieve future revenue growth, we must introduce complementary products, incorporate new technologies into existing product lines, and design and develop and successfully commercialize higher performance products in a timely manner. We cannot assure you that we will be able to offer new or complementary products that gain market acceptance quickly enough to avoid decreased revenues during current or future product introductions or transitions.</w:t>
      </w:r>
    </w:p>
    <w:p>
      <w:pPr>
        <w:spacing w:after="0" w:line="13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can have long sales and implementation cycles, which may result in substantial expenses before realizing any associated revenue.</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sale and implementation of our products and services to large companies and government entities typically involves a lengthy education process and a significant technical evaluation and commitment of capital and other resources. This process is also subject to the risk of delays associated with customers’ internal budgeting and other procedures for approving capital expenditures, and testing and accepting new technologies that affect key operations. As a result, sales and implementation cycles for our products and services can be lengthy, and we may expend significant time and resources before we receive any revenues from a customer or potential customer. Our quarterly and annual operating results could be adversely affected if orders forecast for a specific customer and for a particular period are not realized.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0" w:name="page21"/>
    <w:bookmarkEnd w:id="20"/>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outside service providers and key vendors are not able to or do not fulfill their service obligations, our operations could be disrupted and our operating results could be harmed.</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depend on a number of service providers and key vendors such as telecommunication companies, software engineers, data processors, and software and hardware vendors, who are critical to our operations. These service providers and vendors are involved with our service offerings, communications and networking equipment, computer hardware and software and related support and maintenance. Although we have implemented service-level agreements and have established monitoring controls, our operations could be disrupted if we do not successfully manage relationships with our service providers, if they do not perform or are unable to perform agreed-upon service levels, or if they are unwilling to make their services available to us at reasonable prices. If our service providers and vendors do not perform their service obligations, it could adversely affect our reputation,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data and analytics sector may limit market acceptance of our products and services.</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Several of our competitors have acquired companies with complementary technologies in the past. We expect consolidation in the industries we serve to continue in the future. These acquisitions may permit our competitors to accelerate the development and commercialization of broader product lines and more comprehensive solutions than we currently offer. Acquisitions of vendors or other companies with whom we have a strategic relationship by our competitors may limit our access to commercially significant technologies. Further, business combinations are creating companies with larger market shares, customer bases, sales forces, product offerings and technology and marketing expertise, which may make it more difficult for us to compete.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expenses defending the Company against claims of infringement.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are numerous patents held by many companies relating to the design and manufacture of data and analytics solutions. Third parties may claim that our products and/or services infringe on their intellectual property rights. Any claim, with or without merit, could consume management’s time, result in costly litigation, cause delays in sales or implementation of products or services or require entry into royalty or licensing agreements. In this respect, patent and other intellectual property litigation is becoming increasingly more expensive in terms of legal fees, expert fees and other expenses. Royalty and licensing agreements, if required and available, may be on terms unacceptable to us or detrimental to our business. Moreover, a successful claim of product infringement against us or our failure or inability to license the infringed or similar technology on commercially reasonable terms could seriously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headquarters are located at 2650 North Military Trail, Suite 300, Boca Raton, Florida 33431, where we lease 21,020 rentable square feet of office space in accordance with an 89-month lease agreement as amended and effective in January 2017. Our Seattle office is located at 1111 Third Avenue, Seattle, Washington 98101, where we lease 6,003 rentable square feet of office space in accordance with a 90-month lease agreement entered into in April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In addition to the foregoing, 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“RDVT,” and began regular-way trading on March 27, 2018. We have not paid any dividends or made any other distributions in respect of our common stock since March 27, 2018, and we have no plans to pay any dividends or make any other distributions in the future.</w:t>
      </w:r>
    </w:p>
    <w:p>
      <w:pPr>
        <w:spacing w:after="0" w:line="1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 2023, there were 13,958,504 shares of our common stock issued and outstanding. As of March 3, 2023, there were 28 record holders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0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repurchase of common stock during the three months ended December 31, 2022 pursuant to the Stock Repurchase Program (as defined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3"/>
                <w:szCs w:val="13"/>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0" w:type="dxa"/>
            <w:vAlign w:val="bottom"/>
          </w:tcPr>
          <w:p>
            <w:pPr>
              <w:spacing w:after="0"/>
              <w:rPr>
                <w:sz w:val="12"/>
                <w:szCs w:val="12"/>
                <w:color w:val="auto"/>
              </w:rPr>
            </w:pPr>
          </w:p>
        </w:tc>
        <w:tc>
          <w:tcPr>
            <w:tcW w:w="1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line="189"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2022 - October 31, 2022</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0" w:type="dxa"/>
            <w:vAlign w:val="bottom"/>
            <w:shd w:val="clear" w:color="auto" w:fill="CFF0FC"/>
          </w:tcPr>
          <w:p>
            <w:pPr>
              <w:spacing w:after="0"/>
              <w:rPr>
                <w:sz w:val="20"/>
                <w:szCs w:val="20"/>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4,132,148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2022 - November 30, 2022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4,123,914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2022 - December 31, 2022</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4,123,914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-187960</wp:posOffset>
            </wp:positionV>
            <wp:extent cx="7747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560" w:hanging="552"/>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commission fees incurred in relation to the repurchase of common stock.</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4, 2022, the Company announced that the board of directors authorized the repurchase of up to $5.0 million of the Company's common stock from time to time (the "Stock Repurchase Program"). The Stock Repurchase Program does not obligate the Company to repurchase any shares and it may be modified, suspended or terminated at any time and for any reason at the discretion of the board of directors.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in the table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consolidated financial statements and related notes included in this 2022 Form 10-K. This 2022 Form 10-K contains certain forward-looking statements within the meaning of the Private Securities Litigation Reform Act of 1995 (the “PSLRA”), Section 27A of the Securities Act, and Section 21E of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2022 Form 10-K. We do not undertake any obligation to update forward-looking statements, except as required by law. We intend that all forward-looking statements be subject to the safe harbor provisions of the PSLRA. These forward-looking statements are only predictions and reflect our views as of the date they are made with respect to future events and financial performance.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many diverse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the risk management industry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2022 and 2021, IDI had 7,021 and 6,548 billable customers and FOREWARN had 116,960 and 82,419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2022 and 2021, 75% and 80% of total revenue was attributable to customers with pricing contracts, respectively, versus 25% and 20% attributable to transactional customers,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2020, we experienced significantly reduced commercial activity in numerous aspects of our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and 2022, we saw ongoing improvement in our results of operations, with the exception of our idiVERIFIED service, which is an ancillary collections market offering that is purely transactional and of a lower margin profile. At this time, we cannot estimate if, or when, our idiVERIFIED service volume will return to pre-Covid levels.</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further support our liquidity, beginning April 1, 2020, we elected, under Section 2302 of the Coronavirus Aid, Relief, and Economic Security Act (the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We paid 50% of the deferred amount in December 2021 and the remainder in December 2022, as required. On May 5, 2020, we received funding under a promissory note dated May 5, 2020 evidencing an unsecured non-recourse loan in the principal amount of $2.2 million under the CARES Act (the "CARES Act Loan"), which was fully forgiven by Legacy Bank of Florida (the "Lender") and the U.S. Small Business Administration in June 2021, resulting in a gain on extinguishment of debt of $2.2 million for the year ended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 and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are affected by the following factors that impact the data and analytics sector in the United States:</w:t>
      </w:r>
    </w:p>
    <w:p>
      <w:pPr>
        <w:spacing w:after="0" w:line="185" w:lineRule="exact"/>
        <w:rPr>
          <w:sz w:val="20"/>
          <w:szCs w:val="20"/>
          <w:color w:val="auto"/>
        </w:rPr>
      </w:pPr>
    </w:p>
    <w:p>
      <w:pPr>
        <w:ind w:left="380" w:right="60" w:hanging="320"/>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conditions, including the availability of affordable credit and capital, interest rates, inflation, employment levels and consumer confidence, influence our revenue. Macroeconomic conditions also have a direct impact on overall technology, marketing and advertising expenditures in the U.S. As marketing budgets are often more discretionary in nature, they are easier to reduce in the short term as compared to other corporate expenses. Future widespread economic slowdowns in any of the industries or markets our customers serve could reduce the technology and marketing expenditures of our customers and prospective customers.</w:t>
      </w:r>
    </w:p>
    <w:p>
      <w:pPr>
        <w:spacing w:after="0" w:line="156" w:lineRule="exact"/>
        <w:rPr>
          <w:rFonts w:ascii="Times New Roman" w:cs="Times New Roman" w:eastAsia="Times New Roman" w:hAnsi="Times New Roman"/>
          <w:sz w:val="18"/>
          <w:szCs w:val="18"/>
          <w:color w:val="auto"/>
        </w:rPr>
      </w:pPr>
    </w:p>
    <w:p>
      <w:pPr>
        <w:ind w:left="380" w:right="120" w:hanging="327"/>
        <w:spacing w:after="0" w:line="277" w:lineRule="auto"/>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is also significantly influenced by industry trends, including the demand for business analytics services in the industries we serve. Companies are increasingly relying on business analytics and related technologies to help process data in a cost-efficient manner. As customers have gained the ability to rapidly aggregate data generated by their own activities, they are increasingly expecting access to real-time data and analytics from their service providers as well as solutions that fully integrate into their workflows. The increasing number and complexity of regulations centered around data and provision of information services makes operations for businesses in the data and analytic sector more challenging.</w:t>
      </w:r>
    </w:p>
    <w:p>
      <w:pPr>
        <w:spacing w:after="0" w:line="127" w:lineRule="exact"/>
        <w:rPr>
          <w:rFonts w:ascii="Times New Roman" w:cs="Times New Roman" w:eastAsia="Times New Roman" w:hAnsi="Times New Roman"/>
          <w:sz w:val="17"/>
          <w:szCs w:val="17"/>
          <w:color w:val="auto"/>
        </w:rPr>
      </w:pPr>
    </w:p>
    <w:p>
      <w:pPr>
        <w:ind w:left="380" w:hanging="327"/>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new or amended legislation or industry regulations pertaining to consumer or private sector privacy issues could have a material adverse impact on information and marketing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customers’ requirements and our profitability and cash flow targets.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Company Specific Trends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also directly affected by company-specific factors, including the following:</w:t>
      </w:r>
    </w:p>
    <w:p>
      <w:pPr>
        <w:spacing w:after="0" w:line="185" w:lineRule="exact"/>
        <w:rPr>
          <w:sz w:val="20"/>
          <w:szCs w:val="20"/>
          <w:color w:val="auto"/>
        </w:rPr>
      </w:pPr>
    </w:p>
    <w:p>
      <w:pPr>
        <w:ind w:left="380" w:right="12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35" w:lineRule="exact"/>
        <w:rPr>
          <w:rFonts w:ascii="Times New Roman" w:cs="Times New Roman" w:eastAsia="Times New Roman" w:hAnsi="Times New Roman"/>
          <w:sz w:val="18"/>
          <w:szCs w:val="18"/>
          <w:color w:val="auto"/>
        </w:rPr>
      </w:pPr>
    </w:p>
    <w:p>
      <w:pPr>
        <w:ind w:left="380" w:hanging="372"/>
        <w:spacing w:after="0" w:line="25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companies in the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govern our more significant judgments and estimates used in the preparation of our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recognize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Our performance obligation is to provide on demand information and identity intelligence solutions to our customers by leveraging our proprietary technology and applying machine learning and advanced analytics to our massive data repository. The pricing for the customer contracts is based on usage, a monthly fee, or a combination of both.</w:t>
      </w:r>
    </w:p>
    <w:p>
      <w:pPr>
        <w:spacing w:after="0" w:line="1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Our revenue is recorded net of applicable sales taxes billed to customers.</w:t>
      </w:r>
    </w:p>
    <w:p>
      <w:pPr>
        <w:spacing w:after="0" w:line="16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Available within Topic 606, we have applied the portfolio approach practical expedient in accounting for customer revenue as one collective group, rather than individual contracts. Based on our historical knowledge of the contracts contained in this portfolio and the similar nature and characteristics of the customers, we have concluded the financial statement effects are not materially different than if accounting for revenue on a contract by contract basis.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 is recognized over a period of time. Our customers simultaneously receive and consume the benefits provided by our performance as and when provided. Furthermore, we have elected the “right to invoice” practical expedient, available within Topic 606, as our measure of progress, since we have a right to payment from a customer in an amount that corresponds directly with the value of our performance completed-to-date. In some arrangements, a right to consideration for our performance under the customer contract may occur before invoicing to the customer. Our revenue arrangements do not contain significant financing components.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7" w:right="359" w:bottom="1440" w:gutter="0" w:footer="0" w:header="0"/>
        </w:sectPr>
      </w:pPr>
    </w:p>
    <w:bookmarkStart w:id="26" w:name="page27"/>
    <w:bookmarkEnd w:id="26"/>
    <w:p>
      <w:pPr>
        <w:ind w:right="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75% and 80% of total revenue was attributable to customers with pricing contracts, respectively, versus 25% and 20% attributable to transactional customers, respectively. Pricing contracts are generally annual contracts or longer, with auto renewal.</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a customer pays consideration before we transfer services to the customer, those amounts are classified as deferred revenue. As of December 31, 2022 and 2021, the balance of deferred revenue was $0.7 million and $0.8 million, respectively, all of which is expected to be realized in the next 12 months. In relation to the deferred revenue balance as of December 31, 2021, $0.8 million was recognized into revenue during the year ended December 31, 2022.</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2022, $8.0 million of revenue is expected to be recognized in the future for performance obligations that are unsatisfied or partially unsatisfied, related to pricing contracts that have a term of more than 12 months, of which $6.0 million of revenue will be recognized in 2023, $1.8 million in 2024, and $0.2 million in 2025. The actual timing of recognition may vary due to factors outside of our control. We exclude variable consideration related entirely to wholly unsatisfied performance obligations and contracts and recognizes such variable consideration based upon the right to invoice the customer.</w:t>
      </w:r>
    </w:p>
    <w:p>
      <w:pPr>
        <w:spacing w:after="0" w:line="14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35"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In addition, we elected the practical expedient to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Allowances for doubtful accounts</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maintain allowance for doubtful accounts for estimated losses resulting from the inability of our customers to make required payments. Management determines whether an allowance needs to be provided for an amount due from a customer depending on the aging of the individual receivable balance, recent payment history, contractual terms and other qualitative factors such as status of business relationship with the customer. Historically, our estimates for doubtful accounts have not differed materially from actual results. The amount of the allowance for doubtful accounts was $0.06 million and $0.03 million as of December 31, 2022 and 2021, respectively, which was included within accounts receivable, net, in the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which requires the use of the asset and liability method of accounting for income taxes. Under the asset and liability method, deferred tax assets and liabilities are computed based upon the difference between the financial statement and income tax basis of assets and liabilities using the enacted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As of December 31, 2022 and 2021, we had a valuation allowance of $8.0 million and $9.5 million, respectively. Future changes in such valuation allowance are included in the provision for deferred income taxes in the period of change.</w:t>
      </w:r>
    </w:p>
    <w:p>
      <w:pPr>
        <w:spacing w:after="0" w:line="14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29"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Intangible assets other than goodwill</w:t>
      </w:r>
    </w:p>
    <w:p>
      <w:pPr>
        <w:spacing w:after="0" w:line="2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37" w:lineRule="exact"/>
        <w:rPr>
          <w:sz w:val="20"/>
          <w:szCs w:val="20"/>
          <w:color w:val="auto"/>
        </w:rPr>
      </w:pPr>
    </w:p>
    <w:p>
      <w:pPr>
        <w:jc w:val="both"/>
        <w:ind w:right="6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350-40, </w:t>
      </w:r>
      <w:r>
        <w:rPr>
          <w:rFonts w:ascii="Times New Roman" w:cs="Times New Roman" w:eastAsia="Times New Roman" w:hAnsi="Times New Roman"/>
          <w:sz w:val="18"/>
          <w:szCs w:val="18"/>
          <w:i w:val="1"/>
          <w:iCs w:val="1"/>
          <w:color w:val="auto"/>
        </w:rPr>
        <w:t>“Software—internal use software,”</w:t>
      </w:r>
      <w:r>
        <w:rPr>
          <w:rFonts w:ascii="Times New Roman" w:cs="Times New Roman" w:eastAsia="Times New Roman" w:hAnsi="Times New Roman"/>
          <w:sz w:val="18"/>
          <w:szCs w:val="18"/>
          <w:color w:val="auto"/>
        </w:rPr>
        <w:t xml:space="preserve"> we capitalize eligible costs, including salaries and staff benefits, share-based compensation,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w:t>
      </w:r>
    </w:p>
    <w:p>
      <w:pPr>
        <w:spacing w:after="0" w:line="14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October 1, 2022 and 2021, we performed qualitative assessments on the reporting unit and, based on this assessment, no events have occurred to indicate that it is more likely than not that the fair value of the reporting unit is less than its carry amount. We did not record a goodwill impairment loss during the years ended December 31, 2022 and 2021, and as of December 31, 2022, there was no accumulated goodwill impairment loss.</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we must make various assumptions regarding estimated future cash flows and other factors in determining the fair value of the reporting unit, including market multiples, discount rates, etc.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 impairment loss of long-lived assets during the years ended December 31, 2022 and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8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We account for share-based compensation to employees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Under ASC 718, we measure the cost of employee services received in exchange for an award of equity instruments based on the grant-date fair value of the award and, for those awards subject only to service condition, recognizes the costs on a straight-line basis over the period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28" w:name="page29"/>
    <w:bookmarkEnd w:id="28"/>
    <w:p>
      <w:pPr>
        <w:ind w:right="100"/>
        <w:spacing w:after="0" w:line="261" w:lineRule="auto"/>
        <w:rPr>
          <w:sz w:val="20"/>
          <w:szCs w:val="20"/>
          <w:color w:val="auto"/>
        </w:rPr>
      </w:pPr>
      <w:r>
        <w:rPr>
          <w:rFonts w:ascii="Times New Roman" w:cs="Times New Roman" w:eastAsia="Times New Roman" w:hAnsi="Times New Roman"/>
          <w:sz w:val="18"/>
          <w:szCs w:val="18"/>
          <w:color w:val="auto"/>
        </w:rPr>
        <w:t>The fair value of RSUs is determined based on the number of shares granted and the quoted price of our common stock. The estimated number of stock awards that will ultimately vest requires judgment, and to the extent actual results or updated estimates differ from our current estimates, such amount will be recorded as a cumulative adjustment in the period estimates are revised. Changes in our estimates and assumptions may cause us to realize material changes in share-based compensation expense in the future.</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issued share-based awards with performance-based vesting criteria. Achievement of the milestones must be probable before we begin recording share-based compensation expense. When the performance-based vesting criteria is considered probable, we begin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2022, we have achieved the performance-based criteria for all share-based awards with performance-based vesting criteria, except for the Criteria Four award, as defined in Note 10, “Share-based compensation,” included in “Notes to Consolidated Financial Statements.”</w:t>
      </w:r>
    </w:p>
    <w:p>
      <w:pPr>
        <w:spacing w:after="0" w:line="149" w:lineRule="exact"/>
        <w:rPr>
          <w:sz w:val="20"/>
          <w:szCs w:val="20"/>
          <w:color w:val="auto"/>
        </w:rPr>
      </w:pPr>
    </w:p>
    <w:p>
      <w:pPr>
        <w:jc w:val="both"/>
        <w:ind w:right="140"/>
        <w:spacing w:after="0" w:line="290" w:lineRule="auto"/>
        <w:rPr>
          <w:sz w:val="20"/>
          <w:szCs w:val="20"/>
          <w:color w:val="auto"/>
        </w:rPr>
      </w:pPr>
      <w:r>
        <w:rPr>
          <w:rFonts w:ascii="Times New Roman" w:cs="Times New Roman" w:eastAsia="Times New Roman" w:hAnsi="Times New Roman"/>
          <w:sz w:val="17"/>
          <w:szCs w:val="17"/>
          <w:color w:val="auto"/>
        </w:rPr>
        <w:t>We apply Accounting Standards Update 2018-07, “</w:t>
      </w:r>
      <w:r>
        <w:rPr>
          <w:rFonts w:ascii="Times New Roman" w:cs="Times New Roman" w:eastAsia="Times New Roman" w:hAnsi="Times New Roman"/>
          <w:sz w:val="17"/>
          <w:szCs w:val="17"/>
          <w:i w:val="1"/>
          <w:iCs w:val="1"/>
          <w:color w:val="auto"/>
        </w:rPr>
        <w:t>Improvements to Nonemployee Share-Based Payment Accounting</w:t>
      </w:r>
      <w:r>
        <w:rPr>
          <w:rFonts w:ascii="Times New Roman" w:cs="Times New Roman" w:eastAsia="Times New Roman" w:hAnsi="Times New Roman"/>
          <w:sz w:val="17"/>
          <w:szCs w:val="17"/>
          <w:color w:val="auto"/>
        </w:rPr>
        <w:t xml:space="preserve">,” which generally expands the scope of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to include share-based payment transactions for acquiring goods and services from nonemployees and supersedes the guidance in ASC 505-50, </w:t>
      </w:r>
      <w:r>
        <w:rPr>
          <w:rFonts w:ascii="Times New Roman" w:cs="Times New Roman" w:eastAsia="Times New Roman" w:hAnsi="Times New Roman"/>
          <w:sz w:val="17"/>
          <w:szCs w:val="17"/>
          <w:i w:val="1"/>
          <w:iCs w:val="1"/>
          <w:color w:val="auto"/>
        </w:rPr>
        <w:t>Equity-Based Payments to Non-employees</w:t>
      </w:r>
      <w:r>
        <w:rPr>
          <w:rFonts w:ascii="Times New Roman" w:cs="Times New Roman" w:eastAsia="Times New Roman" w:hAnsi="Times New Roman"/>
          <w:sz w:val="17"/>
          <w:szCs w:val="17"/>
          <w:color w:val="auto"/>
        </w:rPr>
        <w:t>, which previously included the accounting for nonemployee awards.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9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See Item 8 of Part II, “Financial Statements and Supplementary Data – Note 2. Summary of significant accounting policies - </w:t>
      </w:r>
      <w:r>
        <w:rPr>
          <w:rFonts w:ascii="Times New Roman" w:cs="Times New Roman" w:eastAsia="Times New Roman" w:hAnsi="Times New Roman"/>
          <w:sz w:val="18"/>
          <w:szCs w:val="18"/>
          <w:i w:val="1"/>
          <w:iCs w:val="1"/>
          <w:color w:val="auto"/>
        </w:rPr>
        <w:t>(s) Recently issued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December 31, 2022 as compared to the three months ended December 31, 2021:</w:t>
      </w:r>
    </w:p>
    <w:p>
      <w:pPr>
        <w:spacing w:after="0" w:line="198"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16% to $13.1 million. Platform revenue increased 19% to $12.9 million. Services revenue decreased 54% to $0.2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19% to $8.3 million. Gross margin increased to 63% from 62%.</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20% to $10.0 million. Adjusted gross margin increased to 77% from 74%.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narrowed 13% to $1.5 million, which resulted in a loss of $0.11 per basic and diluted share.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16% to $1.5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increased 123% to $4.4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$31.8 million as of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as compared to the year ended December 31, 2021:</w:t>
      </w:r>
    </w:p>
    <w:p>
      <w:pPr>
        <w:spacing w:after="0" w:line="198"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21% to $53.3 million. Platform revenue increased 22% to $52.0 million. Services revenue decreased 16% to $1.3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25% to $34.7 million. Gross margin increased to 65% from 63%.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25% to $41.1 million. Adjusted gross margin increased to 77% from 75%.</w:t>
      </w:r>
    </w:p>
    <w:p>
      <w:pPr>
        <w:spacing w:after="0" w:line="117"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$0.6 million, which resulted in $0.04 per basic and diluted share, compared to net income of $0.7 million (inclusive of a one-time gain of $2.2 million on the extinguishment of debt from the forgiveness of the CARES Act Loan).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18% to $12.9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increased 39% to $12.5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9" w:name="page30"/>
    <w:bookmarkEnd w:id="29"/>
    <w:p>
      <w:pPr>
        <w:ind w:right="80"/>
        <w:spacing w:after="0" w:line="258" w:lineRule="auto"/>
        <w:rPr>
          <w:sz w:val="20"/>
          <w:szCs w:val="20"/>
          <w:color w:val="auto"/>
        </w:rPr>
      </w:pPr>
      <w:r>
        <w:rPr>
          <w:rFonts w:ascii="Times New Roman" w:cs="Times New Roman" w:eastAsia="Times New Roman" w:hAnsi="Times New Roman"/>
          <w:sz w:val="18"/>
          <w:szCs w:val="18"/>
          <w:color w:val="auto"/>
        </w:rPr>
        <w:t>Platform revenue consists of both contractual and transactional revenue generated from our technology platform, CORE. It includes all revenue generated through our idiCORE and FOREWARN solutions. The cost of platform revenue, which consists primarily of data acquisition costs, remains relatively fixed irrespective of revenue generation. Services revenue consists of revenue generated from our idiVERIFIED service, which is an ancillary collections market offering that is purely transactional and of a lower margin profile. The cost of services revenue, which consists primarily of third-party servicer costs, is variable.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gross profit, adjusted gross margin and free cash flow ("FCF"). Adjusted EBITDA is a financial measure equal to net (loss) income, the most directly comparable financial measure based on US GAAP, excluding interest (income) expense, net, income tax (benefit) expense,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29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4940" w:type="dxa"/>
            <w:vAlign w:val="bottom"/>
            <w:gridSpan w:val="2"/>
            <w:vMerge w:val="continue"/>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8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(225 )</w:t>
            </w:r>
          </w:p>
        </w:tc>
        <w:tc>
          <w:tcPr>
            <w:tcW w:w="3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(351 )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(148 )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53,318</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2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-693420</wp:posOffset>
            </wp:positionV>
            <wp:extent cx="310324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03245" cy="17970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-179070</wp:posOffset>
            </wp:positionV>
            <wp:extent cx="399478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94785" cy="17970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ectPr>
          <w:pgSz w:w="11900" w:h="16838" w:orient="portrait"/>
          <w:cols w:equalWidth="0" w:num="1">
            <w:col w:w="11300"/>
          </w:cols>
          <w:pgMar w:left="320" w:top="729" w:right="279" w:bottom="1440" w:gutter="0" w:footer="0" w:header="0"/>
        </w:sect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36" w:lineRule="exact"/>
        <w:rPr>
          <w:sz w:val="20"/>
          <w:szCs w:val="20"/>
          <w:color w:val="auto"/>
        </w:rPr>
      </w:pPr>
    </w:p>
    <w:p>
      <w:pPr>
        <w:ind w:left="120" w:right="840" w:hanging="89"/>
        <w:spacing w:after="0" w:line="273" w:lineRule="auto"/>
        <w:rPr>
          <w:sz w:val="20"/>
          <w:szCs w:val="20"/>
          <w:color w:val="auto"/>
        </w:rPr>
      </w:pPr>
      <w:r>
        <w:rPr>
          <w:rFonts w:ascii="Times New Roman" w:cs="Times New Roman" w:eastAsia="Times New Roman" w:hAnsi="Times New Roman"/>
          <w:sz w:val="18"/>
          <w:szCs w:val="18"/>
          <w:color w:val="auto"/>
        </w:rPr>
        <w:t>Cost of revenue (exclusive of depreciation and amortization)</w:t>
      </w:r>
    </w:p>
    <w:p>
      <w:pPr>
        <w:spacing w:after="0" w:line="2" w:lineRule="exact"/>
        <w:rPr>
          <w:sz w:val="20"/>
          <w:szCs w:val="20"/>
          <w:color w:val="auto"/>
        </w:rPr>
      </w:pPr>
    </w:p>
    <w:p>
      <w:pPr>
        <w:ind w:left="20" w:right="580"/>
        <w:spacing w:after="0" w:line="289" w:lineRule="auto"/>
        <w:rPr>
          <w:sz w:val="20"/>
          <w:szCs w:val="20"/>
          <w:color w:val="auto"/>
        </w:rPr>
      </w:pPr>
      <w:r>
        <w:rPr>
          <w:rFonts w:ascii="Times New Roman" w:cs="Times New Roman" w:eastAsia="Times New Roman" w:hAnsi="Times New Roman"/>
          <w:sz w:val="18"/>
          <w:szCs w:val="18"/>
          <w:color w:val="auto"/>
        </w:rPr>
        <w:t xml:space="preserve">Depreciation and amortization of intangible assets </w:t>
      </w:r>
      <w:r>
        <w:rPr>
          <w:rFonts w:ascii="Times New Roman" w:cs="Times New Roman" w:eastAsia="Times New Roman" w:hAnsi="Times New Roman"/>
          <w:sz w:val="18"/>
          <w:szCs w:val="18"/>
          <w:b w:val="1"/>
          <w:bCs w:val="1"/>
          <w:color w:val="auto"/>
        </w:rPr>
        <w:t>Gross profit</w:t>
      </w:r>
    </w:p>
    <w:p>
      <w:pPr>
        <w:spacing w:after="0" w:line="1" w:lineRule="exact"/>
        <w:rPr>
          <w:sz w:val="20"/>
          <w:szCs w:val="20"/>
          <w:color w:val="auto"/>
        </w:rPr>
      </w:pPr>
    </w:p>
    <w:p>
      <w:pPr>
        <w:ind w:left="20" w:right="580"/>
        <w:spacing w:after="0" w:line="360" w:lineRule="auto"/>
        <w:rPr>
          <w:sz w:val="20"/>
          <w:szCs w:val="20"/>
          <w:color w:val="auto"/>
        </w:rPr>
      </w:pPr>
      <w:r>
        <w:rPr>
          <w:rFonts w:ascii="Times New Roman" w:cs="Times New Roman" w:eastAsia="Times New Roman" w:hAnsi="Times New Roman"/>
          <w:sz w:val="18"/>
          <w:szCs w:val="18"/>
          <w:color w:val="auto"/>
        </w:rPr>
        <w:t xml:space="preserve">Depreciation and amortization of intangible assets </w:t>
      </w:r>
      <w:r>
        <w:rPr>
          <w:rFonts w:ascii="Times New Roman" w:cs="Times New Roman" w:eastAsia="Times New Roman" w:hAnsi="Times New Roman"/>
          <w:sz w:val="18"/>
          <w:szCs w:val="18"/>
          <w:b w:val="1"/>
          <w:bCs w:val="1"/>
          <w:color w:val="auto"/>
        </w:rPr>
        <w:t>Adjusted gross profit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Pr>
          <w:p>
            <w:pPr>
              <w:spacing w:after="0"/>
              <w:rPr>
                <w:sz w:val="16"/>
                <w:szCs w:val="16"/>
                <w:color w:val="auto"/>
              </w:rPr>
            </w:pPr>
          </w:p>
        </w:tc>
        <w:tc>
          <w:tcPr>
            <w:tcW w:w="2960" w:type="dxa"/>
            <w:vAlign w:val="bottom"/>
            <w:gridSpan w:val="5"/>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82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2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r>
      <w:tr>
        <w:trPr>
          <w:trHeight w:val="228"/>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53,318</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160" w:type="dxa"/>
            <w:vAlign w:val="bottom"/>
          </w:tcPr>
          <w:p>
            <w:pPr>
              <w:spacing w:after="0"/>
              <w:rPr>
                <w:sz w:val="19"/>
                <w:szCs w:val="19"/>
                <w:color w:val="auto"/>
              </w:rPr>
            </w:pPr>
          </w:p>
        </w:tc>
      </w:tr>
      <w:tr>
        <w:trPr>
          <w:trHeight w:val="454"/>
        </w:trPr>
        <w:tc>
          <w:tcPr>
            <w:tcW w:w="260" w:type="dxa"/>
            <w:vAlign w:val="bottom"/>
          </w:tcPr>
          <w:p>
            <w:pPr>
              <w:spacing w:after="0"/>
              <w:rPr>
                <w:sz w:val="24"/>
                <w:szCs w:val="24"/>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(3,054 )</w:t>
            </w:r>
          </w:p>
        </w:tc>
        <w:tc>
          <w:tcPr>
            <w:tcW w:w="340" w:type="dxa"/>
            <w:vAlign w:val="bottom"/>
          </w:tcPr>
          <w:p>
            <w:pPr>
              <w:spacing w:after="0"/>
              <w:rPr>
                <w:sz w:val="24"/>
                <w:szCs w:val="24"/>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(2,927 )</w:t>
            </w:r>
          </w:p>
        </w:tc>
        <w:tc>
          <w:tcPr>
            <w:tcW w:w="320" w:type="dxa"/>
            <w:vAlign w:val="bottom"/>
          </w:tcPr>
          <w:p>
            <w:pPr>
              <w:spacing w:after="0"/>
              <w:rPr>
                <w:sz w:val="24"/>
                <w:szCs w:val="24"/>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(12,211 )</w:t>
            </w:r>
          </w:p>
        </w:tc>
        <w:tc>
          <w:tcPr>
            <w:tcW w:w="320" w:type="dxa"/>
            <w:vAlign w:val="bottom"/>
          </w:tcPr>
          <w:p>
            <w:pPr>
              <w:spacing w:after="0"/>
              <w:rPr>
                <w:sz w:val="24"/>
                <w:szCs w:val="24"/>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(11,195 )</w:t>
            </w:r>
          </w:p>
        </w:tc>
      </w:tr>
      <w:tr>
        <w:trPr>
          <w:trHeight w:val="250"/>
        </w:trPr>
        <w:tc>
          <w:tcPr>
            <w:tcW w:w="260" w:type="dxa"/>
            <w:vAlign w:val="bottom"/>
          </w:tcPr>
          <w:p>
            <w:pPr>
              <w:spacing w:after="0"/>
              <w:rPr>
                <w:sz w:val="21"/>
                <w:szCs w:val="21"/>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(1,758 )</w:t>
            </w:r>
          </w:p>
        </w:tc>
        <w:tc>
          <w:tcPr>
            <w:tcW w:w="340" w:type="dxa"/>
            <w:vAlign w:val="bottom"/>
          </w:tcPr>
          <w:p>
            <w:pPr>
              <w:spacing w:after="0"/>
              <w:rPr>
                <w:sz w:val="21"/>
                <w:szCs w:val="21"/>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(1,407 )</w:t>
            </w:r>
          </w:p>
        </w:tc>
        <w:tc>
          <w:tcPr>
            <w:tcW w:w="320" w:type="dxa"/>
            <w:vAlign w:val="bottom"/>
          </w:tcPr>
          <w:p>
            <w:pPr>
              <w:spacing w:after="0"/>
              <w:rPr>
                <w:sz w:val="21"/>
                <w:szCs w:val="21"/>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(6,440 )</w:t>
            </w:r>
          </w:p>
        </w:tc>
        <w:tc>
          <w:tcPr>
            <w:tcW w:w="320" w:type="dxa"/>
            <w:vAlign w:val="bottom"/>
          </w:tcPr>
          <w:p>
            <w:pPr>
              <w:spacing w:after="0"/>
              <w:rPr>
                <w:sz w:val="21"/>
                <w:szCs w:val="21"/>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(5,170 )</w:t>
            </w:r>
          </w:p>
        </w:tc>
      </w:tr>
      <w:tr>
        <w:trPr>
          <w:trHeight w:val="234"/>
        </w:trPr>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34,667</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160" w:type="dxa"/>
            <w:vAlign w:val="bottom"/>
          </w:tcPr>
          <w:p>
            <w:pPr>
              <w:spacing w:after="0"/>
              <w:rPr>
                <w:sz w:val="20"/>
                <w:szCs w:val="20"/>
                <w:color w:val="auto"/>
              </w:rPr>
            </w:pPr>
          </w:p>
        </w:tc>
      </w:tr>
      <w:tr>
        <w:trPr>
          <w:trHeight w:val="245"/>
        </w:trPr>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60" w:type="dxa"/>
            <w:vAlign w:val="bottom"/>
          </w:tcPr>
          <w:p>
            <w:pPr>
              <w:spacing w:after="0"/>
              <w:rPr>
                <w:sz w:val="21"/>
                <w:szCs w:val="21"/>
                <w:color w:val="auto"/>
              </w:rPr>
            </w:pPr>
          </w:p>
        </w:tc>
      </w:tr>
      <w:tr>
        <w:trPr>
          <w:trHeight w:val="239"/>
        </w:trPr>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41,107</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160" w:type="dxa"/>
            <w:vAlign w:val="bottom"/>
          </w:tcPr>
          <w:p>
            <w:pPr>
              <w:spacing w:after="0"/>
              <w:rPr>
                <w:sz w:val="20"/>
                <w:szCs w:val="20"/>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4"/>
        </w:trPr>
        <w:tc>
          <w:tcPr>
            <w:tcW w:w="2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3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3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3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6"/>
        </w:trPr>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-1619885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-1174115</wp:posOffset>
            </wp:positionV>
            <wp:extent cx="7132320" cy="814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147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-179705</wp:posOffset>
            </wp:positionV>
            <wp:extent cx="71323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60"/>
          </w:cols>
          <w:pgMar w:left="320" w:top="729" w:right="279" w:bottom="1440" w:gutter="0" w:footer="0" w:header="0"/>
          <w:type w:val="continuous"/>
        </w:sect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29" w:right="2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measure, to FCF: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7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5060" w:type="dxa"/>
            <w:vAlign w:val="bottom"/>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(2,317 )</w:t>
            </w:r>
          </w:p>
        </w:tc>
        <w:tc>
          <w:tcPr>
            <w:tcW w:w="3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(1,415 )</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(8,456 )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(4,964 )</w:t>
            </w:r>
          </w:p>
        </w:tc>
        <w:tc>
          <w:tcPr>
            <w:tcW w:w="0" w:type="dxa"/>
            <w:vAlign w:val="bottom"/>
          </w:tcPr>
          <w:p>
            <w:pPr>
              <w:spacing w:after="0"/>
              <w:rPr>
                <w:sz w:val="1"/>
                <w:szCs w:val="1"/>
                <w:color w:val="auto"/>
              </w:rPr>
            </w:pPr>
          </w:p>
        </w:tc>
      </w:tr>
      <w:tr>
        <w:trPr>
          <w:trHeight w:val="279"/>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-24765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4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Adjusted EBITDA, adjusted EBITDA margin,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gross profit, adjusted gross margin and FCF may not be comparable to similarly titled measures presented by other companies, and may not be identical to corresponding measures used in our various agreements.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tables set forth the Company's unaudited quarterly consolidated statements of operations data and reconciliations of certain directly comparable US GAAP financial measures to non-GAAP financial measures, including adjusted EBITDA, adjusted EBITDA margin, adjusted gross profit, adjusted gross margin, and FCF for each of the eight quarters in the two-year period ended December 31, 2022. The Company has prepared the quarterly unaudited consolidated statements of operations data on a basis consistent with the audited consolidated financial statements included elsewhere in this 2022 Form 10-K. In the opinion of management, the financial information in these tables reflects all adjustments, consisting only of normal recurring adjustments, which management considers necessary for a fair presentation of this data. This information should be read in conjunction with the audited consolidated financial statements and related notes included elsewhere in this 2022 Form 10-K. The results of historical periods are not necessarily indicative of the results for any future period.</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25" w:right="4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19"/>
        </w:trPr>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(In thousands, except share data) (Unaudited)</w:t>
            </w: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3/31/2021</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6/30/2021</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9/30/2021</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12/31/2021</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w w:val="93"/>
              </w:rPr>
              <w:t>3/31/2022</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6/30/2022</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9/30/2022</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12/31/2022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10,879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11,668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12,729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15,026</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13,069</w:t>
            </w:r>
          </w:p>
        </w:tc>
        <w:tc>
          <w:tcPr>
            <w:tcW w:w="100" w:type="dxa"/>
            <w:vAlign w:val="bottom"/>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Costs and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Cost of revenue (exclusive of</w:t>
            </w: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3,054</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5,465</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7,119</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costs and expenses</w:t>
            </w:r>
          </w:p>
        </w:tc>
        <w:tc>
          <w:tcPr>
            <w:tcW w:w="1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10,790</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11,289</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10,413</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12,845</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12,448</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12,655</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12,868</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14,986</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(Loss) income from operations</w:t>
            </w:r>
          </w:p>
        </w:tc>
        <w:tc>
          <w:tcPr>
            <w:tcW w:w="180" w:type="dxa"/>
            <w:vAlign w:val="bottom"/>
          </w:tcPr>
          <w:p>
            <w:pPr>
              <w:spacing w:after="0"/>
              <w:rPr>
                <w:sz w:val="13"/>
                <w:szCs w:val="13"/>
                <w:color w:val="auto"/>
              </w:rPr>
            </w:pPr>
          </w:p>
        </w:tc>
        <w:tc>
          <w:tcPr>
            <w:tcW w:w="10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(573 )</w:t>
            </w:r>
          </w:p>
        </w:tc>
        <w:tc>
          <w:tcPr>
            <w:tcW w:w="180" w:type="dxa"/>
            <w:vAlign w:val="bottom"/>
          </w:tcPr>
          <w:p>
            <w:pPr>
              <w:spacing w:after="0"/>
              <w:rPr>
                <w:sz w:val="13"/>
                <w:szCs w:val="13"/>
                <w:color w:val="auto"/>
              </w:rPr>
            </w:pPr>
          </w:p>
        </w:tc>
        <w:tc>
          <w:tcPr>
            <w:tcW w:w="9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(410 )</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(1,587 )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(161 )</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(1,917 )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(5 )</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(4 )</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(Loss) income before income taxes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(148 )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(1,544</w:t>
            </w:r>
          </w:p>
        </w:tc>
        <w:tc>
          <w:tcPr>
            <w:tcW w:w="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(Loss) earnings per share:</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(0.05 )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(0.14 )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(0.01 )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(0.11 )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17"/>
              <w:spacing w:after="0" w:line="143" w:lineRule="exact"/>
              <w:rPr>
                <w:sz w:val="20"/>
                <w:szCs w:val="20"/>
                <w:color w:val="auto"/>
              </w:rPr>
            </w:pPr>
            <w:r>
              <w:rPr>
                <w:rFonts w:ascii="Times New Roman" w:cs="Times New Roman" w:eastAsia="Times New Roman" w:hAnsi="Times New Roman"/>
                <w:sz w:val="13"/>
                <w:szCs w:val="13"/>
                <w:color w:val="auto"/>
              </w:rPr>
              <w:t>(0.05 )</w:t>
            </w: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0.13</w:t>
            </w:r>
          </w:p>
        </w:tc>
        <w:tc>
          <w:tcPr>
            <w:tcW w:w="220" w:type="dxa"/>
            <w:vAlign w:val="bottom"/>
          </w:tcPr>
          <w:p>
            <w:pPr>
              <w:spacing w:after="0"/>
              <w:rPr>
                <w:sz w:val="12"/>
                <w:szCs w:val="12"/>
                <w:color w:val="auto"/>
              </w:rPr>
            </w:pP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0.09</w:t>
            </w:r>
          </w:p>
        </w:tc>
        <w:tc>
          <w:tcPr>
            <w:tcW w:w="22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(0.14 )</w:t>
            </w:r>
          </w:p>
        </w:tc>
        <w:tc>
          <w:tcPr>
            <w:tcW w:w="120" w:type="dxa"/>
            <w:vAlign w:val="bottom"/>
          </w:tcPr>
          <w:p>
            <w:pPr>
              <w:spacing w:after="0"/>
              <w:rPr>
                <w:sz w:val="12"/>
                <w:szCs w:val="12"/>
                <w:color w:val="auto"/>
              </w:rPr>
            </w:pP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0.01</w:t>
            </w:r>
          </w:p>
        </w:tc>
        <w:tc>
          <w:tcPr>
            <w:tcW w:w="220" w:type="dxa"/>
            <w:vAlign w:val="bottom"/>
          </w:tcPr>
          <w:p>
            <w:pPr>
              <w:spacing w:after="0"/>
              <w:rPr>
                <w:sz w:val="12"/>
                <w:szCs w:val="12"/>
                <w:color w:val="auto"/>
              </w:rPr>
            </w:pP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97"/>
              <w:spacing w:after="0" w:line="143" w:lineRule="exact"/>
              <w:rPr>
                <w:sz w:val="20"/>
                <w:szCs w:val="20"/>
                <w:color w:val="auto"/>
              </w:rPr>
            </w:pPr>
            <w:r>
              <w:rPr>
                <w:rFonts w:ascii="Times New Roman" w:cs="Times New Roman" w:eastAsia="Times New Roman" w:hAnsi="Times New Roman"/>
                <w:sz w:val="13"/>
                <w:szCs w:val="13"/>
                <w:color w:val="auto"/>
              </w:rPr>
              <w:t>(0.01 )</w:t>
            </w: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0.16</w:t>
            </w:r>
          </w:p>
        </w:tc>
        <w:tc>
          <w:tcPr>
            <w:tcW w:w="200" w:type="dxa"/>
            <w:vAlign w:val="bottom"/>
          </w:tcPr>
          <w:p>
            <w:pPr>
              <w:spacing w:after="0"/>
              <w:rPr>
                <w:sz w:val="12"/>
                <w:szCs w:val="12"/>
                <w:color w:val="auto"/>
              </w:rPr>
            </w:pPr>
          </w:p>
        </w:tc>
        <w:tc>
          <w:tcPr>
            <w:tcW w:w="160" w:type="dxa"/>
            <w:vAlign w:val="bottom"/>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(0.11 )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340" w:type="dxa"/>
            <w:vAlign w:val="bottom"/>
            <w:gridSpan w:val="2"/>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Weighted average number of</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3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shares outstanding:</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12,207,193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12,269,412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12,741,723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13,158,638</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13,543,607</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13,776,479</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13,748,587</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13,964,010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Borders>
              <w:bottom w:val="single" w:sz="8" w:color="CFF0FC"/>
            </w:tcBorders>
            <w:gridSpan w:val="2"/>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12,207,193</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13,560,714</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13,645,208</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13,158,638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14,047,635</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13,776,479</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13,764,262</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13,964,010</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(In thousands) (Unaudited)</w:t>
            </w: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3/31/2021</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6/30/2021</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9/30/2021</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12/31/2021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w w:val="93"/>
              </w:rPr>
              <w:t>3/31/2022</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6/30/2022</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9/30/2022</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12/31/2022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(1,544</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(1 )</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(125 )</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(225 )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(2,175 )</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Litigation costs</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Write-off of long-lived assets and</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others</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3,132</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auto"/>
              </w:rPr>
              <w:t>Revenue</w:t>
            </w: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10,217</w:t>
            </w:r>
          </w:p>
        </w:tc>
        <w:tc>
          <w:tcPr>
            <w:tcW w:w="240" w:type="dxa"/>
            <w:vAlign w:val="bottom"/>
          </w:tcPr>
          <w:p>
            <w:pPr>
              <w:spacing w:after="0"/>
              <w:rPr>
                <w:sz w:val="12"/>
                <w:szCs w:val="12"/>
                <w:color w:val="auto"/>
              </w:rPr>
            </w:pP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10,879</w:t>
            </w:r>
          </w:p>
        </w:tc>
        <w:tc>
          <w:tcPr>
            <w:tcW w:w="220" w:type="dxa"/>
            <w:vAlign w:val="bottom"/>
          </w:tcPr>
          <w:p>
            <w:pPr>
              <w:spacing w:after="0"/>
              <w:rPr>
                <w:sz w:val="12"/>
                <w:szCs w:val="12"/>
                <w:color w:val="auto"/>
              </w:rPr>
            </w:pP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11,668</w:t>
            </w:r>
          </w:p>
        </w:tc>
        <w:tc>
          <w:tcPr>
            <w:tcW w:w="22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11,258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12,729</w:t>
            </w:r>
          </w:p>
        </w:tc>
        <w:tc>
          <w:tcPr>
            <w:tcW w:w="220" w:type="dxa"/>
            <w:vAlign w:val="bottom"/>
          </w:tcPr>
          <w:p>
            <w:pPr>
              <w:spacing w:after="0"/>
              <w:rPr>
                <w:sz w:val="12"/>
                <w:szCs w:val="12"/>
                <w:color w:val="auto"/>
              </w:rPr>
            </w:pP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12,494</w:t>
            </w:r>
          </w:p>
        </w:tc>
        <w:tc>
          <w:tcPr>
            <w:tcW w:w="220" w:type="dxa"/>
            <w:vAlign w:val="bottom"/>
          </w:tcPr>
          <w:p>
            <w:pPr>
              <w:spacing w:after="0"/>
              <w:rPr>
                <w:sz w:val="12"/>
                <w:szCs w:val="12"/>
                <w:color w:val="auto"/>
              </w:rPr>
            </w:pPr>
          </w:p>
        </w:tc>
        <w:tc>
          <w:tcPr>
            <w:tcW w:w="180" w:type="dxa"/>
            <w:vAlign w:val="bottom"/>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15,026</w:t>
            </w:r>
          </w:p>
        </w:tc>
        <w:tc>
          <w:tcPr>
            <w:tcW w:w="200" w:type="dxa"/>
            <w:vAlign w:val="bottom"/>
          </w:tcPr>
          <w:p>
            <w:pPr>
              <w:spacing w:after="0"/>
              <w:rPr>
                <w:sz w:val="12"/>
                <w:szCs w:val="12"/>
                <w:color w:val="auto"/>
              </w:rPr>
            </w:pPr>
          </w:p>
        </w:tc>
        <w:tc>
          <w:tcPr>
            <w:tcW w:w="160" w:type="dxa"/>
            <w:vAlign w:val="bottom"/>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13,069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3"/>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 margin</w:t>
            </w:r>
          </w:p>
        </w:tc>
        <w:tc>
          <w:tcPr>
            <w:tcW w:w="180" w:type="dxa"/>
            <w:vAlign w:val="bottom"/>
          </w:tcPr>
          <w:p>
            <w:pPr>
              <w:spacing w:after="0"/>
              <w:rPr>
                <w:sz w:val="14"/>
                <w:szCs w:val="14"/>
                <w:color w:val="auto"/>
              </w:rPr>
            </w:pPr>
          </w:p>
        </w:tc>
        <w:tc>
          <w:tcPr>
            <w:tcW w:w="10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(6 %)</w:t>
            </w:r>
          </w:p>
        </w:tc>
        <w:tc>
          <w:tcPr>
            <w:tcW w:w="180" w:type="dxa"/>
            <w:vAlign w:val="bottom"/>
          </w:tcPr>
          <w:p>
            <w:pPr>
              <w:spacing w:after="0"/>
              <w:rPr>
                <w:sz w:val="14"/>
                <w:szCs w:val="14"/>
                <w:color w:val="auto"/>
              </w:rPr>
            </w:pPr>
          </w:p>
        </w:tc>
        <w:tc>
          <w:tcPr>
            <w:tcW w:w="9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16 %</w:t>
            </w:r>
          </w:p>
        </w:tc>
        <w:tc>
          <w:tcPr>
            <w:tcW w:w="180" w:type="dxa"/>
            <w:vAlign w:val="bottom"/>
          </w:tcPr>
          <w:p>
            <w:pPr>
              <w:spacing w:after="0"/>
              <w:rPr>
                <w:sz w:val="14"/>
                <w:szCs w:val="14"/>
                <w:color w:val="auto"/>
              </w:rPr>
            </w:pPr>
          </w:p>
        </w:tc>
        <w:tc>
          <w:tcPr>
            <w:tcW w:w="9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11 %</w:t>
            </w:r>
          </w:p>
        </w:tc>
        <w:tc>
          <w:tcPr>
            <w:tcW w:w="160" w:type="dxa"/>
            <w:vAlign w:val="bottom"/>
          </w:tcPr>
          <w:p>
            <w:pPr>
              <w:spacing w:after="0"/>
              <w:rPr>
                <w:sz w:val="14"/>
                <w:szCs w:val="14"/>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(16 %)</w:t>
            </w:r>
          </w:p>
        </w:tc>
        <w:tc>
          <w:tcPr>
            <w:tcW w:w="260" w:type="dxa"/>
            <w:vAlign w:val="bottom"/>
          </w:tcPr>
          <w:p>
            <w:pPr>
              <w:spacing w:after="0"/>
              <w:rPr>
                <w:sz w:val="14"/>
                <w:szCs w:val="14"/>
                <w:color w:val="auto"/>
              </w:rPr>
            </w:pPr>
          </w:p>
        </w:tc>
        <w:tc>
          <w:tcPr>
            <w:tcW w:w="8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8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15 %</w:t>
            </w:r>
          </w:p>
        </w:tc>
        <w:tc>
          <w:tcPr>
            <w:tcW w:w="16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CFF0FC"/>
            </w:tcBorders>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Adjusted EBITDA margin</w:t>
            </w:r>
          </w:p>
        </w:tc>
        <w:tc>
          <w:tcPr>
            <w:tcW w:w="120" w:type="dxa"/>
            <w:vAlign w:val="bottom"/>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28</w:t>
            </w:r>
          </w:p>
        </w:tc>
        <w:tc>
          <w:tcPr>
            <w:tcW w:w="240" w:type="dxa"/>
            <w:vAlign w:val="bottom"/>
            <w:tcBorders>
              <w:bottom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29</w:t>
            </w:r>
          </w:p>
        </w:tc>
        <w:tc>
          <w:tcPr>
            <w:tcW w:w="220" w:type="dxa"/>
            <w:vAlign w:val="bottom"/>
            <w:tcBorders>
              <w:bottom w:val="single" w:sz="8" w:color="CFF0FC"/>
            </w:tcBorders>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31</w:t>
            </w:r>
          </w:p>
        </w:tc>
        <w:tc>
          <w:tcPr>
            <w:tcW w:w="220" w:type="dxa"/>
            <w:vAlign w:val="bottom"/>
            <w:tcBorders>
              <w:bottom w:val="single" w:sz="8" w:color="CFF0FC"/>
            </w:tcBorders>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12</w:t>
            </w:r>
          </w:p>
        </w:tc>
        <w:tc>
          <w:tcPr>
            <w:tcW w:w="220" w:type="dxa"/>
            <w:vAlign w:val="bottom"/>
            <w:tcBorders>
              <w:bottom w:val="single" w:sz="8" w:color="CFF0FC"/>
            </w:tcBorders>
            <w:gridSpan w:val="2"/>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25</w:t>
            </w:r>
          </w:p>
        </w:tc>
        <w:tc>
          <w:tcPr>
            <w:tcW w:w="220" w:type="dxa"/>
            <w:vAlign w:val="bottom"/>
            <w:tcBorders>
              <w:bottom w:val="single" w:sz="8" w:color="CFF0FC"/>
            </w:tcBorders>
            <w:shd w:val="clear" w:color="auto" w:fill="CFF0FC"/>
          </w:tcPr>
          <w:p>
            <w:pPr>
              <w:jc w:val="right"/>
              <w:ind w:right="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23</w:t>
            </w:r>
          </w:p>
        </w:tc>
        <w:tc>
          <w:tcPr>
            <w:tcW w:w="220" w:type="dxa"/>
            <w:vAlign w:val="bottom"/>
            <w:tcBorders>
              <w:bottom w:val="single" w:sz="8" w:color="CFF0FC"/>
            </w:tcBorders>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35</w:t>
            </w:r>
          </w:p>
        </w:tc>
        <w:tc>
          <w:tcPr>
            <w:tcW w:w="200" w:type="dxa"/>
            <w:vAlign w:val="bottom"/>
            <w:tcBorders>
              <w:bottom w:val="single" w:sz="8" w:color="CFF0FC"/>
            </w:tcBorders>
            <w:shd w:val="clear" w:color="auto" w:fill="CFF0FC"/>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(In thousands) (Unaudited)</w:t>
            </w: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3/31/2021</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6/30/2021</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9/30/2021</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12/31/2021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w w:val="93"/>
              </w:rPr>
              <w:t>3/31/2022</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6/30/2022</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9/30/2022</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12/31/2022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10,879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11,668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12,729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15,026</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13,069</w:t>
            </w:r>
          </w:p>
        </w:tc>
        <w:tc>
          <w:tcPr>
            <w:tcW w:w="100" w:type="dxa"/>
            <w:vAlign w:val="bottom"/>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3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Cost of revenue (exclusive of</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4"/>
                <w:szCs w:val="14"/>
                <w:color w:val="auto"/>
              </w:rPr>
            </w:pPr>
          </w:p>
        </w:tc>
        <w:tc>
          <w:tcPr>
            <w:tcW w:w="10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(2,761 )</w:t>
            </w:r>
          </w:p>
        </w:tc>
        <w:tc>
          <w:tcPr>
            <w:tcW w:w="180" w:type="dxa"/>
            <w:vAlign w:val="bottom"/>
          </w:tcPr>
          <w:p>
            <w:pPr>
              <w:spacing w:after="0"/>
              <w:rPr>
                <w:sz w:val="14"/>
                <w:szCs w:val="14"/>
                <w:color w:val="auto"/>
              </w:rPr>
            </w:pPr>
          </w:p>
        </w:tc>
        <w:tc>
          <w:tcPr>
            <w:tcW w:w="9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(2,720 )</w:t>
            </w:r>
          </w:p>
        </w:tc>
        <w:tc>
          <w:tcPr>
            <w:tcW w:w="180" w:type="dxa"/>
            <w:vAlign w:val="bottom"/>
          </w:tcPr>
          <w:p>
            <w:pPr>
              <w:spacing w:after="0"/>
              <w:rPr>
                <w:sz w:val="14"/>
                <w:szCs w:val="14"/>
                <w:color w:val="auto"/>
              </w:rPr>
            </w:pPr>
          </w:p>
        </w:tc>
        <w:tc>
          <w:tcPr>
            <w:tcW w:w="9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(2,787 )</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(2,927 )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(3,170 )</w:t>
            </w:r>
          </w:p>
        </w:tc>
        <w:tc>
          <w:tcPr>
            <w:tcW w:w="180" w:type="dxa"/>
            <w:vAlign w:val="bottom"/>
          </w:tcPr>
          <w:p>
            <w:pPr>
              <w:spacing w:after="0"/>
              <w:rPr>
                <w:sz w:val="14"/>
                <w:szCs w:val="14"/>
                <w:color w:val="auto"/>
              </w:rPr>
            </w:pPr>
          </w:p>
        </w:tc>
        <w:tc>
          <w:tcPr>
            <w:tcW w:w="9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(2,920 )</w:t>
            </w:r>
          </w:p>
        </w:tc>
        <w:tc>
          <w:tcPr>
            <w:tcW w:w="180" w:type="dxa"/>
            <w:vAlign w:val="bottom"/>
          </w:tcPr>
          <w:p>
            <w:pPr>
              <w:spacing w:after="0"/>
              <w:rPr>
                <w:sz w:val="14"/>
                <w:szCs w:val="14"/>
                <w:color w:val="auto"/>
              </w:rPr>
            </w:pP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(3,067 )</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(3,054 )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34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FF0FC"/>
          </w:tcPr>
          <w:p>
            <w:pPr>
              <w:spacing w:after="0"/>
              <w:rPr>
                <w:sz w:val="11"/>
                <w:szCs w:val="11"/>
                <w:color w:val="auto"/>
              </w:rPr>
            </w:pPr>
          </w:p>
        </w:tc>
        <w:tc>
          <w:tcPr>
            <w:tcW w:w="1000" w:type="dxa"/>
            <w:vAlign w:val="bottom"/>
            <w:gridSpan w:val="2"/>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(1,203 )</w:t>
            </w:r>
          </w:p>
        </w:tc>
        <w:tc>
          <w:tcPr>
            <w:tcW w:w="180" w:type="dxa"/>
            <w:vAlign w:val="bottom"/>
            <w:shd w:val="clear" w:color="auto" w:fill="CFF0FC"/>
          </w:tcPr>
          <w:p>
            <w:pPr>
              <w:spacing w:after="0"/>
              <w:rPr>
                <w:sz w:val="11"/>
                <w:szCs w:val="11"/>
                <w:color w:val="auto"/>
              </w:rPr>
            </w:pPr>
          </w:p>
        </w:tc>
        <w:tc>
          <w:tcPr>
            <w:tcW w:w="96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(1,272 )</w:t>
            </w:r>
          </w:p>
        </w:tc>
        <w:tc>
          <w:tcPr>
            <w:tcW w:w="18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(1,288 )</w:t>
            </w:r>
          </w:p>
        </w:tc>
        <w:tc>
          <w:tcPr>
            <w:tcW w:w="16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(1,407 )</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(1,472 )</w:t>
            </w:r>
          </w:p>
        </w:tc>
        <w:tc>
          <w:tcPr>
            <w:tcW w:w="18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(1,551 )</w:t>
            </w:r>
          </w:p>
        </w:tc>
        <w:tc>
          <w:tcPr>
            <w:tcW w:w="18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(1,659 )</w:t>
            </w:r>
          </w:p>
        </w:tc>
        <w:tc>
          <w:tcPr>
            <w:tcW w:w="16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(1,758 )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of intangible assets</w:t>
            </w:r>
          </w:p>
        </w:tc>
        <w:tc>
          <w:tcPr>
            <w:tcW w:w="18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6,253</w:t>
            </w: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6,887</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7,593</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6,924</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8,087</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8,023</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10,300</w:t>
            </w: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8,257</w:t>
            </w:r>
          </w:p>
        </w:tc>
        <w:tc>
          <w:tcPr>
            <w:tcW w:w="100" w:type="dxa"/>
            <w:vAlign w:val="bottom"/>
            <w:tcBorders>
              <w:top w:val="single" w:sz="8" w:color="CFF0FC"/>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34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10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of intangible assets</w:t>
            </w:r>
          </w:p>
        </w:tc>
        <w:tc>
          <w:tcPr>
            <w:tcW w:w="1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Adjusted gross profit</w:t>
            </w: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7,456</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8,159</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8,881</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8,331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9,559</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9,574</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11,959</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10,015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40" w:type="dxa"/>
            <w:vAlign w:val="bottom"/>
            <w:gridSpan w:val="2"/>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3"/>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Gross margin</w:t>
            </w:r>
          </w:p>
        </w:tc>
        <w:tc>
          <w:tcPr>
            <w:tcW w:w="180" w:type="dxa"/>
            <w:vAlign w:val="bottom"/>
          </w:tcPr>
          <w:p>
            <w:pPr>
              <w:spacing w:after="0"/>
              <w:rPr>
                <w:sz w:val="14"/>
                <w:szCs w:val="14"/>
                <w:color w:val="auto"/>
              </w:rPr>
            </w:pPr>
          </w:p>
        </w:tc>
        <w:tc>
          <w:tcPr>
            <w:tcW w:w="1000" w:type="dxa"/>
            <w:vAlign w:val="bottom"/>
            <w:gridSpan w:val="2"/>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61 %</w:t>
            </w:r>
          </w:p>
        </w:tc>
        <w:tc>
          <w:tcPr>
            <w:tcW w:w="180" w:type="dxa"/>
            <w:vAlign w:val="bottom"/>
          </w:tcPr>
          <w:p>
            <w:pPr>
              <w:spacing w:after="0"/>
              <w:rPr>
                <w:sz w:val="14"/>
                <w:szCs w:val="14"/>
                <w:color w:val="auto"/>
              </w:rPr>
            </w:pPr>
          </w:p>
        </w:tc>
        <w:tc>
          <w:tcPr>
            <w:tcW w:w="96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63 %</w:t>
            </w:r>
          </w:p>
        </w:tc>
        <w:tc>
          <w:tcPr>
            <w:tcW w:w="180" w:type="dxa"/>
            <w:vAlign w:val="bottom"/>
          </w:tcPr>
          <w:p>
            <w:pPr>
              <w:spacing w:after="0"/>
              <w:rPr>
                <w:sz w:val="14"/>
                <w:szCs w:val="14"/>
                <w:color w:val="auto"/>
              </w:rPr>
            </w:pPr>
          </w:p>
        </w:tc>
        <w:tc>
          <w:tcPr>
            <w:tcW w:w="94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65 %</w:t>
            </w:r>
          </w:p>
        </w:tc>
        <w:tc>
          <w:tcPr>
            <w:tcW w:w="160" w:type="dxa"/>
            <w:vAlign w:val="bottom"/>
          </w:tcPr>
          <w:p>
            <w:pPr>
              <w:spacing w:after="0"/>
              <w:rPr>
                <w:sz w:val="14"/>
                <w:szCs w:val="14"/>
                <w:color w:val="auto"/>
              </w:rPr>
            </w:pPr>
          </w:p>
        </w:tc>
        <w:tc>
          <w:tcPr>
            <w:tcW w:w="96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62 %</w:t>
            </w:r>
          </w:p>
        </w:tc>
        <w:tc>
          <w:tcPr>
            <w:tcW w:w="260" w:type="dxa"/>
            <w:vAlign w:val="bottom"/>
          </w:tcPr>
          <w:p>
            <w:pPr>
              <w:spacing w:after="0"/>
              <w:rPr>
                <w:sz w:val="14"/>
                <w:szCs w:val="14"/>
                <w:color w:val="auto"/>
              </w:rPr>
            </w:pPr>
          </w:p>
        </w:tc>
        <w:tc>
          <w:tcPr>
            <w:tcW w:w="84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64 %</w:t>
            </w:r>
          </w:p>
        </w:tc>
        <w:tc>
          <w:tcPr>
            <w:tcW w:w="180" w:type="dxa"/>
            <w:vAlign w:val="bottom"/>
          </w:tcPr>
          <w:p>
            <w:pPr>
              <w:spacing w:after="0"/>
              <w:rPr>
                <w:sz w:val="14"/>
                <w:szCs w:val="14"/>
                <w:color w:val="auto"/>
              </w:rPr>
            </w:pPr>
          </w:p>
        </w:tc>
        <w:tc>
          <w:tcPr>
            <w:tcW w:w="94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64 %</w:t>
            </w:r>
          </w:p>
        </w:tc>
        <w:tc>
          <w:tcPr>
            <w:tcW w:w="180" w:type="dxa"/>
            <w:vAlign w:val="bottom"/>
          </w:tcPr>
          <w:p>
            <w:pPr>
              <w:spacing w:after="0"/>
              <w:rPr>
                <w:sz w:val="14"/>
                <w:szCs w:val="14"/>
                <w:color w:val="auto"/>
              </w:rPr>
            </w:pPr>
          </w:p>
        </w:tc>
        <w:tc>
          <w:tcPr>
            <w:tcW w:w="920" w:type="dxa"/>
            <w:vAlign w:val="bottom"/>
            <w:gridSpan w:val="2"/>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rPr>
              <w:t>69 %</w:t>
            </w:r>
          </w:p>
        </w:tc>
        <w:tc>
          <w:tcPr>
            <w:tcW w:w="160" w:type="dxa"/>
            <w:vAlign w:val="bottom"/>
          </w:tcPr>
          <w:p>
            <w:pPr>
              <w:spacing w:after="0"/>
              <w:rPr>
                <w:sz w:val="14"/>
                <w:szCs w:val="14"/>
                <w:color w:val="auto"/>
              </w:rPr>
            </w:pP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63 %</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Borders>
              <w:bottom w:val="single" w:sz="8" w:color="CFF0FC"/>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Adjusted gross margin</w:t>
            </w:r>
          </w:p>
        </w:tc>
        <w:tc>
          <w:tcPr>
            <w:tcW w:w="1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w:t>
            </w:r>
          </w:p>
        </w:tc>
        <w:tc>
          <w:tcPr>
            <w:tcW w:w="2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w:t>
            </w:r>
          </w:p>
        </w:tc>
        <w:tc>
          <w:tcPr>
            <w:tcW w:w="220" w:type="dxa"/>
            <w:vAlign w:val="bottom"/>
            <w:tcBorders>
              <w:bottom w:val="single" w:sz="8" w:color="CFF0FC"/>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76</w:t>
            </w:r>
          </w:p>
        </w:tc>
        <w:tc>
          <w:tcPr>
            <w:tcW w:w="220" w:type="dxa"/>
            <w:vAlign w:val="bottom"/>
            <w:tcBorders>
              <w:bottom w:val="single" w:sz="8" w:color="CFF0FC"/>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74</w:t>
            </w:r>
          </w:p>
        </w:tc>
        <w:tc>
          <w:tcPr>
            <w:tcW w:w="220" w:type="dxa"/>
            <w:vAlign w:val="bottom"/>
            <w:tcBorders>
              <w:bottom w:val="single" w:sz="8" w:color="CFF0FC"/>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w:t>
            </w:r>
          </w:p>
        </w:tc>
        <w:tc>
          <w:tcPr>
            <w:tcW w:w="220" w:type="dxa"/>
            <w:vAlign w:val="bottom"/>
            <w:tcBorders>
              <w:bottom w:val="single" w:sz="8" w:color="CFF0FC"/>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77</w:t>
            </w:r>
          </w:p>
        </w:tc>
        <w:tc>
          <w:tcPr>
            <w:tcW w:w="2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80</w:t>
            </w:r>
          </w:p>
        </w:tc>
        <w:tc>
          <w:tcPr>
            <w:tcW w:w="200" w:type="dxa"/>
            <w:vAlign w:val="bottom"/>
            <w:tcBorders>
              <w:bottom w:val="single" w:sz="8" w:color="CFF0FC"/>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(In thousands) (Unaudited)</w:t>
            </w: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3/31/2021</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6/30/2021</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9/30/2021</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12/31/2021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w w:val="93"/>
              </w:rPr>
              <w:t>3/31/2022</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6/30/2022</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9"/>
                <w:szCs w:val="9"/>
                <w:b w:val="1"/>
                <w:bCs w:val="1"/>
                <w:color w:val="auto"/>
              </w:rPr>
              <w:t>9/30/2022</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9"/>
                <w:szCs w:val="9"/>
                <w:b w:val="1"/>
                <w:bCs w:val="1"/>
                <w:color w:val="auto"/>
              </w:rPr>
              <w:t>12/31/2022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Net cash provided by operating</w:t>
            </w:r>
          </w:p>
        </w:tc>
        <w:tc>
          <w:tcPr>
            <w:tcW w:w="1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3,145</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(46 )</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(109 )</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(68 )</w:t>
            </w: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(113 )</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(108 )</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(50 )</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Capitalized costs included in</w:t>
            </w:r>
          </w:p>
        </w:tc>
        <w:tc>
          <w:tcPr>
            <w:tcW w:w="180" w:type="dxa"/>
            <w:vAlign w:val="bottom"/>
          </w:tcPr>
          <w:p>
            <w:pPr>
              <w:spacing w:after="0"/>
              <w:rPr>
                <w:sz w:val="11"/>
                <w:szCs w:val="11"/>
                <w:color w:val="auto"/>
              </w:rPr>
            </w:pPr>
          </w:p>
        </w:tc>
        <w:tc>
          <w:tcPr>
            <w:tcW w:w="100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(1,247 )</w:t>
            </w:r>
          </w:p>
        </w:tc>
        <w:tc>
          <w:tcPr>
            <w:tcW w:w="180" w:type="dxa"/>
            <w:vAlign w:val="bottom"/>
          </w:tcPr>
          <w:p>
            <w:pPr>
              <w:spacing w:after="0"/>
              <w:rPr>
                <w:sz w:val="11"/>
                <w:szCs w:val="11"/>
                <w:color w:val="auto"/>
              </w:rPr>
            </w:pPr>
          </w:p>
        </w:tc>
        <w:tc>
          <w:tcPr>
            <w:tcW w:w="96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(1,173 )</w:t>
            </w:r>
          </w:p>
        </w:tc>
        <w:tc>
          <w:tcPr>
            <w:tcW w:w="180" w:type="dxa"/>
            <w:vAlign w:val="bottom"/>
          </w:tcPr>
          <w:p>
            <w:pPr>
              <w:spacing w:after="0"/>
              <w:rPr>
                <w:sz w:val="11"/>
                <w:szCs w:val="11"/>
                <w:color w:val="auto"/>
              </w:rPr>
            </w:pPr>
          </w:p>
        </w:tc>
        <w:tc>
          <w:tcPr>
            <w:tcW w:w="9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(1,129 )</w:t>
            </w:r>
          </w:p>
        </w:tc>
        <w:tc>
          <w:tcPr>
            <w:tcW w:w="160" w:type="dxa"/>
            <w:vAlign w:val="bottom"/>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(1,415 )</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(1,794 )</w:t>
            </w:r>
          </w:p>
        </w:tc>
        <w:tc>
          <w:tcPr>
            <w:tcW w:w="180" w:type="dxa"/>
            <w:vAlign w:val="bottom"/>
          </w:tcPr>
          <w:p>
            <w:pPr>
              <w:spacing w:after="0"/>
              <w:rPr>
                <w:sz w:val="11"/>
                <w:szCs w:val="11"/>
                <w:color w:val="auto"/>
              </w:rPr>
            </w:pPr>
          </w:p>
        </w:tc>
        <w:tc>
          <w:tcPr>
            <w:tcW w:w="9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(2,099 )</w:t>
            </w:r>
          </w:p>
        </w:tc>
        <w:tc>
          <w:tcPr>
            <w:tcW w:w="180" w:type="dxa"/>
            <w:vAlign w:val="bottom"/>
          </w:tcPr>
          <w:p>
            <w:pPr>
              <w:spacing w:after="0"/>
              <w:rPr>
                <w:sz w:val="11"/>
                <w:szCs w:val="11"/>
                <w:color w:val="auto"/>
              </w:rPr>
            </w:pPr>
          </w:p>
        </w:tc>
        <w:tc>
          <w:tcPr>
            <w:tcW w:w="92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(2,246 )</w:t>
            </w:r>
          </w:p>
        </w:tc>
        <w:tc>
          <w:tcPr>
            <w:tcW w:w="16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(2,317 )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intangible assets</w:t>
            </w:r>
          </w:p>
        </w:tc>
        <w:tc>
          <w:tcPr>
            <w:tcW w:w="1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Free cash flow</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2,267</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-5768340</wp:posOffset>
            </wp:positionV>
            <wp:extent cx="76835" cy="111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-5768340</wp:posOffset>
            </wp:positionV>
            <wp:extent cx="76835" cy="111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-5768340</wp:posOffset>
            </wp:positionV>
            <wp:extent cx="68580" cy="111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-5768340</wp:posOffset>
            </wp:positionV>
            <wp:extent cx="6858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-5768340</wp:posOffset>
            </wp:positionV>
            <wp:extent cx="68580" cy="111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-5768340</wp:posOffset>
            </wp:positionV>
            <wp:extent cx="68580" cy="111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-5768340</wp:posOffset>
            </wp:positionV>
            <wp:extent cx="68580" cy="111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-5768340</wp:posOffset>
            </wp:positionV>
            <wp:extent cx="68580" cy="111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-5125720</wp:posOffset>
            </wp:positionV>
            <wp:extent cx="505777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57775" cy="12890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-4893945</wp:posOffset>
            </wp:positionV>
            <wp:extent cx="505777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-4319905</wp:posOffset>
            </wp:positionV>
            <wp:extent cx="5057775"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57775" cy="3003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-3007995</wp:posOffset>
            </wp:positionV>
            <wp:extent cx="505777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57775" cy="12890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-2545080</wp:posOffset>
            </wp:positionV>
            <wp:extent cx="5057775"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57775" cy="3003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-1773555</wp:posOffset>
            </wp:positionV>
            <wp:extent cx="76835"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-1773555</wp:posOffset>
            </wp:positionV>
            <wp:extent cx="76835"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-1773555</wp:posOffset>
            </wp:positionV>
            <wp:extent cx="68580"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-1773555</wp:posOffset>
            </wp:positionV>
            <wp:extent cx="68580"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-1773555</wp:posOffset>
            </wp:positionV>
            <wp:extent cx="68580"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-1773555</wp:posOffset>
            </wp:positionV>
            <wp:extent cx="68580"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-1773555</wp:posOffset>
            </wp:positionV>
            <wp:extent cx="68580" cy="111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-1482090</wp:posOffset>
            </wp:positionV>
            <wp:extent cx="7683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-1482090</wp:posOffset>
            </wp:positionV>
            <wp:extent cx="7683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-1482090</wp:posOffset>
            </wp:positionV>
            <wp:extent cx="6858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-1482090</wp:posOffset>
            </wp:positionV>
            <wp:extent cx="6858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-1482090</wp:posOffset>
            </wp:positionV>
            <wp:extent cx="6858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-1482090</wp:posOffset>
            </wp:positionV>
            <wp:extent cx="6858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-1482090</wp:posOffset>
            </wp:positionV>
            <wp:extent cx="6858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-1010920</wp:posOffset>
            </wp:positionV>
            <wp:extent cx="5057775" cy="300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57775" cy="3003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74"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year ended December 31, 2021</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$9.3 million or 21% to $53.3 million for the year ended December 31, 2022 from $44.0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2021. Revenue from new customers increased $1.4 million or 37%, base revenue from existing customers increased $7.3 million or 21%, and growth revenue from existing customers increased $0.6 million or 10%. Our IDI billable customer base grew from 6,548 customers as of December 31, 2021 to 7,021 customers as of December 31, 2022, and our FOREWARN user base grew from 82,419 users to 116,960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4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r>
        <w:rPr>
          <w:rFonts w:ascii="Times New Roman" w:cs="Times New Roman" w:eastAsia="Times New Roman" w:hAnsi="Times New Roman"/>
          <w:sz w:val="18"/>
          <w:szCs w:val="18"/>
          <w:color w:val="auto"/>
        </w:rPr>
        <w:t>. Cost of revenue increased $1.0 million or 9% to $12.2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2022 from $11.2 million for the year ended December 31, 2021.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49% of our total data acquisition costs for the years ended December 31, 2022 and 2021. Other cost of revenue items include expenses related to third-party infrastructure fees.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23% for the year ended December 31, 2022 from 25% for the year ended December 31, 2021.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3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$1.9 million or 21% to $10.8 million for the year ended December 31,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$8.9 million for the year ended December 31, 2021. Sales and marketing expenses consist of salaries and benefits, advertising and marketing, travel expenses, and share-based compensation expense, incurred by our sales team, and provision for bad debts. The increase during the year ended December 31, 2022 was primarily attributable to an increase of $1.7 million in salaries and benefits, and sales commissions, resulting from increased revenue.</w:t>
      </w:r>
    </w:p>
    <w:p>
      <w:pPr>
        <w:spacing w:after="0" w:line="13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$3.4 million or 17% to $23.2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2022 from $19.8 million for the year ended December 31, 2021. For the years ended December 31, 2022 and 2021, our general and administrative expenses consisted primarily of employee salaries and benefits of $11.8 million and $8.4 million, share-based compensation expense of $5.2 million and $6.1 million, and professional fees of $3.7 million and $3.2 million, respectively.</w:t>
      </w:r>
    </w:p>
    <w:p>
      <w:pPr>
        <w:spacing w:after="0" w:line="14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$1.3 million or 24% to $6.7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from $5.4 million for the year ended December 31, 2021. The increase in depreciation and amortization for the year ended December 31, 2022 resulted primarily from the amortization of software developed for internal use that became ready for its intended use after December 31, 2021.</w:t>
      </w:r>
    </w:p>
    <w:p>
      <w:pPr>
        <w:spacing w:after="0" w:line="13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Gain on extinguishment of debt</w:t>
      </w:r>
      <w:r>
        <w:rPr>
          <w:rFonts w:ascii="Times New Roman" w:cs="Times New Roman" w:eastAsia="Times New Roman" w:hAnsi="Times New Roman"/>
          <w:sz w:val="18"/>
          <w:szCs w:val="18"/>
          <w:color w:val="auto"/>
        </w:rPr>
        <w:t>. On May 5, 2020, we received the CARES Act Loan in the principal amount of $2.2 million. On June 16, 2021,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a notice from the Lender that the full principal amount of the CARES Act Loan and its accrued interest had been fully forgiven, resulting in a gain on extinguishment of debt of $2.2 million during the year ended December 31, 2021.</w:t>
      </w:r>
    </w:p>
    <w:p>
      <w:pPr>
        <w:spacing w:after="0" w:line="13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r>
        <w:rPr>
          <w:rFonts w:ascii="Times New Roman" w:cs="Times New Roman" w:eastAsia="Times New Roman" w:hAnsi="Times New Roman"/>
          <w:sz w:val="18"/>
          <w:szCs w:val="18"/>
          <w:color w:val="auto"/>
        </w:rPr>
        <w:t>. Income before income taxes was $0.7 million for the year ended December 31, 2022 compared to $0.9 million, inclusive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one-time gain of $2.2 million on the extinguishment of debt from the forgiveness of the CARES Act Loan, for the year ended December 31, 2021. The significant improvement in income before income taxes to $0.7 million for the year ended December 31, 2022 from a loss of $1.3 million, exclusive of the one-time gain on extinguishment of debt, for the year ended December 31, 2021, was primarily attributable to the increase in revenue, decrease in our cost of revenue as a percentage of revenue, and decrease in share-based compensation expense, which was partially offset by the increase in employee salaries and benefits and sales commissions of $5.1 million, and depreciation and amortization of $1.3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4" w:name="page35"/>
    <w:bookmarkEnd w:id="34"/>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 expense of $0.1 million and $0.2 million was recognized for the years ended December 31, 2022 and 2021, respectively.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allowance on the deferred tax assets was recognized as of December 31, 2022 and 2021, to reduce the deferred tax assets to the amount that is more likely than not to be realized. See Note 8, “Income Taxes,” included in “Notes to Consolidated Financial Statements.”</w:t>
      </w:r>
    </w:p>
    <w:p>
      <w:pPr>
        <w:spacing w:after="0" w:line="14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$0.6 million for the year ended December 31, 2022 compared to $0.7 million, inclusive of a one-time gain of $2.2 million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extinguishment of debt from the forgiveness of the CARES Act Loan, for the year ended December 31, 2021, as a result of the foregoing.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the persistent inflationary pressure throughout 2022 has contributed to deteriorating macroeconomic conditions and increased recession fears, causing businesses to slow their spending over the last several months, which have resulted in, and may continue to result, in fluctuations in volumes, pricing and operating margins for our services. Also, higher interest rates imposed to combat inflation, may reduce the demand for credit, which may lead to a decline in the volume of services we provide to our customers in the banking or financial industry, or other industries that are affected by these types of disruptions. However, the rates of inflation experienced in recent years have had no material impact on our financial statements as we have attempted to recover increased costs by increasing prices for our services, to the extent permitted by contracts and competition.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For the year ended December 31, 2022, net cash provided by operating activities was $12.5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result of the net income of $0.6 million, adjusted for certain non-cash items (consisting of share-based compensation expense, depreciation and amortization, write-off of long-lived assets, provision for bad debts, noncash lease expenses, and deferred income tax expense) totaling $13.2 million, and the cash used as a result of changes in assets and liabilities of $1.3 million, primarily the result of the increase in accounts receivable and other noncurrent assets, and the decrease in operating lease liabilities, which was offset by the increase in accounts payable and accrued expenses and other current liabilities. For the year ended December 31, 2021, net cash provided by operating activities was $8.9 million, primarily the result of the net income of $0.7 million, adjusted for certain non-cash items (consisting of share-based compensation expense, depreciation and amortization, write-off of long-lived assets, provision for bad debts, noncash lease expenses, gain on extinguishment of debt, and deferred income tax expense) totaling $10.7 million, and the cash used as a result of changes in assets and liabilities of $2.4 million, primarily the result of the increase in accounts receivable, and the decrease in accounts payable, accrued expenses and other current liabilities, and operating lease liabilities.</w:t>
      </w:r>
    </w:p>
    <w:p>
      <w:pPr>
        <w:spacing w:after="0" w:line="14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 For the years ended December 31, 2022 and 2021, net cash used in investing activities was $8.8 million and $5.2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primarily as a result of capitalized costs included in intangible assets.</w:t>
      </w:r>
    </w:p>
    <w:p>
      <w:pPr>
        <w:spacing w:after="0" w:line="13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Cash flows (used in) provided by financing activities</w:t>
      </w:r>
      <w:r>
        <w:rPr>
          <w:rFonts w:ascii="Times New Roman" w:cs="Times New Roman" w:eastAsia="Times New Roman" w:hAnsi="Times New Roman"/>
          <w:sz w:val="18"/>
          <w:szCs w:val="18"/>
          <w:color w:val="auto"/>
        </w:rPr>
        <w:t>. For the year ended December 31, 2022, net cash used in financing activities was $6.1 million, mainly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result of $5.2 million in taxes paid related to the net share settlement of vesting of RSUs during the year and $0.9 million paid in aggregate for the repurchase of common stock pursuant to the Stock Repurchase Program that the board of directors authorized on May 4, 2022, authorizing the repurchase of up to $5.0 million of our common stock. For the year ended December 31, 2021, net cash provided by financing activities was $17.6 million, mainly the result of the net proceeds of $20.9 million in a registered direct offering on November 19, 2021, offset by $3.3 million in taxes paid related to the net share settlement of vesting of RSUs during the year.</w:t>
      </w:r>
    </w:p>
    <w:p>
      <w:pPr>
        <w:spacing w:after="0" w:line="1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2022, we had material commitments under certain data licensing agreements of $27.2 million. We anticipate funding our operations using available cash and cash flow generated from operations within the next twelve months.</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reported net income of $0.6 million and $0.7 million for the years ended December 31, 2022 and 2021, respectively. As of December 31, 2022, we had a total shareholders’ equity balance of $71.1 million.</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$31.8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do not have any outstanding off-balance sheet guarantees, interest rate swap transactions or foreign currency forward contracts. In addition, we do not engage in trading activities involving non-exchange traded contracts. In our ongoing business, we do not enter into transactions involving, or otherwise form relationships with, unconsolidated entities or financial partnerships that are established for the purpose of facilitating off-balance sheet arrangements or other contractually narrow or limited purposes.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2022 Form 10-K contains certain “forward-looking statements” within the meaning of the PSLRA, Section 27A of the Securities Act, and Section 21E of the Exchange Act. Such forward-looking statements contain information about our expectations, beliefs or intentions regarding our product development and commercialization efforts,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Many factors could cause our actual activities or results to differ materially from the activities and results anticipated in forward-looking statements. These factors include the following:</w:t>
      </w:r>
    </w:p>
    <w:p>
      <w:pPr>
        <w:spacing w:after="0" w:line="121" w:lineRule="exact"/>
        <w:rPr>
          <w:sz w:val="20"/>
          <w:szCs w:val="20"/>
          <w:color w:val="auto"/>
        </w:rPr>
      </w:pPr>
    </w:p>
    <w:p>
      <w:pPr>
        <w:ind w:left="560" w:right="16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21" w:lineRule="exact"/>
        <w:rPr>
          <w:rFonts w:ascii="Times New Roman" w:cs="Times New Roman" w:eastAsia="Times New Roman" w:hAnsi="Times New Roman"/>
          <w:sz w:val="18"/>
          <w:szCs w:val="18"/>
          <w:color w:val="auto"/>
        </w:rPr>
      </w:pPr>
    </w:p>
    <w:p>
      <w:pPr>
        <w:ind w:left="56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respond to rapid technological changes in the data and analytics sector, we may lose customers and/or our products and/or services may become obsolete.</w:t>
      </w:r>
    </w:p>
    <w:p>
      <w:pPr>
        <w:spacing w:after="0" w:line="134" w:lineRule="exact"/>
        <w:rPr>
          <w:rFonts w:ascii="Times New Roman" w:cs="Times New Roman" w:eastAsia="Times New Roman" w:hAnsi="Times New Roman"/>
          <w:sz w:val="18"/>
          <w:szCs w:val="18"/>
          <w:color w:val="auto"/>
        </w:rPr>
      </w:pPr>
    </w:p>
    <w:p>
      <w:pPr>
        <w:ind w:left="560" w:right="80" w:hanging="507"/>
        <w:spacing w:after="0" w:line="26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spacing w:after="0" w:line="135" w:lineRule="exact"/>
        <w:rPr>
          <w:rFonts w:ascii="Times New Roman" w:cs="Times New Roman" w:eastAsia="Times New Roman" w:hAnsi="Times New Roman"/>
          <w:sz w:val="18"/>
          <w:szCs w:val="18"/>
          <w:color w:val="auto"/>
        </w:rPr>
      </w:pPr>
    </w:p>
    <w:p>
      <w:pPr>
        <w:ind w:left="560" w:right="40" w:hanging="507"/>
        <w:spacing w:after="0" w:line="26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35" w:lineRule="exact"/>
        <w:rPr>
          <w:rFonts w:ascii="Times New Roman" w:cs="Times New Roman" w:eastAsia="Times New Roman" w:hAnsi="Times New Roman"/>
          <w:sz w:val="18"/>
          <w:szCs w:val="18"/>
          <w:color w:val="auto"/>
        </w:rPr>
      </w:pPr>
    </w:p>
    <w:p>
      <w:pPr>
        <w:ind w:left="560" w:right="14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improve our systems, our certifications, our technology, and our interfaces with data sources and customers, demand for our services could be adversely affected.</w:t>
      </w:r>
    </w:p>
    <w:p>
      <w:pPr>
        <w:spacing w:after="0" w:line="134" w:lineRule="exact"/>
        <w:rPr>
          <w:rFonts w:ascii="Times New Roman" w:cs="Times New Roman" w:eastAsia="Times New Roman" w:hAnsi="Times New Roman"/>
          <w:sz w:val="18"/>
          <w:szCs w:val="18"/>
          <w:color w:val="auto"/>
        </w:rPr>
      </w:pPr>
    </w:p>
    <w:p>
      <w:pPr>
        <w:jc w:val="both"/>
        <w:ind w:left="560" w:right="80" w:hanging="507"/>
        <w:spacing w:after="0" w:line="26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35" w:lineRule="exact"/>
        <w:rPr>
          <w:rFonts w:ascii="Times New Roman" w:cs="Times New Roman" w:eastAsia="Times New Roman" w:hAnsi="Times New Roman"/>
          <w:sz w:val="18"/>
          <w:szCs w:val="18"/>
          <w:color w:val="auto"/>
        </w:rPr>
      </w:pPr>
    </w:p>
    <w:p>
      <w:pPr>
        <w:jc w:val="both"/>
        <w:ind w:left="560" w:right="200" w:hanging="507"/>
        <w:spacing w:after="0" w:line="26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spacing w:after="0" w:line="135" w:lineRule="exact"/>
        <w:rPr>
          <w:rFonts w:ascii="Times New Roman" w:cs="Times New Roman" w:eastAsia="Times New Roman" w:hAnsi="Times New Roman"/>
          <w:sz w:val="18"/>
          <w:szCs w:val="18"/>
          <w:color w:val="auto"/>
        </w:rPr>
      </w:pPr>
    </w:p>
    <w:p>
      <w:pPr>
        <w:ind w:left="560" w:right="220" w:hanging="507"/>
        <w:spacing w:after="0" w:line="26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48"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 and the value of an investment in our common stock may decline.</w:t>
      </w:r>
    </w:p>
    <w:p>
      <w:pPr>
        <w:spacing w:after="0" w:line="184" w:lineRule="exact"/>
        <w:rPr>
          <w:rFonts w:ascii="Times New Roman" w:cs="Times New Roman" w:eastAsia="Times New Roman" w:hAnsi="Times New Roman"/>
          <w:sz w:val="18"/>
          <w:szCs w:val="18"/>
          <w:color w:val="auto"/>
        </w:rPr>
      </w:pPr>
    </w:p>
    <w:p>
      <w:pPr>
        <w:ind w:left="560" w:right="10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in connection with acquisitions or pursuant to our stock incentive plan could have a dilutive effect on your investment.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36" w:name="page37"/>
    <w:bookmarkEnd w:id="36"/>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stock ownership may limit individual stockholder ability to influence corporate matters.</w:t>
      </w:r>
    </w:p>
    <w:p>
      <w:pPr>
        <w:spacing w:after="0" w:line="198" w:lineRule="exact"/>
        <w:rPr>
          <w:rFonts w:ascii="Times New Roman" w:cs="Times New Roman" w:eastAsia="Times New Roman" w:hAnsi="Times New Roman"/>
          <w:sz w:val="18"/>
          <w:szCs w:val="18"/>
          <w:color w:val="auto"/>
        </w:rPr>
      </w:pPr>
    </w:p>
    <w:p>
      <w:pPr>
        <w:ind w:left="507" w:right="260" w:hanging="507"/>
        <w:spacing w:after="0" w:line="282"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we cannot be certain if the reduced reporting requirements available to emerging growth companies will make our shares of common stock less attractive to investors.</w:t>
      </w:r>
    </w:p>
    <w:p>
      <w:pPr>
        <w:spacing w:after="0" w:line="121" w:lineRule="exact"/>
        <w:rPr>
          <w:rFonts w:ascii="Times New Roman" w:cs="Times New Roman" w:eastAsia="Times New Roman" w:hAnsi="Times New Roman"/>
          <w:sz w:val="18"/>
          <w:szCs w:val="18"/>
          <w:color w:val="auto"/>
        </w:rPr>
      </w:pPr>
    </w:p>
    <w:p>
      <w:pPr>
        <w:ind w:left="507" w:right="60" w:hanging="507"/>
        <w:spacing w:after="0" w:line="266"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35"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which makes our future results uncertain.</w:t>
      </w:r>
    </w:p>
    <w:p>
      <w:pPr>
        <w:spacing w:after="0" w:line="198" w:lineRule="exact"/>
        <w:rPr>
          <w:rFonts w:ascii="Times New Roman" w:cs="Times New Roman" w:eastAsia="Times New Roman" w:hAnsi="Times New Roman"/>
          <w:sz w:val="18"/>
          <w:szCs w:val="18"/>
          <w:color w:val="auto"/>
        </w:rPr>
      </w:pPr>
    </w:p>
    <w:p>
      <w:pPr>
        <w:ind w:left="507" w:right="200" w:hanging="507"/>
        <w:spacing w:after="0" w:line="282"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and developing Covid-19 pandemic or future pandemics may adversely impact our business, our future results of operations and our overall financial performance.</w:t>
      </w:r>
    </w:p>
    <w:p>
      <w:pPr>
        <w:spacing w:after="0" w:line="121" w:lineRule="exact"/>
        <w:rPr>
          <w:rFonts w:ascii="Times New Roman" w:cs="Times New Roman" w:eastAsia="Times New Roman" w:hAnsi="Times New Roman"/>
          <w:sz w:val="18"/>
          <w:szCs w:val="18"/>
          <w:color w:val="auto"/>
        </w:rPr>
      </w:pPr>
    </w:p>
    <w:p>
      <w:pPr>
        <w:ind w:left="507" w:right="180" w:hanging="507"/>
        <w:spacing w:after="0" w:line="282"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any future reporting obligations in connection with environmental issues, may adversely impact our business and operations.</w:t>
      </w:r>
    </w:p>
    <w:p>
      <w:pPr>
        <w:spacing w:after="0" w:line="121" w:lineRule="exact"/>
        <w:rPr>
          <w:rFonts w:ascii="Times New Roman" w:cs="Times New Roman" w:eastAsia="Times New Roman" w:hAnsi="Times New Roman"/>
          <w:sz w:val="18"/>
          <w:szCs w:val="18"/>
          <w:color w:val="auto"/>
        </w:rPr>
      </w:pPr>
    </w:p>
    <w:p>
      <w:pPr>
        <w:ind w:left="507" w:right="80" w:hanging="507"/>
        <w:spacing w:after="0" w:line="282"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in part, on strategic alliances and joint ventures to grow our business. If we are unable to develop and maintain these strategic alliances and joint ventures, our growth may be adversely affected.</w:t>
      </w:r>
    </w:p>
    <w:p>
      <w:pPr>
        <w:spacing w:after="0" w:line="13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any future acquisitions, we will be subject to the risks inherent in identifying, acquiring and operating a newly acquired business.</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key customers may be materially diminished or terminated.</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the services of key personnel, it could adversely affect our business.</w:t>
      </w:r>
    </w:p>
    <w:p>
      <w:pPr>
        <w:spacing w:after="0" w:line="198" w:lineRule="exact"/>
        <w:rPr>
          <w:rFonts w:ascii="Times New Roman" w:cs="Times New Roman" w:eastAsia="Times New Roman" w:hAnsi="Times New Roman"/>
          <w:sz w:val="18"/>
          <w:szCs w:val="18"/>
          <w:color w:val="auto"/>
        </w:rPr>
      </w:pPr>
    </w:p>
    <w:p>
      <w:pPr>
        <w:ind w:left="507" w:right="820" w:hanging="507"/>
        <w:spacing w:after="0" w:line="282"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lose our access to data sources which could prevent us from providing our services.</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adequately protect our intellectual property in order to prevent loss of valuable proprietary information.</w:t>
      </w:r>
    </w:p>
    <w:p>
      <w:pPr>
        <w:spacing w:after="0" w:line="198"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from both start-up and established companies that may have significant advantages over us and our products.</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further consolidation in our end-customer markets, which may adversely affect our revenue.</w:t>
      </w:r>
    </w:p>
    <w:p>
      <w:pPr>
        <w:spacing w:after="0" w:line="184" w:lineRule="exact"/>
        <w:rPr>
          <w:rFonts w:ascii="Times New Roman" w:cs="Times New Roman" w:eastAsia="Times New Roman" w:hAnsi="Times New Roman"/>
          <w:sz w:val="18"/>
          <w:szCs w:val="18"/>
          <w:color w:val="auto"/>
        </w:rPr>
      </w:pPr>
    </w:p>
    <w:p>
      <w:pPr>
        <w:ind w:left="507" w:right="60" w:hanging="507"/>
        <w:spacing w:after="0" w:line="282"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availability of free or relatively inexpensive consumer and/or business information increases, the demand for some of our services may decrease.</w:t>
      </w:r>
    </w:p>
    <w:p>
      <w:pPr>
        <w:spacing w:after="0" w:line="13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newer products do not achieve market acceptance, revenue growth may suffer.</w:t>
      </w:r>
    </w:p>
    <w:p>
      <w:pPr>
        <w:spacing w:after="0" w:line="184" w:lineRule="exact"/>
        <w:rPr>
          <w:rFonts w:ascii="Times New Roman" w:cs="Times New Roman" w:eastAsia="Times New Roman" w:hAnsi="Times New Roman"/>
          <w:sz w:val="18"/>
          <w:szCs w:val="18"/>
          <w:color w:val="auto"/>
        </w:rPr>
      </w:pPr>
    </w:p>
    <w:p>
      <w:pPr>
        <w:ind w:left="507" w:right="100" w:hanging="507"/>
        <w:spacing w:after="0" w:line="282"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can have long sales and implementation cycles, which may result in substantial expenses before realizing any associated revenue.</w:t>
      </w:r>
    </w:p>
    <w:p>
      <w:pPr>
        <w:spacing w:after="0" w:line="121" w:lineRule="exact"/>
        <w:rPr>
          <w:rFonts w:ascii="Times New Roman" w:cs="Times New Roman" w:eastAsia="Times New Roman" w:hAnsi="Times New Roman"/>
          <w:sz w:val="18"/>
          <w:szCs w:val="18"/>
          <w:color w:val="auto"/>
        </w:rPr>
      </w:pPr>
    </w:p>
    <w:p>
      <w:pPr>
        <w:ind w:left="507" w:right="120" w:hanging="507"/>
        <w:spacing w:after="0" w:line="282"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outside service providers and key vendors are not able to or do not fulfill their service obligations, our operations could be disrupted and our operating results could be harmed.</w:t>
      </w:r>
    </w:p>
    <w:p>
      <w:pPr>
        <w:spacing w:after="0" w:line="13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data and analytics sector may limit market acceptance of our products and services.</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expenses defending against claims of infringement.</w:t>
      </w:r>
    </w:p>
    <w:p>
      <w:pPr>
        <w:spacing w:after="0" w:line="225"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210185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7"/>
          </w:cols>
          <w:pgMar w:left="373" w:top="7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otherwise required by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the Notes thereto, together with the report thereon of our independent registered public accounting firm are filed as part of this report, beginning on page F-1.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December 31, 2022.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47"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December 31, 2022.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for the Company. Management, under the supervision of and with the participation of the Company’s Chief Executive Officer and Chief Financial Officer, conducted an assessment of the effectiveness of the Company’s internal control over financial reporting based on the criteria set forth by the Committee of Sponsoring Organizations (the "COSO") of the Treadway Commission in Internal Control-Integrated Framework (2013).</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Management concluded that the Company’s internal control over financial reporting (as defined in Rules 13a-15(f) and 15d-15(f) of the Exchange Act) was effective as of December 31, 2022, based on criteria in Internal Control-Integrated Framework (2013) issued by the COSO.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last fiscal quarter of 2022 that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39" w:name="page40"/>
    <w:bookmarkEnd w:id="3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to be filed with the SEC within 120 days of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to be filed with the SEC within 120 days of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to be filed with the SEC within 120 days of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to be filed with the SEC within 120 days of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to be filed with the SEC within 120 days of December 31,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873" w:right="67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documents filed as part of this report:</w:t>
      </w:r>
    </w:p>
    <w:p>
      <w:pPr>
        <w:spacing w:after="0" w:line="198"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information required by this item is contained in Item 8 of this 2022 Form 10-K.</w:t>
      </w:r>
    </w:p>
    <w:p>
      <w:pPr>
        <w:spacing w:after="0" w:line="184" w:lineRule="exact"/>
        <w:rPr>
          <w:rFonts w:ascii="Times New Roman" w:cs="Times New Roman" w:eastAsia="Times New Roman" w:hAnsi="Times New Roman"/>
          <w:sz w:val="18"/>
          <w:szCs w:val="18"/>
          <w:color w:val="auto"/>
        </w:rPr>
      </w:pPr>
    </w:p>
    <w:p>
      <w:pPr>
        <w:ind w:right="38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information required by this item is included in the consolidated financial statements contained in Item 8 of this 2022 Form 10-K.</w:t>
      </w:r>
    </w:p>
    <w:p>
      <w:pPr>
        <w:spacing w:after="0" w:line="1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filed as part of, or incorporated by reference into, this 2022 Form 10-K.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Filed</w:t>
            </w:r>
          </w:p>
        </w:tc>
        <w:tc>
          <w:tcPr>
            <w:tcW w:w="0" w:type="dxa"/>
            <w:vAlign w:val="bottom"/>
          </w:tcPr>
          <w:p>
            <w:pPr>
              <w:spacing w:after="0"/>
              <w:rPr>
                <w:sz w:val="1"/>
                <w:szCs w:val="1"/>
                <w:color w:val="auto"/>
              </w:rPr>
            </w:pPr>
          </w:p>
        </w:tc>
      </w:tr>
      <w:tr>
        <w:trPr>
          <w:trHeight w:val="144"/>
        </w:trPr>
        <w:tc>
          <w:tcPr>
            <w:tcW w:w="8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140" w:type="dxa"/>
            <w:vAlign w:val="bottom"/>
          </w:tcPr>
          <w:p>
            <w:pPr>
              <w:spacing w:after="0"/>
              <w:rPr>
                <w:sz w:val="12"/>
                <w:szCs w:val="12"/>
                <w:color w:val="auto"/>
              </w:rPr>
            </w:pPr>
          </w:p>
        </w:tc>
        <w:tc>
          <w:tcPr>
            <w:tcW w:w="4840" w:type="dxa"/>
            <w:vAlign w:val="bottom"/>
            <w:gridSpan w:val="37"/>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Exhibit Description</w:t>
            </w:r>
          </w:p>
        </w:tc>
        <w:tc>
          <w:tcPr>
            <w:tcW w:w="1040" w:type="dxa"/>
            <w:vAlign w:val="bottom"/>
          </w:tcPr>
          <w:p>
            <w:pPr>
              <w:ind w:left="380"/>
              <w:spacing w:after="0" w:line="144" w:lineRule="exact"/>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Pr>
          <w:p>
            <w:pPr>
              <w:spacing w:after="0"/>
              <w:rPr>
                <w:sz w:val="12"/>
                <w:szCs w:val="12"/>
                <w:color w:val="auto"/>
              </w:rPr>
            </w:pPr>
          </w:p>
        </w:tc>
        <w:tc>
          <w:tcPr>
            <w:tcW w:w="1000" w:type="dxa"/>
            <w:vAlign w:val="bottom"/>
          </w:tcPr>
          <w:p>
            <w:pPr>
              <w:jc w:val="right"/>
              <w:ind w:right="234"/>
              <w:spacing w:after="0" w:line="144" w:lineRule="exact"/>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2"/>
                <w:szCs w:val="12"/>
                <w:color w:val="auto"/>
              </w:rPr>
            </w:pPr>
          </w:p>
        </w:tc>
        <w:tc>
          <w:tcPr>
            <w:tcW w:w="10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2"/>
                <w:szCs w:val="12"/>
                <w:color w:val="auto"/>
              </w:rPr>
            </w:pPr>
          </w:p>
        </w:tc>
        <w:tc>
          <w:tcPr>
            <w:tcW w:w="128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b w:val="1"/>
                <w:bCs w:val="1"/>
                <w:color w:val="auto"/>
              </w:rPr>
              <w:t>Filing Date</w:t>
            </w:r>
          </w:p>
        </w:tc>
        <w:tc>
          <w:tcPr>
            <w:tcW w:w="10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28"/>
        </w:trPr>
        <w:tc>
          <w:tcPr>
            <w:tcW w:w="88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1"/>
                <w:szCs w:val="11"/>
                <w:color w:val="auto"/>
              </w:rPr>
            </w:pPr>
          </w:p>
        </w:tc>
        <w:tc>
          <w:tcPr>
            <w:tcW w:w="4720" w:type="dxa"/>
            <w:vAlign w:val="bottom"/>
            <w:tcBorders>
              <w:top w:val="single" w:sz="8" w:color="auto"/>
            </w:tcBorders>
            <w:gridSpan w:val="36"/>
          </w:tcPr>
          <w:p>
            <w:pPr>
              <w:spacing w:after="0" w:line="12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Separation and Distribution Agreement by and between Cogint, Inc. and Red</w:t>
              </w:r>
            </w:hyperlink>
          </w:p>
        </w:tc>
        <w:tc>
          <w:tcPr>
            <w:tcW w:w="120" w:type="dxa"/>
            <w:vAlign w:val="bottom"/>
          </w:tcPr>
          <w:p>
            <w:pPr>
              <w:spacing w:after="0"/>
              <w:rPr>
                <w:sz w:val="11"/>
                <w:szCs w:val="11"/>
                <w:color w:val="auto"/>
              </w:rPr>
            </w:pPr>
          </w:p>
        </w:tc>
        <w:tc>
          <w:tcPr>
            <w:tcW w:w="10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Form 10</w:t>
            </w:r>
          </w:p>
        </w:tc>
        <w:tc>
          <w:tcPr>
            <w:tcW w:w="120" w:type="dxa"/>
            <w:vAlign w:val="bottom"/>
          </w:tcPr>
          <w:p>
            <w:pPr>
              <w:spacing w:after="0"/>
              <w:rPr>
                <w:sz w:val="11"/>
                <w:szCs w:val="11"/>
                <w:color w:val="auto"/>
              </w:rPr>
            </w:pPr>
          </w:p>
        </w:tc>
        <w:tc>
          <w:tcPr>
            <w:tcW w:w="1000" w:type="dxa"/>
            <w:vAlign w:val="bottom"/>
            <w:tcBorders>
              <w:top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00" w:type="dxa"/>
            <w:vAlign w:val="bottom"/>
          </w:tcPr>
          <w:p>
            <w:pPr>
              <w:spacing w:after="0"/>
              <w:rPr>
                <w:sz w:val="11"/>
                <w:szCs w:val="11"/>
                <w:color w:val="auto"/>
              </w:rPr>
            </w:pPr>
          </w:p>
        </w:tc>
        <w:tc>
          <w:tcPr>
            <w:tcW w:w="102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1"/>
                <w:szCs w:val="11"/>
                <w:color w:val="auto"/>
              </w:rPr>
            </w:pPr>
          </w:p>
        </w:tc>
        <w:tc>
          <w:tcPr>
            <w:tcW w:w="128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February 28, 2018</w:t>
            </w: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Violet, Inc., dated February 27, 2018.</w:t>
              </w:r>
            </w:hyperlink>
          </w:p>
        </w:tc>
        <w:tc>
          <w:tcPr>
            <w:tcW w:w="2300" w:type="dxa"/>
            <w:vAlign w:val="bottom"/>
            <w:tcBorders>
              <w:top w:val="single" w:sz="8" w:color="0000FF"/>
            </w:tcBorders>
            <w:gridSpan w:val="14"/>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20"/>
                <w:szCs w:val="20"/>
                <w:color w:val="auto"/>
              </w:rPr>
            </w:pPr>
          </w:p>
        </w:tc>
        <w:tc>
          <w:tcPr>
            <w:tcW w:w="406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Amended and Restated Certificate of Incorporation of Red Violet, Inc.</w:t>
              </w:r>
            </w:hyperlink>
          </w:p>
        </w:tc>
        <w:tc>
          <w:tcPr>
            <w:tcW w:w="780" w:type="dxa"/>
            <w:vAlign w:val="bottom"/>
            <w:gridSpan w:val="13"/>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5"/>
                <w:szCs w:val="15"/>
                <w:color w:val="auto"/>
              </w:rPr>
            </w:pPr>
          </w:p>
        </w:tc>
        <w:tc>
          <w:tcPr>
            <w:tcW w:w="292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Amended and Restated Bylaws of Red Violet, Inc.</w:t>
              </w:r>
            </w:hyperlink>
          </w:p>
        </w:tc>
        <w:tc>
          <w:tcPr>
            <w:tcW w:w="1920" w:type="dxa"/>
            <w:vAlign w:val="bottom"/>
            <w:gridSpan w:val="15"/>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5"/>
                <w:szCs w:val="15"/>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Description of Registrant's Securities.</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12, 2020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15"/>
                <w:szCs w:val="15"/>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Form of Restricted Stock Unit Agreement Pursuant to the Red Violet, Inc. 2018</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10</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28, 2018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Stock Incentive Plan.</w:t>
              </w:r>
            </w:hyperlink>
          </w:p>
        </w:tc>
        <w:tc>
          <w:tcPr>
            <w:tcW w:w="20" w:type="dxa"/>
            <w:vAlign w:val="bottom"/>
            <w:tcBorders>
              <w:top w:val="single" w:sz="8" w:color="0000FF"/>
              <w:bottom w:val="single" w:sz="8" w:color="0000EE"/>
            </w:tcBorders>
          </w:tcPr>
          <w:p>
            <w:pPr>
              <w:spacing w:after="0"/>
              <w:rPr>
                <w:sz w:val="11"/>
                <w:szCs w:val="11"/>
                <w:color w:val="auto"/>
              </w:rPr>
            </w:pPr>
          </w:p>
        </w:tc>
        <w:tc>
          <w:tcPr>
            <w:tcW w:w="3360" w:type="dxa"/>
            <w:vAlign w:val="bottom"/>
            <w:tcBorders>
              <w:top w:val="single" w:sz="8" w:color="0000FF"/>
            </w:tcBorders>
            <w:gridSpan w:val="2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20"/>
                <w:szCs w:val="20"/>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Employment Agreement, dated March 26, 2018, by and between Red Violet and</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1"/>
                <w:szCs w:val="11"/>
                <w:color w:val="auto"/>
              </w:rPr>
            </w:pPr>
          </w:p>
        </w:tc>
        <w:tc>
          <w:tcPr>
            <w:tcW w:w="4680" w:type="dxa"/>
            <w:vAlign w:val="bottom"/>
            <w:tcBorders>
              <w:top w:val="single" w:sz="8" w:color="0000FF"/>
            </w:tcBorders>
            <w:gridSpan w:val="34"/>
          </w:tcPr>
          <w:p>
            <w:pPr>
              <w:spacing w:after="0" w:line="12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Derek Dubner.</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0000FF"/>
            </w:tcBorders>
            <w:gridSpan w:val="4"/>
          </w:tcPr>
          <w:p>
            <w:pPr>
              <w:spacing w:after="0" w:line="142"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Employment</w:t>
              </w:r>
            </w:hyperlink>
          </w:p>
        </w:tc>
        <w:tc>
          <w:tcPr>
            <w:tcW w:w="20" w:type="dxa"/>
            <w:vAlign w:val="bottom"/>
            <w:tcBorders>
              <w:top w:val="single" w:sz="8" w:color="0000EE"/>
            </w:tcBorders>
          </w:tcPr>
          <w:p>
            <w:pPr>
              <w:spacing w:after="0"/>
              <w:rPr>
                <w:sz w:val="12"/>
                <w:szCs w:val="12"/>
                <w:color w:val="auto"/>
              </w:rPr>
            </w:pPr>
          </w:p>
        </w:tc>
        <w:tc>
          <w:tcPr>
            <w:tcW w:w="3980" w:type="dxa"/>
            <w:vAlign w:val="bottom"/>
            <w:gridSpan w:val="32"/>
          </w:tcPr>
          <w:p>
            <w:pPr>
              <w:jc w:val="right"/>
              <w:ind w:right="220"/>
              <w:spacing w:after="0" w:line="142" w:lineRule="exact"/>
              <w:rPr>
                <w:rFonts w:ascii="Times New Roman" w:cs="Times New Roman" w:eastAsia="Times New Roman" w:hAnsi="Times New Roman"/>
                <w:sz w:val="14"/>
                <w:szCs w:val="14"/>
                <w:color w:val="0000FF"/>
                <w:w w:val="99"/>
              </w:rPr>
            </w:pPr>
            <w:hyperlink r:id="rId124">
              <w:r>
                <w:rPr>
                  <w:rFonts w:ascii="Times New Roman" w:cs="Times New Roman" w:eastAsia="Times New Roman" w:hAnsi="Times New Roman"/>
                  <w:sz w:val="14"/>
                  <w:szCs w:val="14"/>
                  <w:color w:val="0000FF"/>
                  <w:w w:val="99"/>
                </w:rPr>
                <w:t>Agreement, dated March 26, 2018, by and between Red Violet and</w:t>
              </w:r>
            </w:hyperlink>
          </w:p>
        </w:tc>
        <w:tc>
          <w:tcPr>
            <w:tcW w:w="10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80" w:type="dxa"/>
            <w:vAlign w:val="bottom"/>
            <w:tcBorders>
              <w:top w:val="single" w:sz="8" w:color="0000FF"/>
            </w:tcBorders>
            <w:gridSpan w:val="34"/>
          </w:tcPr>
          <w:p>
            <w:pPr>
              <w:spacing w:after="0" w:line="12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James Reilly.</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2"/>
                <w:szCs w:val="12"/>
                <w:color w:val="auto"/>
              </w:rPr>
            </w:pPr>
          </w:p>
        </w:tc>
        <w:tc>
          <w:tcPr>
            <w:tcW w:w="800" w:type="dxa"/>
            <w:vAlign w:val="bottom"/>
            <w:tcBorders>
              <w:top w:val="single" w:sz="8" w:color="0000EE"/>
            </w:tcBorders>
            <w:gridSpan w:val="3"/>
          </w:tcPr>
          <w:p>
            <w:pPr>
              <w:spacing w:after="0" w:line="142"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Employment</w:t>
              </w:r>
            </w:hyperlink>
          </w:p>
        </w:tc>
        <w:tc>
          <w:tcPr>
            <w:tcW w:w="4040" w:type="dxa"/>
            <w:vAlign w:val="bottom"/>
            <w:gridSpan w:val="34"/>
          </w:tcPr>
          <w:p>
            <w:pPr>
              <w:jc w:val="right"/>
              <w:ind w:right="220"/>
              <w:spacing w:after="0" w:line="142"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Agreement, dated March 26, 2018, by and between Red Violet and</w:t>
              </w:r>
            </w:hyperlink>
          </w:p>
        </w:tc>
        <w:tc>
          <w:tcPr>
            <w:tcW w:w="1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line="142" w:lineRule="exact"/>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2"/>
                <w:szCs w:val="12"/>
                <w:color w:val="auto"/>
              </w:rPr>
            </w:pPr>
          </w:p>
        </w:tc>
        <w:tc>
          <w:tcPr>
            <w:tcW w:w="1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1"/>
                <w:szCs w:val="11"/>
                <w:color w:val="auto"/>
              </w:rPr>
            </w:pPr>
          </w:p>
        </w:tc>
        <w:tc>
          <w:tcPr>
            <w:tcW w:w="104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Dan MacLachlan.</w:t>
              </w:r>
            </w:hyperlink>
          </w:p>
        </w:tc>
        <w:tc>
          <w:tcPr>
            <w:tcW w:w="20" w:type="dxa"/>
            <w:vAlign w:val="bottom"/>
            <w:tcBorders>
              <w:top w:val="single" w:sz="8" w:color="0000FF"/>
              <w:bottom w:val="single" w:sz="8" w:color="0000EE"/>
            </w:tcBorders>
          </w:tcPr>
          <w:p>
            <w:pPr>
              <w:spacing w:after="0"/>
              <w:rPr>
                <w:sz w:val="11"/>
                <w:szCs w:val="11"/>
                <w:color w:val="auto"/>
              </w:rPr>
            </w:pPr>
          </w:p>
        </w:tc>
        <w:tc>
          <w:tcPr>
            <w:tcW w:w="3620" w:type="dxa"/>
            <w:vAlign w:val="bottom"/>
            <w:tcBorders>
              <w:top w:val="single" w:sz="8" w:color="0000FF"/>
            </w:tcBorders>
            <w:gridSpan w:val="26"/>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Borders>
              <w:bottom w:val="single" w:sz="8" w:color="0000EE"/>
            </w:tcBorders>
            <w:gridSpan w:val="17"/>
          </w:tcPr>
          <w:p>
            <w:pPr>
              <w:spacing w:after="0" w:line="142"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Red Violet, Inc. 2018 Stock Incentive Plan.</w:t>
              </w:r>
            </w:hyperlink>
          </w:p>
        </w:tc>
        <w:tc>
          <w:tcPr>
            <w:tcW w:w="2300" w:type="dxa"/>
            <w:vAlign w:val="bottom"/>
            <w:gridSpan w:val="20"/>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15"/>
                <w:szCs w:val="15"/>
                <w:color w:val="auto"/>
              </w:rPr>
            </w:pPr>
          </w:p>
        </w:tc>
        <w:tc>
          <w:tcPr>
            <w:tcW w:w="218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Indemnification Agreement.</w:t>
              </w:r>
            </w:hyperlink>
          </w:p>
        </w:tc>
        <w:tc>
          <w:tcPr>
            <w:tcW w:w="2660" w:type="dxa"/>
            <w:vAlign w:val="bottom"/>
            <w:gridSpan w:val="24"/>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15"/>
                <w:szCs w:val="15"/>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Executive Chairman Services Agreement, effective as of August 7, 2018, by and</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8, 2018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700" w:type="dxa"/>
            <w:vAlign w:val="bottom"/>
            <w:tcBorders>
              <w:top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between Red Violet, Inc. and Michael Brauser.</w:t>
              </w:r>
            </w:hyperlink>
          </w:p>
        </w:tc>
        <w:tc>
          <w:tcPr>
            <w:tcW w:w="14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20"/>
                <w:szCs w:val="20"/>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Form of 2018 Time- and Performance-Based Restricted Stock Unit Award</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7, 2018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1"/>
                <w:szCs w:val="11"/>
                <w:color w:val="auto"/>
              </w:rPr>
            </w:pPr>
          </w:p>
        </w:tc>
        <w:tc>
          <w:tcPr>
            <w:tcW w:w="6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Agreement.</w:t>
              </w:r>
            </w:hyperlink>
          </w:p>
        </w:tc>
        <w:tc>
          <w:tcPr>
            <w:tcW w:w="20" w:type="dxa"/>
            <w:vAlign w:val="bottom"/>
            <w:tcBorders>
              <w:top w:val="single" w:sz="8" w:color="0000FF"/>
              <w:bottom w:val="single" w:sz="8" w:color="0000EE"/>
            </w:tcBorders>
          </w:tcPr>
          <w:p>
            <w:pPr>
              <w:spacing w:after="0"/>
              <w:rPr>
                <w:sz w:val="11"/>
                <w:szCs w:val="11"/>
                <w:color w:val="auto"/>
              </w:rPr>
            </w:pPr>
          </w:p>
        </w:tc>
        <w:tc>
          <w:tcPr>
            <w:tcW w:w="3620" w:type="dxa"/>
            <w:vAlign w:val="bottom"/>
            <w:tcBorders>
              <w:top w:val="single" w:sz="8" w:color="0000FF"/>
            </w:tcBorders>
            <w:gridSpan w:val="24"/>
          </w:tcPr>
          <w:p>
            <w:pPr>
              <w:spacing w:after="0"/>
              <w:rPr>
                <w:sz w:val="11"/>
                <w:szCs w:val="11"/>
                <w:color w:val="auto"/>
              </w:rPr>
            </w:pPr>
          </w:p>
        </w:tc>
        <w:tc>
          <w:tcPr>
            <w:tcW w:w="2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August 5, 2019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spacing w:after="0" w:line="142" w:lineRule="exact"/>
              <w:rPr>
                <w:rFonts w:ascii="Times New Roman" w:cs="Times New Roman" w:eastAsia="Times New Roman" w:hAnsi="Times New Roman"/>
                <w:sz w:val="14"/>
                <w:szCs w:val="14"/>
                <w:color w:val="0000FF"/>
                <w:w w:val="93"/>
              </w:rPr>
            </w:pPr>
            <w:hyperlink r:id="rId130">
              <w:r>
                <w:rPr>
                  <w:rFonts w:ascii="Times New Roman" w:cs="Times New Roman" w:eastAsia="Times New Roman" w:hAnsi="Times New Roman"/>
                  <w:sz w:val="14"/>
                  <w:szCs w:val="14"/>
                  <w:color w:val="0000FF"/>
                  <w:w w:val="93"/>
                </w:rPr>
                <w:t>Employment</w:t>
              </w:r>
            </w:hyperlink>
          </w:p>
        </w:tc>
        <w:tc>
          <w:tcPr>
            <w:tcW w:w="4140" w:type="dxa"/>
            <w:vAlign w:val="bottom"/>
            <w:gridSpan w:val="35"/>
          </w:tcPr>
          <w:p>
            <w:pPr>
              <w:ind w:left="80"/>
              <w:spacing w:after="0" w:line="142"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Agreement between Red Violet, Inc. and Jeffrey Dell entered into</w:t>
              </w:r>
            </w:hyperlink>
          </w:p>
        </w:tc>
        <w:tc>
          <w:tcPr>
            <w:tcW w:w="10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40" w:type="dxa"/>
            <w:vAlign w:val="bottom"/>
          </w:tcPr>
          <w:p>
            <w:pPr>
              <w:spacing w:after="0"/>
              <w:rPr>
                <w:sz w:val="11"/>
                <w:szCs w:val="11"/>
                <w:color w:val="auto"/>
              </w:rPr>
            </w:pPr>
          </w:p>
        </w:tc>
        <w:tc>
          <w:tcPr>
            <w:tcW w:w="460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on April 9, 2019.</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12, 2020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40" w:type="dxa"/>
            <w:vAlign w:val="bottom"/>
            <w:gridSpan w:val="37"/>
          </w:tcPr>
          <w:p>
            <w:pPr>
              <w:spacing w:after="0" w:line="142"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2019 Time- and Performance-Based Restricted Stock Unit Award</w:t>
              </w:r>
            </w:hyperlink>
          </w:p>
        </w:tc>
        <w:tc>
          <w:tcPr>
            <w:tcW w:w="10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140" w:type="dxa"/>
            <w:vAlign w:val="bottom"/>
          </w:tcPr>
          <w:p>
            <w:pPr>
              <w:spacing w:after="0"/>
              <w:rPr>
                <w:sz w:val="11"/>
                <w:szCs w:val="11"/>
                <w:color w:val="auto"/>
              </w:rPr>
            </w:pPr>
          </w:p>
        </w:tc>
        <w:tc>
          <w:tcPr>
            <w:tcW w:w="6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Agreement.</w:t>
              </w:r>
            </w:hyperlink>
          </w:p>
        </w:tc>
        <w:tc>
          <w:tcPr>
            <w:tcW w:w="20" w:type="dxa"/>
            <w:vAlign w:val="bottom"/>
            <w:tcBorders>
              <w:top w:val="single" w:sz="8" w:color="0000FF"/>
              <w:bottom w:val="single" w:sz="8" w:color="0000EE"/>
            </w:tcBorders>
          </w:tcPr>
          <w:p>
            <w:pPr>
              <w:spacing w:after="0"/>
              <w:rPr>
                <w:sz w:val="11"/>
                <w:szCs w:val="11"/>
                <w:color w:val="auto"/>
              </w:rPr>
            </w:pPr>
          </w:p>
        </w:tc>
        <w:tc>
          <w:tcPr>
            <w:tcW w:w="3620" w:type="dxa"/>
            <w:vAlign w:val="bottom"/>
            <w:tcBorders>
              <w:top w:val="single" w:sz="8" w:color="0000FF"/>
            </w:tcBorders>
            <w:gridSpan w:val="24"/>
          </w:tcPr>
          <w:p>
            <w:pPr>
              <w:spacing w:after="0"/>
              <w:rPr>
                <w:sz w:val="11"/>
                <w:szCs w:val="11"/>
                <w:color w:val="auto"/>
              </w:rPr>
            </w:pPr>
          </w:p>
        </w:tc>
        <w:tc>
          <w:tcPr>
            <w:tcW w:w="2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4"/>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June 4, 2020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0000FF"/>
            </w:tcBorders>
            <w:gridSpan w:val="2"/>
          </w:tcPr>
          <w:p>
            <w:pPr>
              <w:spacing w:after="0" w:line="142" w:lineRule="exact"/>
              <w:rPr>
                <w:rFonts w:ascii="Times New Roman" w:cs="Times New Roman" w:eastAsia="Times New Roman" w:hAnsi="Times New Roman"/>
                <w:sz w:val="14"/>
                <w:szCs w:val="14"/>
                <w:color w:val="0000FF"/>
                <w:w w:val="98"/>
              </w:rPr>
            </w:pPr>
            <w:hyperlink r:id="rId132">
              <w:r>
                <w:rPr>
                  <w:rFonts w:ascii="Times New Roman" w:cs="Times New Roman" w:eastAsia="Times New Roman" w:hAnsi="Times New Roman"/>
                  <w:sz w:val="14"/>
                  <w:szCs w:val="14"/>
                  <w:color w:val="0000FF"/>
                  <w:w w:val="98"/>
                </w:rPr>
                <w:t>Amendment</w:t>
              </w:r>
            </w:hyperlink>
          </w:p>
        </w:tc>
        <w:tc>
          <w:tcPr>
            <w:tcW w:w="2760" w:type="dxa"/>
            <w:vAlign w:val="bottom"/>
            <w:tcBorders>
              <w:bottom w:val="single" w:sz="8" w:color="0000FF"/>
            </w:tcBorders>
            <w:gridSpan w:val="21"/>
          </w:tcPr>
          <w:p>
            <w:pPr>
              <w:ind w:left="40"/>
              <w:spacing w:after="0" w:line="142"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to Red Violet, Inc. 2018 Stock Incentive Plan.</w:t>
              </w:r>
            </w:hyperlink>
          </w:p>
        </w:tc>
        <w:tc>
          <w:tcPr>
            <w:tcW w:w="1380" w:type="dxa"/>
            <w:vAlign w:val="bottom"/>
            <w:gridSpan w:val="14"/>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140" w:type="dxa"/>
            <w:vAlign w:val="bottom"/>
          </w:tcPr>
          <w:p>
            <w:pPr>
              <w:spacing w:after="0"/>
              <w:rPr>
                <w:sz w:val="18"/>
                <w:szCs w:val="18"/>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Separation Agreement dated February 16, 2021 by and between Red Violet, Inc.</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17, 2021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6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and Michael Brauser.</w:t>
              </w:r>
            </w:hyperlink>
          </w:p>
        </w:tc>
        <w:tc>
          <w:tcPr>
            <w:tcW w:w="180" w:type="dxa"/>
            <w:vAlign w:val="bottom"/>
            <w:gridSpan w:val="4"/>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9"/>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140" w:type="dxa"/>
            <w:vAlign w:val="bottom"/>
          </w:tcPr>
          <w:p>
            <w:pPr>
              <w:spacing w:after="0"/>
              <w:rPr>
                <w:sz w:val="20"/>
                <w:szCs w:val="20"/>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First Amendment to Employment Agreement dated November 9, 2020 by and</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10, 2021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between Red Violet, Inc. and Derek Dubner.</w:t>
              </w:r>
            </w:hyperlink>
          </w:p>
        </w:tc>
        <w:tc>
          <w:tcPr>
            <w:tcW w:w="1980" w:type="dxa"/>
            <w:vAlign w:val="bottom"/>
            <w:tcBorders>
              <w:top w:val="single" w:sz="8" w:color="0000FF"/>
            </w:tcBorders>
            <w:gridSpan w:val="11"/>
          </w:tcPr>
          <w:p>
            <w:pPr>
              <w:spacing w:after="0"/>
              <w:rPr>
                <w:sz w:val="11"/>
                <w:szCs w:val="11"/>
                <w:color w:val="auto"/>
              </w:rPr>
            </w:pPr>
          </w:p>
        </w:tc>
        <w:tc>
          <w:tcPr>
            <w:tcW w:w="100" w:type="dxa"/>
            <w:vAlign w:val="bottom"/>
            <w:gridSpan w:val="3"/>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Pr>
          <w:p>
            <w:pPr>
              <w:spacing w:after="0"/>
              <w:rPr>
                <w:sz w:val="20"/>
                <w:szCs w:val="20"/>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First Amendment to Employment Agreement dated November 9, 2020 by and</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10, 2021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Borders>
              <w:top w:val="single" w:sz="8" w:color="0000FF"/>
              <w:bottom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between Red Violet, Inc. and James Reilly.</w:t>
              </w:r>
            </w:hyperlink>
          </w:p>
        </w:tc>
        <w:tc>
          <w:tcPr>
            <w:tcW w:w="20" w:type="dxa"/>
            <w:vAlign w:val="bottom"/>
            <w:tcBorders>
              <w:top w:val="single" w:sz="8" w:color="0000FF"/>
              <w:bottom w:val="single" w:sz="8" w:color="0000EE"/>
            </w:tcBorders>
          </w:tcPr>
          <w:p>
            <w:pPr>
              <w:spacing w:after="0"/>
              <w:rPr>
                <w:sz w:val="11"/>
                <w:szCs w:val="11"/>
                <w:color w:val="auto"/>
              </w:rPr>
            </w:pPr>
          </w:p>
        </w:tc>
        <w:tc>
          <w:tcPr>
            <w:tcW w:w="2040" w:type="dxa"/>
            <w:vAlign w:val="bottom"/>
            <w:tcBorders>
              <w:top w:val="single" w:sz="8" w:color="0000FF"/>
            </w:tcBorders>
            <w:gridSpan w:val="13"/>
          </w:tcPr>
          <w:p>
            <w:pPr>
              <w:spacing w:after="0"/>
              <w:rPr>
                <w:sz w:val="11"/>
                <w:szCs w:val="11"/>
                <w:color w:val="auto"/>
              </w:rPr>
            </w:pPr>
          </w:p>
        </w:tc>
        <w:tc>
          <w:tcPr>
            <w:tcW w:w="100" w:type="dxa"/>
            <w:vAlign w:val="bottom"/>
            <w:gridSpan w:val="3"/>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140" w:type="dxa"/>
            <w:vAlign w:val="bottom"/>
          </w:tcPr>
          <w:p>
            <w:pPr>
              <w:spacing w:after="0"/>
              <w:rPr>
                <w:sz w:val="20"/>
                <w:szCs w:val="20"/>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First Amendment to Employment Agreement dated November 9, 2020 by and</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10, 2021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Borders>
              <w:top w:val="single" w:sz="8" w:color="0000FF"/>
              <w:bottom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between Red Violet, Inc. and Daniel MacLachlan.</w:t>
              </w:r>
            </w:hyperlink>
          </w:p>
        </w:tc>
        <w:tc>
          <w:tcPr>
            <w:tcW w:w="20" w:type="dxa"/>
            <w:vAlign w:val="bottom"/>
            <w:tcBorders>
              <w:top w:val="single" w:sz="8" w:color="0000FF"/>
              <w:bottom w:val="single" w:sz="8" w:color="0000EE"/>
            </w:tcBorders>
          </w:tcPr>
          <w:p>
            <w:pPr>
              <w:spacing w:after="0"/>
              <w:rPr>
                <w:sz w:val="11"/>
                <w:szCs w:val="11"/>
                <w:color w:val="auto"/>
              </w:rPr>
            </w:pPr>
          </w:p>
        </w:tc>
        <w:tc>
          <w:tcPr>
            <w:tcW w:w="1640" w:type="dxa"/>
            <w:vAlign w:val="bottom"/>
            <w:tcBorders>
              <w:top w:val="single" w:sz="8" w:color="0000FF"/>
            </w:tcBorders>
            <w:gridSpan w:val="8"/>
          </w:tcPr>
          <w:p>
            <w:pPr>
              <w:spacing w:after="0"/>
              <w:rPr>
                <w:sz w:val="11"/>
                <w:szCs w:val="11"/>
                <w:color w:val="auto"/>
              </w:rPr>
            </w:pPr>
          </w:p>
        </w:tc>
        <w:tc>
          <w:tcPr>
            <w:tcW w:w="100" w:type="dxa"/>
            <w:vAlign w:val="bottom"/>
            <w:gridSpan w:val="3"/>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140" w:type="dxa"/>
            <w:vAlign w:val="bottom"/>
          </w:tcPr>
          <w:p>
            <w:pPr>
              <w:spacing w:after="0"/>
              <w:rPr>
                <w:sz w:val="20"/>
                <w:szCs w:val="20"/>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First Amendment to Employment Agreement dated November 9, 2020 by and</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10, 2021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40" w:type="dxa"/>
            <w:vAlign w:val="bottom"/>
            <w:tcBorders>
              <w:top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between Red Violet, Inc. and Jeffrey Dell.</w:t>
              </w:r>
            </w:hyperlink>
          </w:p>
        </w:tc>
        <w:tc>
          <w:tcPr>
            <w:tcW w:w="100" w:type="dxa"/>
            <w:vAlign w:val="bottom"/>
            <w:gridSpan w:val="3"/>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11"/>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140" w:type="dxa"/>
            <w:vAlign w:val="bottom"/>
          </w:tcPr>
          <w:p>
            <w:pPr>
              <w:spacing w:after="0"/>
              <w:rPr>
                <w:sz w:val="20"/>
                <w:szCs w:val="20"/>
                <w:color w:val="auto"/>
              </w:rPr>
            </w:pPr>
          </w:p>
        </w:tc>
        <w:tc>
          <w:tcPr>
            <w:tcW w:w="422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of Securities Purchase Agreement, dated as of November 19, 2021.</w:t>
              </w:r>
            </w:hyperlink>
          </w:p>
        </w:tc>
        <w:tc>
          <w:tcPr>
            <w:tcW w:w="620" w:type="dxa"/>
            <w:vAlign w:val="bottom"/>
            <w:gridSpan w:val="12"/>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19, 2021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140" w:type="dxa"/>
            <w:vAlign w:val="bottom"/>
          </w:tcPr>
          <w:p>
            <w:pPr>
              <w:spacing w:after="0"/>
              <w:rPr>
                <w:sz w:val="15"/>
                <w:szCs w:val="15"/>
                <w:color w:val="auto"/>
              </w:rPr>
            </w:pPr>
          </w:p>
        </w:tc>
        <w:tc>
          <w:tcPr>
            <w:tcW w:w="4840" w:type="dxa"/>
            <w:vAlign w:val="bottom"/>
            <w:gridSpan w:val="37"/>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Amendment to Red Violet, Inc. 2018 Stock Incentive Plan.</w:t>
              </w:r>
            </w:hyperlink>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gridSpan w:val="2"/>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26, 2022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2"/>
                <w:szCs w:val="12"/>
                <w:color w:val="auto"/>
              </w:rPr>
            </w:pPr>
          </w:p>
        </w:tc>
        <w:tc>
          <w:tcPr>
            <w:tcW w:w="346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4"/>
                <w:szCs w:val="14"/>
                <w:color w:val="0000FF"/>
              </w:rPr>
              <w:t>Subsidiaries of Red Violet, Inc.</w:t>
            </w:r>
          </w:p>
        </w:tc>
        <w:tc>
          <w:tcPr>
            <w:tcW w:w="1060" w:type="dxa"/>
            <w:vAlign w:val="bottom"/>
            <w:gridSpan w:val="5"/>
          </w:tcPr>
          <w:p>
            <w:pPr>
              <w:spacing w:after="0"/>
              <w:rPr>
                <w:sz w:val="12"/>
                <w:szCs w:val="12"/>
                <w:color w:val="auto"/>
              </w:rPr>
            </w:pPr>
          </w:p>
        </w:tc>
        <w:tc>
          <w:tcPr>
            <w:tcW w:w="120" w:type="dxa"/>
            <w:vAlign w:val="bottom"/>
            <w:gridSpan w:val="4"/>
          </w:tcPr>
          <w:p>
            <w:pPr>
              <w:spacing w:after="0"/>
              <w:rPr>
                <w:sz w:val="12"/>
                <w:szCs w:val="12"/>
                <w:color w:val="auto"/>
              </w:rPr>
            </w:pPr>
          </w:p>
        </w:tc>
        <w:tc>
          <w:tcPr>
            <w:tcW w:w="200" w:type="dxa"/>
            <w:vAlign w:val="bottom"/>
            <w:gridSpan w:val="5"/>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11"/>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5"/>
                <w:szCs w:val="15"/>
                <w:color w:val="auto"/>
              </w:rPr>
            </w:pPr>
          </w:p>
        </w:tc>
        <w:tc>
          <w:tcPr>
            <w:tcW w:w="1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Consent of Grant Thornton LLP.</w:t>
            </w:r>
          </w:p>
        </w:tc>
        <w:tc>
          <w:tcPr>
            <w:tcW w:w="2960" w:type="dxa"/>
            <w:vAlign w:val="bottom"/>
            <w:gridSpan w:val="25"/>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tcPr>
          <w:p>
            <w:pPr>
              <w:spacing w:after="0"/>
              <w:rPr>
                <w:sz w:val="15"/>
                <w:szCs w:val="15"/>
                <w:color w:val="auto"/>
              </w:rPr>
            </w:pPr>
          </w:p>
        </w:tc>
        <w:tc>
          <w:tcPr>
            <w:tcW w:w="484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filed pursuant to Exchange Act Rules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20" w:type="dxa"/>
            <w:vAlign w:val="bottom"/>
            <w:tcBorders>
              <w:top w:val="single" w:sz="8" w:color="0000FF"/>
              <w:bottom w:val="single" w:sz="8" w:color="0000FF"/>
            </w:tcBorders>
            <w:gridSpan w:val="28"/>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and Exchange Act of 1934 as adopted</w:t>
            </w:r>
          </w:p>
        </w:tc>
        <w:tc>
          <w:tcPr>
            <w:tcW w:w="120" w:type="dxa"/>
            <w:vAlign w:val="bottom"/>
            <w:tcBorders>
              <w:bottom w:val="single" w:sz="8" w:color="0000FF"/>
            </w:tcBorders>
            <w:gridSpan w:val="4"/>
          </w:tcPr>
          <w:p>
            <w:pPr>
              <w:spacing w:after="0"/>
              <w:rPr>
                <w:sz w:val="11"/>
                <w:szCs w:val="11"/>
                <w:color w:val="auto"/>
              </w:rPr>
            </w:pPr>
          </w:p>
        </w:tc>
        <w:tc>
          <w:tcPr>
            <w:tcW w:w="20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40" w:type="dxa"/>
            <w:vAlign w:val="bottom"/>
            <w:gridSpan w:val="32"/>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0" w:type="dxa"/>
            <w:vAlign w:val="bottom"/>
            <w:gridSpan w:val="5"/>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filed pursuant to Exchange Act Rules</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r>
        <w:trPr>
          <w:trHeight w:val="128"/>
        </w:trPr>
        <w:tc>
          <w:tcPr>
            <w:tcW w:w="1020" w:type="dxa"/>
            <w:vAlign w:val="bottom"/>
          </w:tcPr>
          <w:p>
            <w:pPr>
              <w:spacing w:after="0"/>
              <w:rPr>
                <w:sz w:val="11"/>
                <w:szCs w:val="11"/>
                <w:color w:val="auto"/>
              </w:rPr>
            </w:pPr>
          </w:p>
        </w:tc>
        <w:tc>
          <w:tcPr>
            <w:tcW w:w="4460" w:type="dxa"/>
            <w:vAlign w:val="bottom"/>
            <w:tcBorders>
              <w:top w:val="single" w:sz="8" w:color="0000FF"/>
              <w:bottom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w w:val="99"/>
              </w:rPr>
              <w:t>13a-14(a) and 15d-14(a) of the Securities and Exchange Act of 1934 as adopted</w:t>
            </w:r>
          </w:p>
        </w:tc>
        <w:tc>
          <w:tcPr>
            <w:tcW w:w="10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62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462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62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r>
        <w:trPr>
          <w:trHeight w:val="128"/>
        </w:trPr>
        <w:tc>
          <w:tcPr>
            <w:tcW w:w="1020" w:type="dxa"/>
            <w:vAlign w:val="bottom"/>
          </w:tcPr>
          <w:p>
            <w:pPr>
              <w:spacing w:after="0"/>
              <w:rPr>
                <w:sz w:val="11"/>
                <w:szCs w:val="11"/>
                <w:color w:val="auto"/>
              </w:rPr>
            </w:pPr>
          </w:p>
        </w:tc>
        <w:tc>
          <w:tcPr>
            <w:tcW w:w="392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60" w:type="dxa"/>
            <w:vAlign w:val="bottom"/>
            <w:tcBorders>
              <w:top w:val="single" w:sz="8" w:color="0000FF"/>
            </w:tcBorders>
            <w:gridSpan w:val="3"/>
          </w:tcPr>
          <w:p>
            <w:pPr>
              <w:spacing w:after="0"/>
              <w:rPr>
                <w:sz w:val="11"/>
                <w:szCs w:val="11"/>
                <w:color w:val="auto"/>
              </w:rPr>
            </w:pPr>
          </w:p>
        </w:tc>
        <w:tc>
          <w:tcPr>
            <w:tcW w:w="2640" w:type="dxa"/>
            <w:vAlign w:val="bottom"/>
            <w:gridSpan w:val="2"/>
          </w:tcPr>
          <w:p>
            <w:pPr>
              <w:spacing w:after="0"/>
              <w:rPr>
                <w:sz w:val="11"/>
                <w:szCs w:val="11"/>
                <w:color w:val="auto"/>
              </w:rPr>
            </w:pPr>
          </w:p>
        </w:tc>
        <w:tc>
          <w:tcPr>
            <w:tcW w:w="2700" w:type="dxa"/>
            <w:vAlign w:val="bottom"/>
          </w:tcPr>
          <w:p>
            <w:pPr>
              <w:spacing w:after="0"/>
              <w:rPr>
                <w:sz w:val="11"/>
                <w:szCs w:val="1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by Chief Financial Officer pursuant to 18 U.S.C. Section 1350, as</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r>
        <w:trPr>
          <w:trHeight w:val="128"/>
        </w:trPr>
        <w:tc>
          <w:tcPr>
            <w:tcW w:w="1020" w:type="dxa"/>
            <w:vAlign w:val="bottom"/>
          </w:tcPr>
          <w:p>
            <w:pPr>
              <w:spacing w:after="0"/>
              <w:rPr>
                <w:sz w:val="11"/>
                <w:szCs w:val="11"/>
                <w:color w:val="auto"/>
              </w:rPr>
            </w:pPr>
          </w:p>
        </w:tc>
        <w:tc>
          <w:tcPr>
            <w:tcW w:w="392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20" w:type="dxa"/>
            <w:vAlign w:val="bottom"/>
            <w:tcBorders>
              <w:top w:val="single" w:sz="8" w:color="0000FF"/>
            </w:tcBorders>
            <w:gridSpan w:val="2"/>
          </w:tcPr>
          <w:p>
            <w:pPr>
              <w:spacing w:after="0"/>
              <w:rPr>
                <w:sz w:val="11"/>
                <w:szCs w:val="11"/>
                <w:color w:val="auto"/>
              </w:rPr>
            </w:pPr>
          </w:p>
        </w:tc>
        <w:tc>
          <w:tcPr>
            <w:tcW w:w="2680" w:type="dxa"/>
            <w:vAlign w:val="bottom"/>
            <w:gridSpan w:val="3"/>
          </w:tcPr>
          <w:p>
            <w:pPr>
              <w:spacing w:after="0"/>
              <w:rPr>
                <w:sz w:val="11"/>
                <w:szCs w:val="11"/>
                <w:color w:val="auto"/>
              </w:rPr>
            </w:pPr>
          </w:p>
        </w:tc>
        <w:tc>
          <w:tcPr>
            <w:tcW w:w="2700" w:type="dxa"/>
            <w:vAlign w:val="bottom"/>
          </w:tcPr>
          <w:p>
            <w:pPr>
              <w:spacing w:after="0"/>
              <w:rPr>
                <w:sz w:val="11"/>
                <w:szCs w:val="11"/>
                <w:color w:val="auto"/>
              </w:rPr>
            </w:pPr>
          </w:p>
        </w:tc>
      </w:tr>
      <w:tr>
        <w:trPr>
          <w:trHeight w:val="227"/>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r>
        <w:trPr>
          <w:trHeight w:val="148"/>
        </w:trPr>
        <w:tc>
          <w:tcPr>
            <w:tcW w:w="1020" w:type="dxa"/>
            <w:vAlign w:val="bottom"/>
          </w:tcPr>
          <w:p>
            <w:pPr>
              <w:spacing w:after="0"/>
              <w:rPr>
                <w:sz w:val="12"/>
                <w:szCs w:val="12"/>
                <w:color w:val="auto"/>
              </w:rPr>
            </w:pPr>
          </w:p>
        </w:tc>
        <w:tc>
          <w:tcPr>
            <w:tcW w:w="724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2700" w:type="dxa"/>
            <w:vAlign w:val="bottom"/>
          </w:tcPr>
          <w:p>
            <w:pPr>
              <w:spacing w:after="0"/>
              <w:rPr>
                <w:sz w:val="12"/>
                <w:szCs w:val="12"/>
                <w:color w:val="auto"/>
              </w:rPr>
            </w:pPr>
          </w:p>
        </w:tc>
      </w:tr>
      <w:tr>
        <w:trPr>
          <w:trHeight w:val="162"/>
        </w:trPr>
        <w:tc>
          <w:tcPr>
            <w:tcW w:w="1020" w:type="dxa"/>
            <w:vAlign w:val="bottom"/>
          </w:tcPr>
          <w:p>
            <w:pPr>
              <w:spacing w:after="0"/>
              <w:rPr>
                <w:sz w:val="14"/>
                <w:szCs w:val="14"/>
                <w:color w:val="auto"/>
              </w:rPr>
            </w:pP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2700" w:type="dxa"/>
            <w:vAlign w:val="bottom"/>
          </w:tcPr>
          <w:p>
            <w:pPr>
              <w:spacing w:after="0"/>
              <w:rPr>
                <w:sz w:val="14"/>
                <w:szCs w:val="14"/>
                <w:color w:val="auto"/>
              </w:rPr>
            </w:pP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78"/>
              </w:rPr>
              <w:t>X</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96" w:lineRule="exact"/>
        <w:rPr>
          <w:sz w:val="20"/>
          <w:szCs w:val="20"/>
          <w:color w:val="auto"/>
        </w:rPr>
      </w:pPr>
    </w:p>
    <w:p>
      <w:pPr>
        <w:ind w:firstLine="8"/>
        <w:spacing w:after="0" w:line="261" w:lineRule="auto"/>
        <w:tabs>
          <w:tab w:leader="none" w:pos="10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Registrants may voluntarily include a summary of information required by Form 10-K under this Item 16. The Company has elected not to include such summary information.</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46" w:right="5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March 8, 2023</w:t>
      </w:r>
      <w:r>
        <w:rPr>
          <w:sz w:val="20"/>
          <w:szCs w:val="20"/>
          <w:color w:val="auto"/>
        </w:rPr>
        <w:tab/>
      </w:r>
      <w:r>
        <w:rPr>
          <w:rFonts w:ascii="Times New Roman" w:cs="Times New Roman" w:eastAsia="Times New Roman" w:hAnsi="Times New Roman"/>
          <w:sz w:val="17"/>
          <w:szCs w:val="17"/>
          <w:b w:val="1"/>
          <w:bCs w:val="1"/>
          <w:color w:val="auto"/>
        </w:rPr>
        <w:t>RED VIOLET, INC.</w:t>
      </w:r>
    </w:p>
    <w:p>
      <w:pPr>
        <w:spacing w:after="0" w:line="200" w:lineRule="exact"/>
        <w:rPr>
          <w:sz w:val="20"/>
          <w:szCs w:val="20"/>
          <w:color w:val="auto"/>
        </w:rPr>
      </w:pPr>
    </w:p>
    <w:p>
      <w:pPr>
        <w:spacing w:after="0" w:line="326" w:lineRule="exact"/>
        <w:rPr>
          <w:sz w:val="20"/>
          <w:szCs w:val="20"/>
          <w:color w:val="auto"/>
        </w:rPr>
      </w:pPr>
    </w:p>
    <w:p>
      <w:pPr>
        <w:ind w:left="6200"/>
        <w:spacing w:after="0"/>
        <w:tabs>
          <w:tab w:leader="none" w:pos="6660" w:val="left"/>
        </w:tabs>
        <w:rPr>
          <w:sz w:val="20"/>
          <w:szCs w:val="20"/>
          <w:color w:val="auto"/>
        </w:rPr>
      </w:pPr>
      <w:r>
        <w:rPr>
          <w:rFonts w:ascii="Times New Roman" w:cs="Times New Roman" w:eastAsia="Times New Roman" w:hAnsi="Times New Roman"/>
          <w:sz w:val="18"/>
          <w:szCs w:val="18"/>
          <w:color w:val="auto"/>
        </w:rPr>
        <w:t>By:</w:t>
        <w:tab/>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154305</wp:posOffset>
            </wp:positionV>
            <wp:extent cx="29057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3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Derek Dubner</w:t>
      </w:r>
    </w:p>
    <w:p>
      <w:pPr>
        <w:spacing w:after="0" w:line="25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22" w:lineRule="exact"/>
        <w:rPr>
          <w:sz w:val="20"/>
          <w:szCs w:val="20"/>
          <w:color w:val="auto"/>
        </w:rPr>
      </w:pPr>
    </w:p>
    <w:p>
      <w:pPr>
        <w:ind w:left="6200"/>
        <w:spacing w:after="0"/>
        <w:tabs>
          <w:tab w:leader="none" w:pos="6660" w:val="left"/>
        </w:tabs>
        <w:rPr>
          <w:sz w:val="20"/>
          <w:szCs w:val="20"/>
          <w:color w:val="auto"/>
        </w:rPr>
      </w:pPr>
      <w:r>
        <w:rPr>
          <w:rFonts w:ascii="Times New Roman" w:cs="Times New Roman" w:eastAsia="Times New Roman" w:hAnsi="Times New Roman"/>
          <w:sz w:val="18"/>
          <w:szCs w:val="18"/>
          <w:color w:val="auto"/>
        </w:rPr>
        <w:t>By:</w:t>
        <w:tab/>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154305</wp:posOffset>
            </wp:positionV>
            <wp:extent cx="29057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3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5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54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7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Derek Dubner</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Derek Dubner</w:t>
            </w:r>
          </w:p>
        </w:tc>
        <w:tc>
          <w:tcPr>
            <w:tcW w:w="60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MacLachlan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MacLachlan</w:t>
            </w:r>
          </w:p>
        </w:tc>
        <w:tc>
          <w:tcPr>
            <w:tcW w:w="600" w:type="dxa"/>
            <w:vAlign w:val="bottom"/>
          </w:tcPr>
          <w:p>
            <w:pPr>
              <w:spacing w:after="0"/>
              <w:rPr>
                <w:sz w:val="20"/>
                <w:szCs w:val="20"/>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Benz</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Benz</w:t>
            </w:r>
          </w:p>
        </w:tc>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D. Rubin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D. Rubin</w:t>
            </w:r>
          </w:p>
        </w:tc>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Swayman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Swayman</w:t>
            </w:r>
          </w:p>
        </w:tc>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94"/>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Lisa Stanton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Stanton</w:t>
            </w:r>
          </w:p>
        </w:tc>
        <w:tc>
          <w:tcPr>
            <w:tcW w:w="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805"/>
        </w:trPr>
        <w:tc>
          <w:tcPr>
            <w:tcW w:w="3760" w:type="dxa"/>
            <w:vAlign w:val="bottom"/>
          </w:tcPr>
          <w:p>
            <w:pPr>
              <w:spacing w:after="0"/>
              <w:rPr>
                <w:sz w:val="24"/>
                <w:szCs w:val="24"/>
                <w:color w:val="auto"/>
              </w:rPr>
            </w:pPr>
          </w:p>
        </w:tc>
        <w:tc>
          <w:tcPr>
            <w:tcW w:w="5300" w:type="dxa"/>
            <w:vAlign w:val="bottom"/>
            <w:gridSpan w:val="2"/>
          </w:tcPr>
          <w:p>
            <w:pPr>
              <w:jc w:val="right"/>
              <w:ind w:right="3252"/>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1"/>
        </w:trPr>
        <w:tc>
          <w:tcPr>
            <w:tcW w:w="3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4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number: 248)</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0"/>
        </w:trPr>
        <w:tc>
          <w:tcPr>
            <w:tcW w:w="40" w:type="dxa"/>
            <w:vAlign w:val="bottom"/>
          </w:tcPr>
          <w:p>
            <w:pPr>
              <w:spacing w:after="0"/>
              <w:rPr>
                <w:sz w:val="18"/>
                <w:szCs w:val="18"/>
                <w:color w:val="auto"/>
              </w:rPr>
            </w:pPr>
          </w:p>
        </w:tc>
        <w:tc>
          <w:tcPr>
            <w:tcW w:w="6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3380" w:type="dxa"/>
            <w:vAlign w:val="bottom"/>
            <w:gridSpan w:val="3"/>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and 2021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300" w:type="dxa"/>
            <w:vAlign w:val="bottom"/>
            <w:tcBorders>
              <w:right w:val="single" w:sz="8" w:color="0000EE"/>
            </w:tcBorders>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2022 and 2021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0"/>
        </w:trPr>
        <w:tc>
          <w:tcPr>
            <w:tcW w:w="40" w:type="dxa"/>
            <w:vAlign w:val="bottom"/>
          </w:tcPr>
          <w:p>
            <w:pPr>
              <w:spacing w:after="0"/>
              <w:rPr>
                <w:sz w:val="18"/>
                <w:szCs w:val="18"/>
                <w:color w:val="auto"/>
              </w:rPr>
            </w:pPr>
          </w:p>
        </w:tc>
        <w:tc>
          <w:tcPr>
            <w:tcW w:w="78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and 2021</w:t>
            </w:r>
          </w:p>
        </w:tc>
        <w:tc>
          <w:tcPr>
            <w:tcW w:w="15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09"/>
        </w:trPr>
        <w:tc>
          <w:tcPr>
            <w:tcW w:w="40" w:type="dxa"/>
            <w:vAlign w:val="bottom"/>
          </w:tcPr>
          <w:p>
            <w:pPr>
              <w:spacing w:after="0"/>
              <w:rPr>
                <w:sz w:val="18"/>
                <w:szCs w:val="18"/>
                <w:color w:val="auto"/>
              </w:rPr>
            </w:pPr>
          </w:p>
        </w:tc>
        <w:tc>
          <w:tcPr>
            <w:tcW w:w="6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40" w:type="dxa"/>
            <w:vAlign w:val="bottom"/>
            <w:gridSpan w:val="2"/>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885"/>
        </w:trPr>
        <w:tc>
          <w:tcPr>
            <w:tcW w:w="40" w:type="dxa"/>
            <w:vAlign w:val="bottom"/>
          </w:tcPr>
          <w:p>
            <w:pPr>
              <w:spacing w:after="0"/>
              <w:rPr>
                <w:sz w:val="24"/>
                <w:szCs w:val="24"/>
                <w:color w:val="auto"/>
              </w:rPr>
            </w:pPr>
          </w:p>
        </w:tc>
        <w:tc>
          <w:tcPr>
            <w:tcW w:w="304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478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F-1</w:t>
            </w:r>
          </w:p>
        </w:tc>
        <w:tc>
          <w:tcPr>
            <w:tcW w:w="18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Red Violet, Inc. (a Delaware corporation) and subsidiaries (the “Company”) as of December 31, 2022 and 2021, the related consolidated statements of operations, changes in shareholders’ equity,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6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00" w:type="dxa"/>
            <w:vAlign w:val="bottom"/>
            <w:shd w:val="clear" w:color="auto" w:fill="CFF0FC"/>
          </w:tcPr>
          <w:p>
            <w:pPr>
              <w:spacing w:after="0"/>
              <w:rPr>
                <w:sz w:val="21"/>
                <w:szCs w:val="21"/>
                <w:color w:val="auto"/>
              </w:rPr>
            </w:pPr>
          </w:p>
        </w:tc>
      </w:tr>
      <w:tr>
        <w:trPr>
          <w:trHeight w:val="211"/>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$60 and $28 as of</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20"/>
                <w:szCs w:val="20"/>
                <w:color w:val="auto"/>
              </w:rPr>
            </w:pPr>
          </w:p>
        </w:tc>
      </w:tr>
      <w:tr>
        <w:trPr>
          <w:trHeight w:val="245"/>
        </w:trPr>
        <w:tc>
          <w:tcPr>
            <w:tcW w:w="77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38,593</w:t>
            </w:r>
          </w:p>
        </w:tc>
        <w:tc>
          <w:tcPr>
            <w:tcW w:w="100" w:type="dxa"/>
            <w:vAlign w:val="bottom"/>
          </w:tcPr>
          <w:p>
            <w:pPr>
              <w:spacing w:after="0"/>
              <w:rPr>
                <w:sz w:val="20"/>
                <w:szCs w:val="20"/>
                <w:color w:val="auto"/>
              </w:rPr>
            </w:pPr>
          </w:p>
        </w:tc>
      </w:tr>
      <w:tr>
        <w:trPr>
          <w:trHeight w:val="247"/>
        </w:trPr>
        <w:tc>
          <w:tcPr>
            <w:tcW w:w="77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28,181</w:t>
            </w:r>
          </w:p>
        </w:tc>
        <w:tc>
          <w:tcPr>
            <w:tcW w:w="100" w:type="dxa"/>
            <w:vAlign w:val="bottom"/>
          </w:tcPr>
          <w:p>
            <w:pPr>
              <w:spacing w:after="0"/>
              <w:rPr>
                <w:sz w:val="20"/>
                <w:szCs w:val="20"/>
                <w:color w:val="auto"/>
              </w:rPr>
            </w:pPr>
          </w:p>
        </w:tc>
      </w:tr>
      <w:tr>
        <w:trPr>
          <w:trHeight w:val="247"/>
        </w:trPr>
        <w:tc>
          <w:tcPr>
            <w:tcW w:w="77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77,414</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20" w:type="dxa"/>
            <w:vAlign w:val="bottom"/>
            <w:tcBorders>
              <w:bottom w:val="single" w:sz="8" w:color="CFF0FC"/>
            </w:tcBorders>
            <w:shd w:val="clear" w:color="auto" w:fill="CFF0FC"/>
          </w:tcPr>
          <w:p>
            <w:pPr>
              <w:spacing w:after="0"/>
              <w:rPr>
                <w:sz w:val="17"/>
                <w:szCs w:val="17"/>
                <w:color w:val="auto"/>
              </w:rPr>
            </w:pPr>
          </w:p>
        </w:tc>
        <w:tc>
          <w:tcPr>
            <w:tcW w:w="3940" w:type="dxa"/>
            <w:vAlign w:val="bottom"/>
            <w:tcBorders>
              <w:bottom w:val="single" w:sz="8" w:color="auto"/>
            </w:tcBorders>
            <w:gridSpan w:val="2"/>
            <w:shd w:val="clear" w:color="auto" w:fill="CFF0FC"/>
          </w:tcPr>
          <w:p>
            <w:pPr>
              <w:spacing w:after="0" w:line="172" w:lineRule="exact"/>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37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3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r>
      <w:tr>
        <w:trPr>
          <w:trHeight w:val="247"/>
        </w:trPr>
        <w:tc>
          <w:tcPr>
            <w:tcW w:w="77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0"/>
                <w:szCs w:val="20"/>
                <w:color w:val="auto"/>
              </w:rPr>
            </w:pPr>
          </w:p>
        </w:tc>
      </w:tr>
      <w:tr>
        <w:trPr>
          <w:trHeight w:val="241"/>
        </w:trPr>
        <w:tc>
          <w:tcPr>
            <w:tcW w:w="77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tcPr>
          <w:p>
            <w:pPr>
              <w:spacing w:after="0"/>
              <w:rPr>
                <w:sz w:val="20"/>
                <w:szCs w:val="20"/>
                <w:color w:val="auto"/>
              </w:rPr>
            </w:pPr>
          </w:p>
        </w:tc>
      </w:tr>
      <w:tr>
        <w:trPr>
          <w:trHeight w:val="245"/>
        </w:trPr>
        <w:tc>
          <w:tcPr>
            <w:tcW w:w="77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December 31, 2022 and 2021</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8"/>
        </w:trPr>
        <w:tc>
          <w:tcPr>
            <w:tcW w:w="77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stock—$0.001 par value, 200,000,000 shares authorized, 13,956,404 and</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77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13,488,540 shares issued and outstanding, as of December 31, 2022 and 2021</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91,434</w:t>
            </w:r>
          </w:p>
        </w:tc>
        <w:tc>
          <w:tcPr>
            <w:tcW w:w="100" w:type="dxa"/>
            <w:vAlign w:val="bottom"/>
          </w:tcPr>
          <w:p>
            <w:pPr>
              <w:spacing w:after="0"/>
              <w:rPr>
                <w:sz w:val="20"/>
                <w:szCs w:val="20"/>
                <w:color w:val="auto"/>
              </w:rPr>
            </w:pPr>
          </w:p>
        </w:tc>
      </w:tr>
      <w:tr>
        <w:trPr>
          <w:trHeight w:val="243"/>
        </w:trPr>
        <w:tc>
          <w:tcPr>
            <w:tcW w:w="77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(21,402 )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(22,018 )</w:t>
            </w:r>
          </w:p>
        </w:tc>
      </w:tr>
      <w:tr>
        <w:trPr>
          <w:trHeight w:val="239"/>
        </w:trPr>
        <w:tc>
          <w:tcPr>
            <w:tcW w:w="772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71,093</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69,429</w:t>
            </w:r>
          </w:p>
        </w:tc>
        <w:tc>
          <w:tcPr>
            <w:tcW w:w="100" w:type="dxa"/>
            <w:vAlign w:val="bottom"/>
            <w:tcBorders>
              <w:top w:val="single" w:sz="8" w:color="CFF0FC"/>
            </w:tcBorders>
          </w:tcPr>
          <w:p>
            <w:pPr>
              <w:spacing w:after="0"/>
              <w:rPr>
                <w:sz w:val="20"/>
                <w:szCs w:val="20"/>
                <w:color w:val="auto"/>
              </w:rPr>
            </w:pPr>
          </w:p>
        </w:tc>
      </w:tr>
      <w:tr>
        <w:trPr>
          <w:trHeight w:val="276"/>
        </w:trPr>
        <w:tc>
          <w:tcPr>
            <w:tcW w:w="77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-4079875</wp:posOffset>
            </wp:positionV>
            <wp:extent cx="6858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-3145790</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-3145790</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-1559560</wp:posOffset>
            </wp:positionV>
            <wp:extent cx="6858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-351155</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53,318</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100" w:type="dxa"/>
            <w:vAlign w:val="bottom"/>
            <w:shd w:val="clear" w:color="auto" w:fill="CFF0FC"/>
          </w:tcPr>
          <w:p>
            <w:pPr>
              <w:spacing w:after="0"/>
              <w:rPr>
                <w:sz w:val="20"/>
                <w:szCs w:val="20"/>
                <w:color w:val="auto"/>
              </w:rPr>
            </w:pPr>
          </w:p>
        </w:tc>
      </w:tr>
      <w:tr>
        <w:trPr>
          <w:trHeight w:val="24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Pr>
          <w:p>
            <w:pPr>
              <w:spacing w:after="0"/>
              <w:rPr>
                <w:sz w:val="20"/>
                <w:szCs w:val="20"/>
                <w:color w:val="auto"/>
              </w:rPr>
            </w:pPr>
          </w:p>
        </w:tc>
      </w:tr>
      <w:tr>
        <w:trPr>
          <w:trHeight w:val="238"/>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52,957</w:t>
            </w:r>
          </w:p>
        </w:tc>
        <w:tc>
          <w:tcPr>
            <w:tcW w:w="3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(1,315 )</w:t>
            </w: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20"/>
                <w:szCs w:val="20"/>
                <w:color w:val="auto"/>
              </w:rPr>
            </w:pPr>
          </w:p>
        </w:tc>
      </w:tr>
      <w:tr>
        <w:trPr>
          <w:trHeight w:val="241"/>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FF0FC"/>
          </w:tcPr>
          <w:p>
            <w:pPr>
              <w:spacing w:after="0"/>
              <w:rPr>
                <w:sz w:val="20"/>
                <w:szCs w:val="20"/>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r>
      <w:tr>
        <w:trPr>
          <w:trHeight w:val="279"/>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9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13,759,296</w:t>
            </w: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12,597,316</w:t>
            </w: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14,107,144</w:t>
            </w:r>
          </w:p>
        </w:tc>
        <w:tc>
          <w:tcPr>
            <w:tcW w:w="30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13,403,041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-2005330</wp:posOffset>
            </wp:positionV>
            <wp:extent cx="6858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-1053465</wp:posOffset>
            </wp:positionV>
            <wp:extent cx="130302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1303020"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-719455</wp:posOffset>
            </wp:positionV>
            <wp:extent cx="130302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1303020" cy="2057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240" w:type="dxa"/>
            <w:vAlign w:val="bottom"/>
            <w:gridSpan w:val="4"/>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28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18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00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12,167,327</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66,005</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(143,400 )</w:t>
            </w: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(3,327 )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(3,327 )</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(143,400 )</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(3,327 )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offering to certain investors,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of issuance costs of $86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552,915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13,488,540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91,434</w:t>
            </w:r>
          </w:p>
        </w:tc>
        <w:tc>
          <w:tcPr>
            <w:tcW w:w="20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(22,018 )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770,210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treasury stock resulting</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(252,346 )</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(5,200 )</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(5,200 )</w:t>
            </w: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(50,000 )</w:t>
            </w: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(878 )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(878 )</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(302,346 )</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(6,078 )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13,956,404</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-1550670</wp:posOffset>
            </wp:positionV>
            <wp:extent cx="7683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-1550670</wp:posOffset>
            </wp:positionV>
            <wp:extent cx="7747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-1550670</wp:posOffset>
            </wp:positionV>
            <wp:extent cx="7683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-1550670</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-1550670</wp:posOffset>
            </wp:positionV>
            <wp:extent cx="6858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-1550670</wp:posOffset>
            </wp:positionV>
            <wp:extent cx="685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-25400</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-8255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-25400</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Pr>
          <w:p>
            <w:pPr>
              <w:spacing w:after="0"/>
              <w:rPr>
                <w:sz w:val="20"/>
                <w:szCs w:val="20"/>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(2,175 )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(1,973 )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(630 )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(172 )</w:t>
            </w:r>
          </w:p>
        </w:tc>
        <w:tc>
          <w:tcPr>
            <w:tcW w:w="10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(464 )</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(1,051 )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(171 )</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(618 )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(552 )</w:t>
            </w:r>
          </w:p>
        </w:tc>
      </w:tr>
      <w:tr>
        <w:trPr>
          <w:trHeight w:val="237"/>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26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tcBorders>
              <w:top w:val="single" w:sz="8" w:color="CFF0FC"/>
            </w:tcBorders>
          </w:tcPr>
          <w:p>
            <w:pPr>
              <w:spacing w:after="0"/>
              <w:rPr>
                <w:sz w:val="20"/>
                <w:szCs w:val="20"/>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(373 )</w:t>
            </w:r>
          </w:p>
        </w:tc>
        <w:tc>
          <w:tcPr>
            <w:tcW w:w="10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9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(8,456 )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(4,964 )</w:t>
            </w:r>
          </w:p>
        </w:tc>
      </w:tr>
      <w:tr>
        <w:trPr>
          <w:trHeight w:val="20"/>
        </w:trPr>
        <w:tc>
          <w:tcPr>
            <w:tcW w:w="77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(8,829 )</w:t>
            </w:r>
          </w:p>
        </w:tc>
        <w:tc>
          <w:tcPr>
            <w:tcW w:w="10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(5,244 )</w:t>
            </w: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shares, net of issuance costs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9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(5,200 )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(3,327 )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(878 )</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(2,448 )</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100" w:type="dxa"/>
            <w:vAlign w:val="bottom"/>
          </w:tcPr>
          <w:p>
            <w:pPr>
              <w:spacing w:after="0"/>
              <w:rPr>
                <w:sz w:val="20"/>
                <w:szCs w:val="20"/>
                <w:color w:val="auto"/>
              </w:rPr>
            </w:pPr>
          </w:p>
        </w:tc>
      </w:tr>
      <w:tr>
        <w:trPr>
          <w:trHeight w:val="241"/>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tcPr>
          <w:p>
            <w:pPr>
              <w:spacing w:after="0"/>
              <w:rPr>
                <w:sz w:val="20"/>
                <w:szCs w:val="20"/>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-2862580</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-2228215</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-1276350</wp:posOffset>
            </wp:positionV>
            <wp:extent cx="68580"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-959485</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Principal activities</w:t>
      </w:r>
    </w:p>
    <w:p>
      <w:pPr>
        <w:spacing w:after="0" w:line="1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Red Violet, Inc. (“red violet,” or the “Company”), a Delaware corporation, is a software and services company building proprietary technologies and applying analytical capabilities to deliver identity intelligence. The Company’s technology powers critical solutions, which empower organizations to operate with confidence. The Company’s solutions enable the real-time identification and location of people, businesses, assets and their interrelationships. These solutions are used for purposes including risk mitigation, due diligence, fraud detection and prevention, regulatory compliance, and customer acquisition. The Company’s intelligent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The Company drives workflow efficiency and enables organizations to make better data-driven decisions.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the Company’s differentiated information and innovative platform and solutions deliver identity intelligence – entities, relationships, affiliations, interactions, and events. The Company’s solutions are used today to enable frictionless commerce, to ensure safety, and to reduce fraud and the concomitant expense borne by society.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only one operating segment, as defined by Accounting Standards Codification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liquidity</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by red violet in accordance with accounting principles generally accepted in the United States (“US GAAP”).</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reported net income of $616 and $655 for the years ended December 31, 2022 and 2021, respectively. Net cash provided by operating activities was $12,459 and $8,948 for the years ended December 31, 2022 and 2021, respectively. As of December 31, 2022, the Company had an accumulated deficit of $21,402.</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available cash and cash equivalents of $31,810, a decrease of $2,448 from $34,258 as of December 31, 2021. Based on this available cash and cash equivalents, and the projections of growth in revenue and operating results in the coming year, the Company believes that it will have sufficient cash resources to finance its operations and expected capital expenditures for the next twelve months from the date the financials are issued.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significant transactions among the Company and its subsidiaries have been eliminated upon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red violet’s management to make estimates and assumptions relating to the reported amounts of assets and liabilities and the disclosure of contingent assets and liabilities at the date of the consolidated financial statements and the reported amounts of revenue and expenses during the reporting periods. Significant items subject to such estimates and assumptions include the allowance for doubtful accounts, useful lives of intangible assets, recoverability of the carrying amount of goodwill and intangible assets, share-based compensation and income tax provision. These estimates are often based on complex judgments and assumptions that management believes to be reasonable but are inherently uncertain and unpredictable. Actual results could differ from these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and cash equivalents</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bank deposits with original maturities of three months or less, which are unrestricted as to withdrawal and use.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Company’s cash and bank deposits were held in major financial institutions located in the United States, which management believes have high credit ratings. The cash and bank deposits held in the United States, denominated in USD, amounted to $31,810 and $34,258 as of December 31, 2022 and 2021, respectively.</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principally of cash investments. The Company places its temporary cash instruments with well-known financial institutions within the United States, and, at times, may maintain balances in United States banks in excess of the $250 US Federal Deposit Insurance Corporation insurance limit. The Company monitors the credit ratings of the financial institutions to mitigate this risk.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Accounts receivable</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Accounts receivable are due from customers and are generally unsecured, which consist of amounts earned but not yet collected. None of the Company’s accounts receivable bear interest. In some arrangements, a right to consideration for the Company's performance under the customer contract may occur before invoicing to the customer, resulting in an unbilled accounts receivable. As of December 31, 2022, the current and noncurrent portion unbilled accounts receivable of $923 and $464, respectively, were included within accounts receivable and other noncurrent assets, respectively, on the consolidated balance sheets. There was no unbilled accounts receivable as of December 31, 2021.</w:t>
      </w:r>
    </w:p>
    <w:p>
      <w:pPr>
        <w:spacing w:after="0" w:line="1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allowance for doubtful accounts is management’s best estimate of the amount of probable credit losses in the Company’s existing accounts receivable. Management determines the allowance based on reviews of various factors, including historical experience, the age of the accounts receivable balance, customer-specific facts, economic conditions, and other factors that may affect the Company's ability to collect from customers. Account balances are charged off against the allowance after all means of collection have been exhausted and the potential for recovery is considered remote. The Company does not have any off-balance-sheet credit exposure related to its customers. The amount of the allowance for doubtful accounts was $60 and $28 as of December 31, 2022 and 2021, respectively, which was included within accounts receivable, net, on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Property and equipment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or amortization. Expenditures for maintenance, repairs, and minor renewals are charged to expense in the period incurred. Betterments and additions are capitalized. Property and equipment are depreciated on the straight-line basis over the estimated useful lives of the assets. Leasehold improvements are depreciated over the shorter of their estimated useful lives or lease terms that are reasonably assured. The estimated useful lives of property and equipment are as follows:</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Computer and network equipment</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5-7 years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5 years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7 years</w:t>
      </w:r>
    </w:p>
    <w:p>
      <w:pPr>
        <w:spacing w:after="0" w:line="22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When items of property and equipment are retired or otherwise disposed of, loss/income is charged or credited for the difference between the net book value and proceeds received thereon.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Intangible assets other than goodwill</w:t>
      </w:r>
    </w:p>
    <w:p>
      <w:pPr>
        <w:spacing w:after="0" w:line="18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 Company’s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350-40, </w:t>
      </w:r>
      <w:r>
        <w:rPr>
          <w:rFonts w:ascii="Times New Roman" w:cs="Times New Roman" w:eastAsia="Times New Roman" w:hAnsi="Times New Roman"/>
          <w:sz w:val="18"/>
          <w:szCs w:val="18"/>
          <w:i w:val="1"/>
          <w:iCs w:val="1"/>
          <w:color w:val="auto"/>
        </w:rPr>
        <w:t>“Software — Internal use software,”</w:t>
      </w:r>
      <w:r>
        <w:rPr>
          <w:rFonts w:ascii="Times New Roman" w:cs="Times New Roman" w:eastAsia="Times New Roman" w:hAnsi="Times New Roman"/>
          <w:sz w:val="18"/>
          <w:szCs w:val="18"/>
          <w:color w:val="auto"/>
        </w:rPr>
        <w:t xml:space="preserve"> the Company capitalizes eligible costs, including salaries and staff benefits, share-based compensation expense,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Goodwill</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the net assets acquired in a business combination. As of December 31, 2022 and 2021, the balance of goodwill of $5,227 was as a result of the acquisition of Interactive Data, LLC (“Interactive Data”), a wholly-owned subsidiary of red violet, effective on October 2, 2014.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In accordance with ASC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step one assessment involves determining the fair value of each reporting unit using market participant assumptions. Should an impairment exist, the Company would recognize an impairment charge for the amount by which the carrying amount of a reporting unit exceeds its fair value up to the amount of goodwill allocated to that reporting unit.</w:t>
      </w:r>
    </w:p>
    <w:p>
      <w:pPr>
        <w:spacing w:after="0" w:line="14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measurement date of the Company’s annual goodwill impairment test is October 1. On October 1, 2022 and 2021, the Company performed qualitative assessments on the reporting unit and, based on this assessment, no events have occurred to indicate that it is more likely than not that the fair value of the reporting unit is less than its carry amount. The Company did not record a goodwill impairment loss during the years ended December 31, 2022 and 2021, and as of December 31, 2022, there was no accumulated goodwill impairment loss.</w:t>
      </w:r>
    </w:p>
    <w:p>
      <w:pPr>
        <w:spacing w:after="0" w:line="1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the Company must make various assumptions regarding estimated future cash flows and other factors in determining the fair values, including market multiples, discount rates, etc.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Impairment of long-lived assets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 impairment loss of long-lived assets during the years ended December 31, 2022 and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Fair value of financial instruments</w:t>
      </w:r>
    </w:p>
    <w:p>
      <w:pPr>
        <w:spacing w:after="0" w:line="187"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7"/>
          <w:szCs w:val="17"/>
          <w:color w:val="auto"/>
        </w:rPr>
        <w:t xml:space="preserve">ASC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establishes a three-tier fair value hierarchy, which prioritizes the inputs used in measuring fair value. The hierarchy prioritizes the inputs into three levels based on the extent to which inputs used in measuring fair value are observable in the market.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tiers include:</w:t>
      </w:r>
    </w:p>
    <w:p>
      <w:pPr>
        <w:spacing w:after="0" w:line="117"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defined as observable inputs such as quoted prices in active markets;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defined as inputs other than quoted prices in active markets that are either directly or indirectly observable;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and cash equivalents, receivables and payables approximate their carrying amount because of the short-term nature of these instruments. The fair value of the noncurrent portion of unbilled accounts receivable included in other noncurrent assets approximates its carrying amount.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Revenue recognition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recognized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2" w:name="page53"/>
    <w:bookmarkEnd w:id="52"/>
    <w:p>
      <w:pPr>
        <w:ind w:right="40"/>
        <w:spacing w:after="0" w:line="255" w:lineRule="auto"/>
        <w:rPr>
          <w:sz w:val="20"/>
          <w:szCs w:val="20"/>
          <w:color w:val="auto"/>
        </w:rPr>
      </w:pPr>
      <w:r>
        <w:rPr>
          <w:rFonts w:ascii="Times New Roman" w:cs="Times New Roman" w:eastAsia="Times New Roman" w:hAnsi="Times New Roman"/>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The Company’s revenue is recorded net of applicable sales taxes billed to customers.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The Company's revenue arrangements do not contain significant financing components.</w:t>
      </w:r>
    </w:p>
    <w:p>
      <w:pPr>
        <w:spacing w:after="0" w:line="14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75% and 80% of total revenue was attributable to customers with pricing contracts, respectively, versus 25% and 20% attributable to transactional customers, respectively. Pricing contracts are generally annual contracts or longer, with auto renewal.</w:t>
      </w:r>
    </w:p>
    <w:p>
      <w:pPr>
        <w:spacing w:after="0" w:line="13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If a customer pays consideration before the Company transfers services to the customer, those amounts are classified as deferred revenue. As of December 31, 2022 and 2021, the balance of deferred revenue was $670 and $841 respectively, all of which is expected to be realized in the next 12 months. In relation to the deferred revenue balance as of December 31, 2021, $841 was recognized into revenue during the year ended December 31, 2022.</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31, 2022, $8,017 of revenue is expected to be recognized in the future for performance obligations that are unsatisfied or partially unsatisfied, related to pricing contracts that have a term of more than 12 months, of which $5,971 of revenue will be recognized in 2023, $1,838 in 2024, and $208 in 2025.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Cost of revenue (exclusive of depreciation and amortization)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Company’s cost of revenue primarily includes data acquisition costs and other cost of revenue. Data acquisition costs consist primarily of the costs to acquire data either on a transactional basis or through flat-fee data licensing agreements, including unlimited usage agreements. Data acquisition costs are recognized based on a straight-line amortization method. Other cost of revenue includes expenses related to third-party infrastructure fees.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Advertising and promotion costs</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Advertising and promotion costs are charged to operations as incurred. Advertising and promotion costs, included in sales and marketing expenses amounted to $261 and $97 for the years ended December 31, 2022 and 2021,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(m) Share-based compensation</w:t>
      </w:r>
    </w:p>
    <w:p>
      <w:pPr>
        <w:spacing w:after="0" w:line="20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to employees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4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estimated number of stock awards that will ultimately vest requires judgment, and to the extent actual results or updated estimates differ from the Company’s current estimates, such amount will be recorded as a cumulative adjustment in the period estimates are revised. Changes in the Company’s estimates and assumptions may cause us to realize material changes in share-based compensation expense in the future.</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2022, the Company has achieved the performance-based criteria for all share-based awards with performance-based vesting criteria, except for the Criteria Four award, as defined in Note 10.</w:t>
      </w:r>
    </w:p>
    <w:p>
      <w:pPr>
        <w:spacing w:after="0" w:line="1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applies Accounting Standards Update 2018-07,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which generally expands the scope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 include share-based payment transactions for acquiring goods and services from nonemployees and supersedes the guidance in ASC 505-50, "</w:t>
      </w:r>
      <w:r>
        <w:rPr>
          <w:rFonts w:ascii="Times New Roman" w:cs="Times New Roman" w:eastAsia="Times New Roman" w:hAnsi="Times New Roman"/>
          <w:sz w:val="18"/>
          <w:szCs w:val="18"/>
          <w:i w:val="1"/>
          <w:iCs w:val="1"/>
          <w:color w:val="auto"/>
        </w:rPr>
        <w:t>Equity-Based Payments to Non-employees</w:t>
      </w:r>
      <w:r>
        <w:rPr>
          <w:rFonts w:ascii="Times New Roman" w:cs="Times New Roman" w:eastAsia="Times New Roman" w:hAnsi="Times New Roman"/>
          <w:sz w:val="18"/>
          <w:szCs w:val="18"/>
          <w:color w:val="auto"/>
        </w:rPr>
        <w:t>," which previously included the accounting for nonemployee awards.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187"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which requires the use of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or laws is recognized in income in the period that the change in tax rates or laws is enacted. A valuation allowance is provided to reduce the amount of deferred tax assets if it is considered more likely than not that some portion or all of the deferred tax assets will not be realized.</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Earnings per share</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periods. Diluted earnings per share reflects the potential dilution that could occur if securities or other contracts to issue common stock were exercised or converted into common stock and is calculated using the treasury stock method for stock options and unvested shares. Common equivalent shares are excluded from the calculation in the loss periods as their effects would be anti-dilutive.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(p) Contingencies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loss contingencies that cover a wide range of matters. An estimated loss from a loss contingency such as a legal proceeding or claim is accrued if it is probable that a liability has been incurred and the amount of the loss can be reasonably estimated. In determining whether a loss should be accrued, the Company evaluates, among other factors, the degree of probability and the ability to make a reasonable estimate of the amount of loss.</w:t>
      </w:r>
    </w:p>
    <w:p>
      <w:pPr>
        <w:spacing w:after="0" w:line="135" w:lineRule="exact"/>
        <w:rPr>
          <w:sz w:val="20"/>
          <w:szCs w:val="20"/>
          <w:color w:val="auto"/>
        </w:rPr>
      </w:pPr>
    </w:p>
    <w:p>
      <w:pPr>
        <w:ind w:right="8300" w:firstLine="8"/>
        <w:spacing w:after="0" w:line="464" w:lineRule="auto"/>
        <w:tabs>
          <w:tab w:leader="none" w:pos="2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concentrations and risks Concentration of credit risk</w:t>
      </w:r>
    </w:p>
    <w:p>
      <w:pPr>
        <w:ind w:right="360"/>
        <w:spacing w:after="0" w:line="258" w:lineRule="auto"/>
        <w:rPr>
          <w:sz w:val="20"/>
          <w:szCs w:val="20"/>
          <w:color w:val="auto"/>
        </w:rPr>
      </w:pPr>
      <w:r>
        <w:rPr>
          <w:rFonts w:ascii="Times New Roman" w:cs="Times New Roman" w:eastAsia="Times New Roman" w:hAnsi="Times New Roman"/>
          <w:sz w:val="18"/>
          <w:szCs w:val="18"/>
          <w:color w:val="auto"/>
        </w:rPr>
        <w:t>Assets that potentially subject the Company to significant concentration of credit risk primarily consist of cash and cash equivalents, and accounts receivable. As of December 31, 2022 and 2021, all of the Company’s cash and cash equivalents were deposited in financial institutions located in the United States, which management believes are of high credit quality. Accounts receivable are typically unsecured and are derived from revenue earned from customers. The risk with respect to accounts receivable is mitigated by credit evaluations the Company performs on its customers and its ongoing monitoring process of outstanding balances.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and 2021, no individual customer accounted for more than 10% of the total revenue.</w:t>
      </w:r>
    </w:p>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2022, one individual customer accounted for 11% of the Company’s accounts receivable, net. As of December 31, 2021, no individual customer accounted for more than 10% of the Company’s accounts receivable,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products and services depend extensively upon continued access to and receipt of data from external sources, including data received from the major credit bureaus, including the Company’s largest data supplier. The Company’s other data suppliers include strategic partners, as well as various government and public records databases. The Company’s largest data supplier, with whom the Company has expanded its relationship while securing what it believes to be favorable business terms over the years, accounted for 49% of the Company’s total data acquisition costs for the years ended December 31, 2022 and 2021. The amended and renewed term of the agreement with this supplier ends June 30, 2026. The Company may elect to extend the term for an additional twelve months upon written notice to this supplier at least 30 days prior to the end of the amended and renewed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the Company and the Company may terminate this agreement by providing not less than 24 months’ advance written notice to this supplier. As of December 31, 2022, the remaining minimum purchase commitments through the end of the amended and renewed term is $18.6 million. If the Company is unable to maintain its relationship with its largest data supplier, its ability to provide products and services could be negatively impacted, as it would need to secure comparable data on similar terms, which would require significant time, expense, and resources, and may in the short-term adversely affect its reputation, business, financial condition and results of operations and, if it is unable to establish a similar relationship with other data suppliers over time, could have a long-term material impact on its business and financial condition.</w:t>
      </w:r>
    </w:p>
    <w:p>
      <w:pPr>
        <w:spacing w:after="0" w:line="17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among data suppliers, one data supplier accounted for 40% and 26% of the Company’s total accounts payable,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Recently issued accounting standards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an emerging growth company, the Company has left open the opportunity to take advantage of the extended transition period provided to emerging growth companies in Section 13(a) of the Exchange Act, however, it is the Company’s present intention to adopt any applicable new accounting standards timely.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and 2021, the basic and diluted earnings per share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9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13,759,296</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12,597,316</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14,107,144</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13,403,041</w:t>
            </w:r>
          </w:p>
        </w:tc>
        <w:tc>
          <w:tcPr>
            <w:tcW w:w="10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Pr>
          <w:p>
            <w:pPr>
              <w:spacing w:after="0"/>
              <w:rPr>
                <w:sz w:val="20"/>
                <w:szCs w:val="20"/>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2022 and 2021, diluted weighted average shares outstanding are calculated by the inclusion of unvested restricted stock units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23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tcBorders>
              <w:top w:val="single" w:sz="8" w:color="auto"/>
            </w:tcBorders>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(60 )</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81"/>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500" w:type="dxa"/>
            <w:vAlign w:val="bottom"/>
            <w:tcBorders>
              <w:top w:val="single" w:sz="8" w:color="auto"/>
              <w:bottom w:val="single" w:sz="8" w:color="auto"/>
            </w:tcBorders>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2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The movement of allowance for doubtful accounts is shown below:</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7"/>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(142 )</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1"/>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500" w:type="dxa"/>
            <w:vAlign w:val="bottom"/>
            <w:gridSpan w:val="2"/>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20" w:type="dxa"/>
            <w:vAlign w:val="bottom"/>
            <w:gridSpan w:val="4"/>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(1,202 )</w:t>
            </w:r>
          </w:p>
        </w:tc>
        <w:tc>
          <w:tcPr>
            <w:tcW w:w="16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(971 )</w:t>
            </w:r>
          </w:p>
        </w:tc>
        <w:tc>
          <w:tcPr>
            <w:tcW w:w="0" w:type="dxa"/>
            <w:vAlign w:val="bottom"/>
          </w:tcPr>
          <w:p>
            <w:pPr>
              <w:spacing w:after="0"/>
              <w:rPr>
                <w:sz w:val="1"/>
                <w:szCs w:val="1"/>
                <w:color w:val="auto"/>
              </w:rPr>
            </w:pPr>
          </w:p>
        </w:tc>
      </w:tr>
      <w:tr>
        <w:trPr>
          <w:trHeight w:val="236"/>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Borders>
              <w:top w:val="single" w:sz="8" w:color="CFF0FC"/>
            </w:tcBorders>
            <w:gridSpan w:val="2"/>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-3076575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-3059430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-1936750</wp:posOffset>
            </wp:positionV>
            <wp:extent cx="685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-504825</wp:posOffset>
            </wp:positionV>
            <wp:extent cx="6858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-187960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property and equipment of $235 and $229 was recorded for the years ended December 31, 2022 and 2021,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3480" w:type="dxa"/>
            <w:vAlign w:val="bottom"/>
          </w:tcPr>
          <w:p>
            <w:pPr>
              <w:spacing w:after="0"/>
              <w:rPr>
                <w:sz w:val="12"/>
                <w:szCs w:val="12"/>
                <w:color w:val="auto"/>
              </w:rPr>
            </w:pPr>
          </w:p>
        </w:tc>
        <w:tc>
          <w:tcPr>
            <w:tcW w:w="12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4"/>
          </w:tcPr>
          <w:p>
            <w:pPr>
              <w:jc w:val="center"/>
              <w:ind w:right="390"/>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2"/>
                <w:szCs w:val="12"/>
                <w:color w:val="auto"/>
              </w:rPr>
            </w:pPr>
          </w:p>
        </w:tc>
        <w:tc>
          <w:tcPr>
            <w:tcW w:w="1380" w:type="dxa"/>
            <w:vAlign w:val="bottom"/>
            <w:gridSpan w:val="4"/>
          </w:tcPr>
          <w:p>
            <w:pPr>
              <w:jc w:val="right"/>
              <w:ind w:right="450"/>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5"/>
                <w:szCs w:val="15"/>
                <w:color w:val="auto"/>
              </w:rPr>
            </w:pPr>
          </w:p>
        </w:tc>
      </w:tr>
      <w:tr>
        <w:trPr>
          <w:trHeight w:val="276"/>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2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5-10 years</w:t>
            </w: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52,678</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42,982</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-25400</wp:posOffset>
            </wp:positionV>
            <wp:extent cx="768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6" w:name="page57"/>
    <w:bookmarkEnd w:id="56"/>
    <w:p>
      <w:pPr>
        <w:ind w:right="460"/>
        <w:spacing w:after="0" w:line="282" w:lineRule="auto"/>
        <w:rPr>
          <w:sz w:val="20"/>
          <w:szCs w:val="20"/>
          <w:color w:val="auto"/>
        </w:rPr>
      </w:pPr>
      <w:r>
        <w:rPr>
          <w:rFonts w:ascii="Times New Roman" w:cs="Times New Roman" w:eastAsia="Times New Roman" w:hAnsi="Times New Roman"/>
          <w:sz w:val="18"/>
          <w:szCs w:val="18"/>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Amortization expenses of $6,440 and $5,170 were included in depreciation and amortization expense for the years ended December 31, 2022 and 2021, respectively. As of December 31, 2022, intangible assets of $5,338, included in the gross amounts of software developed for internal use, have not started amortization, as they are not ready for their intended use.</w:t>
      </w:r>
    </w:p>
    <w:p>
      <w:pPr>
        <w:spacing w:after="0" w:line="1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capitalized costs of software developed for internal use of $10,077 and $6,181 during the years ended December 31, 2022 and 2021,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estimated amortization expenses related to the Company’s intangible assets for 2023 through 2028 and thereafter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9"/>
                <w:szCs w:val="19"/>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shd w:val="clear" w:color="auto" w:fill="CFF0FC"/>
          </w:tcPr>
          <w:p>
            <w:pPr>
              <w:spacing w:after="0"/>
              <w:rPr>
                <w:sz w:val="20"/>
                <w:szCs w:val="20"/>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100" w:type="dxa"/>
            <w:vAlign w:val="bottom"/>
          </w:tcPr>
          <w:p>
            <w:pPr>
              <w:spacing w:after="0"/>
              <w:rPr>
                <w:sz w:val="20"/>
                <w:szCs w:val="20"/>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shd w:val="clear" w:color="auto" w:fill="CFF0FC"/>
          </w:tcPr>
          <w:p>
            <w:pPr>
              <w:spacing w:after="0"/>
              <w:rPr>
                <w:sz w:val="21"/>
                <w:szCs w:val="21"/>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Pr>
          <w:p>
            <w:pPr>
              <w:spacing w:after="0"/>
              <w:rPr>
                <w:sz w:val="20"/>
                <w:szCs w:val="20"/>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shd w:val="clear" w:color="auto" w:fill="CFF0FC"/>
          </w:tcPr>
          <w:p>
            <w:pPr>
              <w:spacing w:after="0"/>
              <w:rPr>
                <w:sz w:val="21"/>
                <w:szCs w:val="21"/>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0"/>
                <w:szCs w:val="20"/>
                <w:color w:val="auto"/>
              </w:rPr>
            </w:pPr>
          </w:p>
        </w:tc>
      </w:tr>
      <w:tr>
        <w:trPr>
          <w:trHeight w:val="277"/>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20"/>
                <w:szCs w:val="20"/>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data acquisition costs</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21"/>
                <w:szCs w:val="21"/>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expenses payable</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r>
      <w:tr>
        <w:trPr>
          <w:trHeight w:val="277"/>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income taxes on income before income taxes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62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120" w:type="dxa"/>
            <w:vAlign w:val="bottom"/>
            <w:shd w:val="clear" w:color="auto" w:fill="CEF0FC"/>
          </w:tcPr>
          <w:p>
            <w:pPr>
              <w:spacing w:after="0"/>
              <w:rPr>
                <w:sz w:val="20"/>
                <w:szCs w:val="20"/>
                <w:color w:val="auto"/>
              </w:rPr>
            </w:pPr>
          </w:p>
        </w:tc>
        <w:tc>
          <w:tcPr>
            <w:tcW w:w="480" w:type="dxa"/>
            <w:vAlign w:val="bottom"/>
            <w:shd w:val="clear" w:color="auto" w:fill="CEF0FC"/>
          </w:tcPr>
          <w:p>
            <w:pPr>
              <w:spacing w:after="0"/>
              <w:rPr>
                <w:sz w:val="20"/>
                <w:szCs w:val="20"/>
                <w:color w:val="auto"/>
              </w:rPr>
            </w:pPr>
          </w:p>
        </w:tc>
        <w:tc>
          <w:tcPr>
            <w:tcW w:w="1540" w:type="dxa"/>
            <w:vAlign w:val="bottom"/>
            <w:shd w:val="clear" w:color="auto" w:fill="CEF0FC"/>
          </w:tcPr>
          <w:p>
            <w:pPr>
              <w:spacing w:after="0"/>
              <w:rPr>
                <w:sz w:val="20"/>
                <w:szCs w:val="20"/>
                <w:color w:val="auto"/>
              </w:rPr>
            </w:pPr>
          </w:p>
        </w:tc>
        <w:tc>
          <w:tcPr>
            <w:tcW w:w="340" w:type="dxa"/>
            <w:vAlign w:val="bottom"/>
            <w:shd w:val="clear" w:color="auto" w:fill="CEF0FC"/>
          </w:tcPr>
          <w:p>
            <w:pPr>
              <w:spacing w:after="0"/>
              <w:rPr>
                <w:sz w:val="20"/>
                <w:szCs w:val="20"/>
                <w:color w:val="auto"/>
              </w:rPr>
            </w:pPr>
          </w:p>
        </w:tc>
        <w:tc>
          <w:tcPr>
            <w:tcW w:w="740" w:type="dxa"/>
            <w:vAlign w:val="bottom"/>
            <w:shd w:val="clear" w:color="auto" w:fill="CEF0FC"/>
          </w:tcPr>
          <w:p>
            <w:pPr>
              <w:spacing w:after="0"/>
              <w:rPr>
                <w:sz w:val="20"/>
                <w:szCs w:val="20"/>
                <w:color w:val="auto"/>
              </w:rPr>
            </w:pPr>
          </w:p>
        </w:tc>
        <w:tc>
          <w:tcPr>
            <w:tcW w:w="1300" w:type="dxa"/>
            <w:vAlign w:val="bottom"/>
            <w:shd w:val="clear" w:color="auto" w:fill="CEF0FC"/>
          </w:tcPr>
          <w:p>
            <w:pPr>
              <w:spacing w:after="0"/>
              <w:rPr>
                <w:sz w:val="20"/>
                <w:szCs w:val="20"/>
                <w:color w:val="auto"/>
              </w:rPr>
            </w:pPr>
          </w:p>
        </w:tc>
        <w:tc>
          <w:tcPr>
            <w:tcW w:w="100" w:type="dxa"/>
            <w:vAlign w:val="bottom"/>
            <w:shd w:val="clear" w:color="auto" w:fill="CEF0FC"/>
          </w:tcPr>
          <w:p>
            <w:pPr>
              <w:spacing w:after="0"/>
              <w:rPr>
                <w:sz w:val="20"/>
                <w:szCs w:val="20"/>
                <w:color w:val="auto"/>
              </w:rPr>
            </w:pPr>
          </w:p>
        </w:tc>
      </w:tr>
      <w:tr>
        <w:trPr>
          <w:trHeight w:val="239"/>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62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120" w:type="dxa"/>
            <w:vAlign w:val="bottom"/>
            <w:shd w:val="clear" w:color="auto" w:fill="CEF0FC"/>
          </w:tcPr>
          <w:p>
            <w:pPr>
              <w:spacing w:after="0"/>
              <w:rPr>
                <w:sz w:val="21"/>
                <w:szCs w:val="21"/>
                <w:color w:val="auto"/>
              </w:rPr>
            </w:pPr>
          </w:p>
        </w:tc>
        <w:tc>
          <w:tcPr>
            <w:tcW w:w="480" w:type="dxa"/>
            <w:vAlign w:val="bottom"/>
            <w:shd w:val="clear" w:color="auto" w:fill="CEF0FC"/>
          </w:tcPr>
          <w:p>
            <w:pPr>
              <w:spacing w:after="0"/>
              <w:rPr>
                <w:sz w:val="21"/>
                <w:szCs w:val="21"/>
                <w:color w:val="auto"/>
              </w:rPr>
            </w:pPr>
          </w:p>
        </w:tc>
        <w:tc>
          <w:tcPr>
            <w:tcW w:w="1540" w:type="dxa"/>
            <w:vAlign w:val="bottom"/>
            <w:shd w:val="clear" w:color="auto" w:fill="CEF0FC"/>
          </w:tcPr>
          <w:p>
            <w:pPr>
              <w:spacing w:after="0"/>
              <w:rPr>
                <w:sz w:val="21"/>
                <w:szCs w:val="21"/>
                <w:color w:val="auto"/>
              </w:rPr>
            </w:pPr>
          </w:p>
        </w:tc>
        <w:tc>
          <w:tcPr>
            <w:tcW w:w="340" w:type="dxa"/>
            <w:vAlign w:val="bottom"/>
            <w:shd w:val="clear" w:color="auto" w:fill="CEF0FC"/>
          </w:tcPr>
          <w:p>
            <w:pPr>
              <w:spacing w:after="0"/>
              <w:rPr>
                <w:sz w:val="21"/>
                <w:szCs w:val="21"/>
                <w:color w:val="auto"/>
              </w:rPr>
            </w:pPr>
          </w:p>
        </w:tc>
        <w:tc>
          <w:tcPr>
            <w:tcW w:w="740" w:type="dxa"/>
            <w:vAlign w:val="bottom"/>
            <w:shd w:val="clear" w:color="auto" w:fill="CEF0FC"/>
          </w:tcPr>
          <w:p>
            <w:pPr>
              <w:spacing w:after="0"/>
              <w:rPr>
                <w:sz w:val="21"/>
                <w:szCs w:val="21"/>
                <w:color w:val="auto"/>
              </w:rPr>
            </w:pPr>
          </w:p>
        </w:tc>
        <w:tc>
          <w:tcPr>
            <w:tcW w:w="1300" w:type="dxa"/>
            <w:vAlign w:val="bottom"/>
            <w:shd w:val="clear" w:color="auto" w:fill="CEF0FC"/>
          </w:tcPr>
          <w:p>
            <w:pPr>
              <w:spacing w:after="0"/>
              <w:rPr>
                <w:sz w:val="21"/>
                <w:szCs w:val="21"/>
                <w:color w:val="auto"/>
              </w:rPr>
            </w:pPr>
          </w:p>
        </w:tc>
        <w:tc>
          <w:tcPr>
            <w:tcW w:w="100" w:type="dxa"/>
            <w:vAlign w:val="bottom"/>
            <w:shd w:val="clear" w:color="auto" w:fill="CEF0FC"/>
          </w:tcPr>
          <w:p>
            <w:pPr>
              <w:spacing w:after="0"/>
              <w:rPr>
                <w:sz w:val="21"/>
                <w:szCs w:val="21"/>
                <w:color w:val="auto"/>
              </w:rPr>
            </w:pPr>
          </w:p>
        </w:tc>
      </w:tr>
      <w:tr>
        <w:trPr>
          <w:trHeight w:val="239"/>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(1,401 )</w:t>
            </w:r>
          </w:p>
        </w:tc>
      </w:tr>
      <w:tr>
        <w:trPr>
          <w:trHeight w:val="247"/>
        </w:trPr>
        <w:tc>
          <w:tcPr>
            <w:tcW w:w="3620" w:type="dxa"/>
            <w:vAlign w:val="bottom"/>
            <w:shd w:val="clear" w:color="auto" w:fill="CE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120" w:type="dxa"/>
            <w:vAlign w:val="bottom"/>
            <w:shd w:val="clear" w:color="auto" w:fill="CEF0FC"/>
          </w:tcPr>
          <w:p>
            <w:pPr>
              <w:spacing w:after="0"/>
              <w:rPr>
                <w:sz w:val="21"/>
                <w:szCs w:val="21"/>
                <w:color w:val="auto"/>
              </w:rPr>
            </w:pPr>
          </w:p>
        </w:tc>
        <w:tc>
          <w:tcPr>
            <w:tcW w:w="480" w:type="dxa"/>
            <w:vAlign w:val="bottom"/>
            <w:shd w:val="clear" w:color="auto" w:fill="CEF0FC"/>
          </w:tcPr>
          <w:p>
            <w:pPr>
              <w:spacing w:after="0"/>
              <w:rPr>
                <w:sz w:val="21"/>
                <w:szCs w:val="21"/>
                <w:color w:val="auto"/>
              </w:rPr>
            </w:pPr>
          </w:p>
        </w:tc>
        <w:tc>
          <w:tcPr>
            <w:tcW w:w="15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shd w:val="clear" w:color="auto" w:fill="CEF0FC"/>
          </w:tcPr>
          <w:p>
            <w:pPr>
              <w:spacing w:after="0"/>
              <w:rPr>
                <w:sz w:val="21"/>
                <w:szCs w:val="21"/>
                <w:color w:val="auto"/>
              </w:rPr>
            </w:pPr>
          </w:p>
        </w:tc>
        <w:tc>
          <w:tcPr>
            <w:tcW w:w="740" w:type="dxa"/>
            <w:vAlign w:val="bottom"/>
            <w:shd w:val="clear" w:color="auto" w:fill="CEF0FC"/>
          </w:tcPr>
          <w:p>
            <w:pPr>
              <w:spacing w:after="0"/>
              <w:rPr>
                <w:sz w:val="21"/>
                <w:szCs w:val="21"/>
                <w:color w:val="auto"/>
              </w:rPr>
            </w:pPr>
          </w:p>
        </w:tc>
        <w:tc>
          <w:tcPr>
            <w:tcW w:w="1400" w:type="dxa"/>
            <w:vAlign w:val="bottom"/>
            <w:gridSpan w:val="2"/>
            <w:shd w:val="clear" w:color="auto" w:fill="CEF0FC"/>
          </w:tcPr>
          <w:p>
            <w:pPr>
              <w:jc w:val="right"/>
              <w:ind w:right="40"/>
              <w:spacing w:after="0"/>
              <w:rPr>
                <w:sz w:val="20"/>
                <w:szCs w:val="20"/>
                <w:color w:val="auto"/>
              </w:rPr>
            </w:pPr>
            <w:r>
              <w:rPr>
                <w:rFonts w:ascii="Times New Roman" w:cs="Times New Roman" w:eastAsia="Times New Roman" w:hAnsi="Times New Roman"/>
                <w:sz w:val="18"/>
                <w:szCs w:val="18"/>
                <w:color w:val="auto"/>
              </w:rPr>
              <w:t>(303 )</w:t>
            </w:r>
          </w:p>
        </w:tc>
      </w:tr>
      <w:tr>
        <w:trPr>
          <w:trHeight w:val="243"/>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3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(1,452 )</w:t>
            </w: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21"/>
                <w:szCs w:val="21"/>
                <w:color w:val="auto"/>
              </w:rPr>
            </w:pPr>
          </w:p>
        </w:tc>
      </w:tr>
      <w:tr>
        <w:trPr>
          <w:trHeight w:val="232"/>
        </w:trPr>
        <w:tc>
          <w:tcPr>
            <w:tcW w:w="3620" w:type="dxa"/>
            <w:vAlign w:val="bottom"/>
            <w:tcBorders>
              <w:bottom w:val="single" w:sz="8" w:color="CEF0FC"/>
            </w:tcBorders>
            <w:shd w:val="clear" w:color="auto" w:fill="CEF0FC"/>
          </w:tcPr>
          <w:p>
            <w:pPr>
              <w:spacing w:after="0"/>
              <w:rPr>
                <w:sz w:val="20"/>
                <w:szCs w:val="20"/>
                <w:color w:val="auto"/>
              </w:rPr>
            </w:pPr>
          </w:p>
        </w:tc>
        <w:tc>
          <w:tcPr>
            <w:tcW w:w="3120" w:type="dxa"/>
            <w:vAlign w:val="bottom"/>
            <w:tcBorders>
              <w:bottom w:val="single" w:sz="8" w:color="CEF0FC"/>
            </w:tcBorders>
            <w:shd w:val="clear" w:color="auto" w:fill="CEF0FC"/>
          </w:tcPr>
          <w:p>
            <w:pPr>
              <w:spacing w:after="0"/>
              <w:rPr>
                <w:sz w:val="20"/>
                <w:szCs w:val="20"/>
                <w:color w:val="auto"/>
              </w:rPr>
            </w:pPr>
          </w:p>
        </w:tc>
        <w:tc>
          <w:tcPr>
            <w:tcW w:w="480" w:type="dxa"/>
            <w:vAlign w:val="bottom"/>
            <w:tcBorders>
              <w:top w:val="single" w:sz="8" w:color="auto"/>
              <w:bottom w:val="single" w:sz="8" w:color="auto"/>
            </w:tcBorders>
            <w:shd w:val="clear" w:color="auto" w:fill="CEF0FC"/>
          </w:tcPr>
          <w:p>
            <w:pPr>
              <w:spacing w:after="0"/>
              <w:rPr>
                <w:sz w:val="20"/>
                <w:szCs w:val="20"/>
                <w:color w:val="auto"/>
              </w:rPr>
            </w:pPr>
          </w:p>
        </w:tc>
        <w:tc>
          <w:tcPr>
            <w:tcW w:w="1540" w:type="dxa"/>
            <w:vAlign w:val="bottom"/>
            <w:tcBorders>
              <w:top w:val="single" w:sz="8" w:color="auto"/>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Borders>
              <w:bottom w:val="single" w:sz="8" w:color="CEF0FC"/>
            </w:tcBorders>
            <w:shd w:val="clear" w:color="auto" w:fill="CEF0FC"/>
          </w:tcPr>
          <w:p>
            <w:pPr>
              <w:spacing w:after="0"/>
              <w:rPr>
                <w:sz w:val="20"/>
                <w:szCs w:val="20"/>
                <w:color w:val="auto"/>
              </w:rPr>
            </w:pPr>
          </w:p>
        </w:tc>
        <w:tc>
          <w:tcPr>
            <w:tcW w:w="740" w:type="dxa"/>
            <w:vAlign w:val="bottom"/>
            <w:tcBorders>
              <w:top w:val="single" w:sz="8" w:color="auto"/>
              <w:bottom w:val="single" w:sz="8" w:color="auto"/>
            </w:tcBorders>
            <w:shd w:val="clear" w:color="auto" w:fill="CEF0FC"/>
          </w:tcPr>
          <w:p>
            <w:pPr>
              <w:spacing w:after="0"/>
              <w:rPr>
                <w:sz w:val="20"/>
                <w:szCs w:val="20"/>
                <w:color w:val="auto"/>
              </w:rPr>
            </w:pPr>
          </w:p>
        </w:tc>
        <w:tc>
          <w:tcPr>
            <w:tcW w:w="1300" w:type="dxa"/>
            <w:vAlign w:val="bottom"/>
            <w:tcBorders>
              <w:top w:val="single" w:sz="8" w:color="auto"/>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EF0FC"/>
            </w:tcBorders>
            <w:shd w:val="clear" w:color="auto" w:fill="CEF0FC"/>
          </w:tcPr>
          <w:p>
            <w:pPr>
              <w:spacing w:after="0"/>
              <w:rPr>
                <w:sz w:val="20"/>
                <w:szCs w:val="20"/>
                <w:color w:val="auto"/>
              </w:rPr>
            </w:pPr>
          </w:p>
        </w:tc>
      </w:tr>
      <w:tr>
        <w:trPr>
          <w:trHeight w:val="24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w:t>
            </w:r>
          </w:p>
        </w:tc>
        <w:tc>
          <w:tcPr>
            <w:tcW w:w="312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r>
      <w:tr>
        <w:trPr>
          <w:trHeight w:val="20"/>
        </w:trPr>
        <w:tc>
          <w:tcPr>
            <w:tcW w:w="3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620" w:type="dxa"/>
            <w:vAlign w:val="bottom"/>
          </w:tcPr>
          <w:p>
            <w:pPr>
              <w:spacing w:after="0"/>
              <w:rPr>
                <w:sz w:val="24"/>
                <w:szCs w:val="24"/>
                <w:color w:val="auto"/>
              </w:rPr>
            </w:pPr>
          </w:p>
        </w:tc>
        <w:tc>
          <w:tcPr>
            <w:tcW w:w="360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F-14</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62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-668020</wp:posOffset>
            </wp:positionV>
            <wp:extent cx="6858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Company’s effective income tax expense differed from the U.S. corporate statutory income tax rate for the years ended December 31, 2022 and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Tax on income before income taxes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Effect of state taxes (net of federal tax benefit)</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(303 )</w:t>
            </w:r>
          </w:p>
        </w:tc>
        <w:tc>
          <w:tcPr>
            <w:tcW w:w="4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5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(731 )</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(2,801 )</w:t>
            </w:r>
          </w:p>
        </w:tc>
        <w:tc>
          <w:tcPr>
            <w:tcW w:w="4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43"/>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43"/>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Forgiveness of the CARES Act loan</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(456 )</w:t>
            </w:r>
          </w:p>
        </w:tc>
        <w:tc>
          <w:tcPr>
            <w:tcW w:w="4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50"/>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(57 )</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0"/>
        </w:trPr>
        <w:tc>
          <w:tcPr>
            <w:tcW w:w="51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rate change</w:t>
            </w:r>
          </w:p>
        </w:tc>
        <w:tc>
          <w:tcPr>
            <w:tcW w:w="5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(31 )</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(1,452 )</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32"/>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7"/>
        </w:trPr>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Components of deferred tax assets and liabilities consist of the following:</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3"/>
        </w:trPr>
        <w:tc>
          <w:tcPr>
            <w:tcW w:w="20" w:type="dxa"/>
            <w:vAlign w:val="bottom"/>
            <w:shd w:val="clear" w:color="auto" w:fill="CFF0FC"/>
          </w:tcPr>
          <w:p>
            <w:pPr>
              <w:spacing w:after="0"/>
              <w:rPr>
                <w:sz w:val="15"/>
                <w:szCs w:val="15"/>
                <w:color w:val="auto"/>
              </w:rPr>
            </w:pPr>
          </w:p>
        </w:tc>
        <w:tc>
          <w:tcPr>
            <w:tcW w:w="508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42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340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20" w:type="dxa"/>
            <w:vAlign w:val="bottom"/>
          </w:tcPr>
          <w:p>
            <w:pPr>
              <w:spacing w:after="0"/>
              <w:rPr>
                <w:sz w:val="20"/>
                <w:szCs w:val="20"/>
                <w:color w:val="auto"/>
              </w:rPr>
            </w:pPr>
          </w:p>
        </w:tc>
        <w:tc>
          <w:tcPr>
            <w:tcW w:w="13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340" w:type="dxa"/>
            <w:vAlign w:val="bottom"/>
          </w:tcPr>
          <w:p>
            <w:pPr>
              <w:spacing w:after="0"/>
              <w:rPr>
                <w:sz w:val="20"/>
                <w:szCs w:val="20"/>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and accrued expenses and other current liabilities</w:t>
            </w: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(8,033 )</w:t>
            </w: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(9,485 )</w:t>
            </w:r>
          </w:p>
        </w:tc>
        <w:tc>
          <w:tcPr>
            <w:tcW w:w="60" w:type="dxa"/>
            <w:vAlign w:val="bottom"/>
          </w:tcPr>
          <w:p>
            <w:pPr>
              <w:spacing w:after="0"/>
              <w:rPr>
                <w:sz w:val="21"/>
                <w:szCs w:val="21"/>
                <w:color w:val="auto"/>
              </w:rPr>
            </w:pPr>
          </w:p>
        </w:tc>
      </w:tr>
      <w:tr>
        <w:trPr>
          <w:trHeight w:val="232"/>
        </w:trPr>
        <w:tc>
          <w:tcPr>
            <w:tcW w:w="2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400" w:type="dxa"/>
            <w:vAlign w:val="bottom"/>
            <w:tcBorders>
              <w:top w:val="single" w:sz="8" w:color="CFF0FC"/>
            </w:tcBorders>
          </w:tcPr>
          <w:p>
            <w:pPr>
              <w:spacing w:after="0"/>
              <w:rPr>
                <w:sz w:val="20"/>
                <w:szCs w:val="20"/>
                <w:color w:val="auto"/>
              </w:rPr>
            </w:pPr>
          </w:p>
        </w:tc>
        <w:tc>
          <w:tcPr>
            <w:tcW w:w="520" w:type="dxa"/>
            <w:vAlign w:val="bottom"/>
            <w:tcBorders>
              <w:top w:val="single" w:sz="8" w:color="CFF0FC"/>
            </w:tcBorders>
          </w:tcPr>
          <w:p>
            <w:pPr>
              <w:spacing w:after="0"/>
              <w:rPr>
                <w:sz w:val="20"/>
                <w:szCs w:val="20"/>
                <w:color w:val="auto"/>
              </w:rPr>
            </w:pPr>
          </w:p>
        </w:tc>
        <w:tc>
          <w:tcPr>
            <w:tcW w:w="8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34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gridSpan w:val="2"/>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Deferred tax liabilities:</w:t>
            </w:r>
          </w:p>
        </w:tc>
        <w:tc>
          <w:tcPr>
            <w:tcW w:w="34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1"/>
        </w:trPr>
        <w:tc>
          <w:tcPr>
            <w:tcW w:w="51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5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gridSpan w:val="3"/>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-4019550</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-3710940</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-3402330</wp:posOffset>
            </wp:positionV>
            <wp:extent cx="71323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-1293495</wp:posOffset>
            </wp:positionV>
            <wp:extent cx="7747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-976630</wp:posOffset>
            </wp:positionV>
            <wp:extent cx="7747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-350520</wp:posOffset>
            </wp:positionV>
            <wp:extent cx="7747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As of December 31, 2022, the Company had gross federal and state net operating loss carryforwards of $43,346 and $33,112, respectively, which begin to expire in 2036, except that $37,691 of federal net operating loss carryforwards incurred from 2018 to 2022 could be carried forward indefinitely. The Company’s federal net operating losses are not subject to annual Section 382 limitations due to ownership changes that could impact the future realization.</w:t>
      </w:r>
    </w:p>
    <w:p>
      <w:pPr>
        <w:spacing w:after="0" w:line="117"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or all of the deferred tax assets will not be realized. On a periodic basis, management evaluates and determines the amount of valuation allowance required and adjusts such valuation allowance accordingly. Primarily due to cumulative pre-tax losses, management determined a valuation allowance of $8,033 and $9,485 was necessary as of December 31, 2022 and 2021, respectively, to reduce the deferred tax assets to the amount that is more likely than not to be realized. The change in the valuation allowance was a decrease of $1,452 and an increase of $1,902 for the years ended December 31, 2022 and 2021, respectively. The decrease in the valuation allowance in the year ended December 31, 2022 was primarily due to the decrease in gross deferred tax assets arising from share-based compensation, and the increase in the valuation allowance in the year ended December 31, 2021 was primarily due to the change in net operating loss carryforwards.</w:t>
      </w:r>
    </w:p>
    <w:p>
      <w:pPr>
        <w:spacing w:after="0" w:line="15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The Company does not have any unrecognized tax benefits as of December 31, 2022 and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 and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treasury stock</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number of authorized shares of common stock was 200,000,000, with a par value of $0.001 per share, of which, 13,956,404 and 13,488,540 shares of common stock were issued,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there was no treasury stock.</w:t>
      </w:r>
    </w:p>
    <w:p>
      <w:pPr>
        <w:spacing w:after="0" w:line="18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changes in the number of issued shares of common stock and treasury stock was due to the following factors:</w:t>
      </w:r>
    </w:p>
    <w:p>
      <w:pPr>
        <w:spacing w:after="0" w:line="121" w:lineRule="exact"/>
        <w:rPr>
          <w:sz w:val="20"/>
          <w:szCs w:val="20"/>
          <w:color w:val="auto"/>
        </w:rPr>
      </w:pPr>
    </w:p>
    <w:p>
      <w:pPr>
        <w:ind w:left="38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911,698 shares of common stock issued as a result of the vesting of RSUs, of which, an aggregate of 143,400 shares of common stock were withheld to pay withholding taxes upon such vesting, which were reflected in treasury stock, with a cost of $3,327. The treasury stock of 143,400 shares was then retired fully during the year ended December 31, 2021.</w:t>
      </w:r>
    </w:p>
    <w:p>
      <w:pPr>
        <w:spacing w:after="0" w:line="148" w:lineRule="exact"/>
        <w:rPr>
          <w:rFonts w:ascii="Times New Roman" w:cs="Times New Roman" w:eastAsia="Times New Roman" w:hAnsi="Times New Roman"/>
          <w:sz w:val="18"/>
          <w:szCs w:val="18"/>
          <w:color w:val="auto"/>
        </w:rPr>
      </w:pPr>
    </w:p>
    <w:p>
      <w:pPr>
        <w:ind w:left="380" w:right="28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552,915 shares of common stock, with an issuance price of $38.00 per share, were issued in a registered direct offering to certain investors, pursuant to the securities purchase agreements entered into on November 19, 2021. Net proceeds of $20,924 were received in November 2021.</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changes in the number of issued shares of common stock and treasury stock was due to the following factors:</w:t>
      </w:r>
    </w:p>
    <w:p>
      <w:pPr>
        <w:spacing w:after="0" w:line="121" w:lineRule="exact"/>
        <w:rPr>
          <w:sz w:val="20"/>
          <w:szCs w:val="20"/>
          <w:color w:val="auto"/>
        </w:rPr>
      </w:pPr>
    </w:p>
    <w:p>
      <w:pPr>
        <w:ind w:left="380" w:right="20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770,210 shares of common stock issued as a result of the vesting of RSUs, of which, an aggregate of 252,346 shares of common stock were withheld to pay withholding taxes upon such vesting, which were reflected in treasury stock, with a cost of $5,200. The treasury stock of 252,346 shares was then retired fully during the year ended December 31, 2022.</w:t>
      </w:r>
    </w:p>
    <w:p>
      <w:pPr>
        <w:spacing w:after="0" w:line="148" w:lineRule="exact"/>
        <w:rPr>
          <w:rFonts w:ascii="Times New Roman" w:cs="Times New Roman" w:eastAsia="Times New Roman" w:hAnsi="Times New Roman"/>
          <w:sz w:val="18"/>
          <w:szCs w:val="18"/>
          <w:color w:val="auto"/>
        </w:rPr>
      </w:pPr>
    </w:p>
    <w:p>
      <w:pPr>
        <w:ind w:left="380" w:right="60" w:hanging="372"/>
        <w:spacing w:after="0" w:line="25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2022, the board of directors of the Company authorized the repurchase of up to $5.0 million of the Company's common stock from time to time (the “Stock Repurchase Program”). The Stock Repurchase Program does not obligate the Company to repurchase any shares and may be modified, suspended or terminated at any time and for any reason at the discretion of the board of directors. During the year ended December 31, 2022, the Company repurchased 50,000 shares of common stock under the Stock Repurchase Program at a net average price of $17.56 per share, which was reflected in treasury stock, with a cost of $878. The treasury stock of 50,000 shares was then retired fully during the year ended December 31,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10,000,000 shares of preferred stock with par value of $0.001 per share authorized, and there were no shares of preferred stock issued or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 and on May 25, 2022, the Company's stockholders approved an amendment to the 2018 Plan to increase the number of shares of common stock authorized for issuance under the 2018 Plan from 4,500,000 shares to 6,500,000 shares.</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there were 2,289,357 shares of common stock available for future issuance under the 2018 Plan,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ind w:right="480"/>
        <w:spacing w:after="0" w:line="261" w:lineRule="auto"/>
        <w:rPr>
          <w:sz w:val="20"/>
          <w:szCs w:val="20"/>
          <w:color w:val="auto"/>
        </w:rPr>
      </w:pPr>
      <w:r>
        <w:rPr>
          <w:rFonts w:ascii="Times New Roman" w:cs="Times New Roman" w:eastAsia="Times New Roman" w:hAnsi="Times New Roman"/>
          <w:sz w:val="18"/>
          <w:szCs w:val="18"/>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RSUs activity during the years ended December 31, 2022 and 2021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0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60" w:type="dxa"/>
            <w:vAlign w:val="bottom"/>
          </w:tcPr>
          <w:p>
            <w:pPr>
              <w:spacing w:after="0"/>
              <w:rPr>
                <w:sz w:val="13"/>
                <w:szCs w:val="13"/>
                <w:color w:val="auto"/>
              </w:rPr>
            </w:pPr>
          </w:p>
        </w:tc>
        <w:tc>
          <w:tcPr>
            <w:tcW w:w="16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2020</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1,764,450</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506,850</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(768,298 )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Vested not delivered</w:t>
            </w:r>
            <w:r>
              <w:rPr>
                <w:rFonts w:ascii="Times New Roman" w:cs="Times New Roman" w:eastAsia="Times New Roman" w:hAnsi="Times New Roman"/>
                <w:sz w:val="24"/>
                <w:szCs w:val="24"/>
                <w:color w:val="auto"/>
                <w:vertAlign w:val="superscript"/>
              </w:rPr>
              <w:t>(3)</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(10,750 )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(41,899 )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1,306,953</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561,100</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(517,864 )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(252,346 )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Vested not delivered</w:t>
            </w:r>
            <w:r>
              <w:rPr>
                <w:rFonts w:ascii="Times New Roman" w:cs="Times New Roman" w:eastAsia="Times New Roman" w:hAnsi="Times New Roman"/>
                <w:sz w:val="24"/>
                <w:szCs w:val="24"/>
                <w:color w:val="auto"/>
                <w:vertAlign w:val="superscript"/>
              </w:rPr>
              <w:t>(3)</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(8,716 )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(44,995 )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1,044,132</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380" w:right="40" w:hanging="372"/>
        <w:spacing w:after="0" w:line="258"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in addition to 120,000 RSUs with Criteria Four as discussed below, the Company granted an aggregate of 386,850 RSUs to certain employees and members of the Company's board of directors at grant date fair values ranging from $20.28 to $38.81 per share, with a vesting period ranging from one to four years. For the year ended December 31, 2022, the Company granted an aggregate of 561,100 RSUs to certain employees and members of the Company's board of directors at grant date fair values ranging from $16.00 to $28.75 per share, with a vesting period ranging from two to four years.</w:t>
      </w:r>
    </w:p>
    <w:p>
      <w:pPr>
        <w:spacing w:after="0" w:line="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as treasury stock represents shares withheld to pay statutory taxes upon the vesting of RSUs. Refer to Note 9 for details.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not delivered represents RSUs that have been vested but the delivery of the common stock underlying such RSUs were deferred.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certain grants of RSUs with both time- and performance-based conditions. Details of such grants of RSUs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w w:val="97"/>
              </w:rPr>
              <w:t>Amortization of share-based compensation</w:t>
            </w:r>
          </w:p>
        </w:tc>
        <w:tc>
          <w:tcPr>
            <w:tcW w:w="100" w:type="dxa"/>
            <w:vAlign w:val="bottom"/>
          </w:tcPr>
          <w:p>
            <w:pPr>
              <w:spacing w:after="0"/>
              <w:rPr>
                <w:sz w:val="14"/>
                <w:szCs w:val="14"/>
                <w:color w:val="auto"/>
              </w:rPr>
            </w:pPr>
          </w:p>
        </w:tc>
      </w:tr>
      <w:tr>
        <w:trPr>
          <w:trHeight w:val="155"/>
        </w:trPr>
        <w:tc>
          <w:tcPr>
            <w:tcW w:w="1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RSU grants with</w:t>
            </w: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w w:val="95"/>
              </w:rPr>
              <w:t>grant-date</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Pr>
          <w:p>
            <w:pPr>
              <w:spacing w:after="0"/>
              <w:rPr>
                <w:sz w:val="13"/>
                <w:szCs w:val="13"/>
                <w:color w:val="auto"/>
              </w:rPr>
            </w:pPr>
          </w:p>
        </w:tc>
      </w:tr>
      <w:tr>
        <w:trPr>
          <w:trHeight w:val="155"/>
        </w:trPr>
        <w:tc>
          <w:tcPr>
            <w:tcW w:w="1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criteria</w:t>
            </w:r>
          </w:p>
        </w:tc>
        <w:tc>
          <w:tcPr>
            <w:tcW w:w="120" w:type="dxa"/>
            <w:vAlign w:val="bottom"/>
          </w:tcPr>
          <w:p>
            <w:pPr>
              <w:spacing w:after="0"/>
              <w:rPr>
                <w:sz w:val="13"/>
                <w:szCs w:val="13"/>
                <w:color w:val="auto"/>
              </w:rPr>
            </w:pPr>
          </w:p>
        </w:tc>
        <w:tc>
          <w:tcPr>
            <w:tcW w:w="2060" w:type="dxa"/>
            <w:vAlign w:val="bottom"/>
          </w:tcPr>
          <w:p>
            <w:pPr>
              <w:jc w:val="right"/>
              <w:ind w:right="648"/>
              <w:spacing w:after="0"/>
              <w:rPr>
                <w:sz w:val="20"/>
                <w:szCs w:val="20"/>
                <w:color w:val="auto"/>
              </w:rPr>
            </w:pPr>
            <w:r>
              <w:rPr>
                <w:rFonts w:ascii="Times New Roman" w:cs="Times New Roman" w:eastAsia="Times New Roman" w:hAnsi="Times New Roman"/>
                <w:sz w:val="13"/>
                <w:szCs w:val="13"/>
                <w:b w:val="1"/>
                <w:bCs w:val="1"/>
                <w:color w:val="auto"/>
              </w:rPr>
              <w:t>Grant dates</w:t>
            </w:r>
          </w:p>
        </w:tc>
        <w:tc>
          <w:tcPr>
            <w:tcW w:w="100" w:type="dxa"/>
            <w:vAlign w:val="bottom"/>
          </w:tcPr>
          <w:p>
            <w:pPr>
              <w:spacing w:after="0"/>
              <w:rPr>
                <w:sz w:val="13"/>
                <w:szCs w:val="13"/>
                <w:color w:val="auto"/>
              </w:rPr>
            </w:pPr>
          </w:p>
        </w:tc>
        <w:tc>
          <w:tcPr>
            <w:tcW w:w="1260" w:type="dxa"/>
            <w:vAlign w:val="bottom"/>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of units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22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Vesting period</w:t>
            </w:r>
          </w:p>
        </w:tc>
        <w:tc>
          <w:tcPr>
            <w:tcW w:w="120" w:type="dxa"/>
            <w:vAlign w:val="bottom"/>
          </w:tcPr>
          <w:p>
            <w:pPr>
              <w:spacing w:after="0"/>
              <w:rPr>
                <w:sz w:val="13"/>
                <w:szCs w:val="13"/>
                <w:color w:val="auto"/>
              </w:rPr>
            </w:pPr>
          </w:p>
        </w:tc>
        <w:tc>
          <w:tcPr>
            <w:tcW w:w="1060" w:type="dxa"/>
            <w:vAlign w:val="bottom"/>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223"/>
        </w:trPr>
        <w:tc>
          <w:tcPr>
            <w:tcW w:w="1540" w:type="dxa"/>
            <w:vAlign w:val="bottom"/>
            <w:tcBorders>
              <w:top w:val="single" w:sz="8" w:color="auto"/>
            </w:tcBorders>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Criteria One</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9/5/2018 - 1/16/2019</w:t>
            </w:r>
          </w:p>
        </w:tc>
        <w:tc>
          <w:tcPr>
            <w:tcW w:w="100" w:type="dxa"/>
            <w:vAlign w:val="bottom"/>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1,577,500</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22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years</w:t>
            </w: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shd w:val="clear" w:color="auto" w:fill="CFF0FC"/>
          </w:tcPr>
          <w:p>
            <w:pPr>
              <w:spacing w:after="0"/>
              <w:rPr>
                <w:sz w:val="19"/>
                <w:szCs w:val="19"/>
                <w:color w:val="auto"/>
              </w:rPr>
            </w:pPr>
          </w:p>
        </w:tc>
      </w:tr>
      <w:tr>
        <w:trPr>
          <w:trHeight w:val="230"/>
        </w:trPr>
        <w:tc>
          <w:tcPr>
            <w:tcW w:w="1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Criteria Two</w:t>
            </w:r>
            <w:r>
              <w:rPr>
                <w:rFonts w:ascii="Times New Roman" w:cs="Times New Roman" w:eastAsia="Times New Roman" w:hAnsi="Times New Roman"/>
                <w:sz w:val="21"/>
                <w:szCs w:val="21"/>
                <w:color w:val="auto"/>
                <w:vertAlign w:val="superscript"/>
              </w:rPr>
              <w:t>(2)</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8/28/2019 - 9/8/2020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277,500</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220" w:type="dxa"/>
            <w:vAlign w:val="bottom"/>
          </w:tcPr>
          <w:p>
            <w:pPr>
              <w:spacing w:after="0"/>
              <w:rPr>
                <w:sz w:val="19"/>
                <w:szCs w:val="19"/>
                <w:color w:val="auto"/>
              </w:rPr>
            </w:pPr>
          </w:p>
        </w:tc>
        <w:tc>
          <w:tcPr>
            <w:tcW w:w="15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3-4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9"/>
                <w:szCs w:val="19"/>
                <w:color w:val="auto"/>
              </w:rPr>
            </w:pPr>
          </w:p>
        </w:tc>
      </w:tr>
      <w:tr>
        <w:trPr>
          <w:trHeight w:val="230"/>
        </w:trPr>
        <w:tc>
          <w:tcPr>
            <w:tcW w:w="154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Criteria Three</w:t>
            </w:r>
            <w:r>
              <w:rPr>
                <w:rFonts w:ascii="Times New Roman" w:cs="Times New Roman" w:eastAsia="Times New Roman" w:hAnsi="Times New Roman"/>
                <w:sz w:val="21"/>
                <w:szCs w:val="21"/>
                <w:color w:val="auto"/>
                <w:vertAlign w:val="superscript"/>
              </w:rPr>
              <w:t>(3)</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8/28/2019 - 11/20/2020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455,000</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 years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shd w:val="clear" w:color="auto" w:fill="CFF0FC"/>
          </w:tcPr>
          <w:p>
            <w:pPr>
              <w:spacing w:after="0"/>
              <w:rPr>
                <w:sz w:val="19"/>
                <w:szCs w:val="19"/>
                <w:color w:val="auto"/>
              </w:rPr>
            </w:pPr>
          </w:p>
        </w:tc>
      </w:tr>
      <w:tr>
        <w:trPr>
          <w:trHeight w:val="230"/>
        </w:trPr>
        <w:tc>
          <w:tcPr>
            <w:tcW w:w="1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Criteria Four</w:t>
            </w:r>
            <w:r>
              <w:rPr>
                <w:rFonts w:ascii="Times New Roman" w:cs="Times New Roman" w:eastAsia="Times New Roman" w:hAnsi="Times New Roman"/>
                <w:sz w:val="21"/>
                <w:szCs w:val="21"/>
                <w:color w:val="auto"/>
                <w:vertAlign w:val="superscript"/>
              </w:rPr>
              <w:t>(4)</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7/30/2021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20" w:type="dxa"/>
            <w:vAlign w:val="bottom"/>
          </w:tcPr>
          <w:p>
            <w:pPr>
              <w:spacing w:after="0"/>
              <w:rPr>
                <w:sz w:val="19"/>
                <w:szCs w:val="19"/>
                <w:color w:val="auto"/>
              </w:rPr>
            </w:pPr>
          </w:p>
        </w:tc>
        <w:tc>
          <w:tcPr>
            <w:tcW w:w="15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5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56"/>
        </w:trPr>
        <w:tc>
          <w:tcPr>
            <w:tcW w:w="15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2,430,000</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spacing w:after="0"/>
              <w:rPr>
                <w:sz w:val="22"/>
                <w:szCs w:val="22"/>
                <w:color w:val="auto"/>
              </w:rPr>
            </w:pPr>
          </w:p>
        </w:tc>
        <w:tc>
          <w:tcPr>
            <w:tcW w:w="1680" w:type="dxa"/>
            <w:vAlign w:val="bottom"/>
            <w:tcBorders>
              <w:bottom w:val="single" w:sz="8" w:color="CFF0FC"/>
            </w:tcBorders>
            <w:gridSpan w:val="3"/>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380" w:right="60" w:hanging="372"/>
        <w:spacing w:after="0" w:line="254"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RSU grants shall not vest unless and until the Company has, for any fiscal quarter in which the RSUs are outstanding, (i) gross revenue determined in accordance with the Company’s reviewed or audited financial statements in excess of $7.0 million for such fiscal quarter, (ii) positive adjusted EBITDA, as determined based on amounts derived from the Company’s reviewed or audited financial statements for such fiscal quarter, and (iii) the participant continues to provide services to the Company either as an employee, director or consultant on the last day of the quarter that the performance criteria are met. Provided the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performance criteria have not been met. As of June 30, 2019, the Company determined that the Criteria One was met. As of December 31, 2022, all shares underlying such awards have vested and been issued in accordance with their time-based vesting requirement.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ind w:left="380" w:right="80" w:hanging="372"/>
        <w:spacing w:after="0" w:line="253"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RSU grants shall not vest unless and until the Company has, for any fiscal quarter in which the RSUs are outstanding, (i) gross revenue determined in accordance with the Company’s reviewed or audited financial statements in excess of $10.0 million for such fiscal quarter, (ii) positive adjusted EBITDA of at least $1.5 million, as determined based on amounts derived from the Company’s reviewed or audited financial statements for such fiscal quarter, and (iii) the recipient continues to provide services to the Company either as an employee, director or consultant on the last day of the quarter that the performance criteria are met. Provided the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performance criteria have not been met. As of the respective grant dates, the Company determined that it was probable that the Criteria Two would be met and therefore, began to record the related amortization expense on the grant dates. The Company determined that Criteria Two was met as of March 31, 2021. As of December 31, 2022, the remaining 10,249 shares underlying such awards are expected to vest and be issued in accordance with their time-based vesting requirement.</w:t>
      </w:r>
    </w:p>
    <w:p>
      <w:pPr>
        <w:spacing w:after="0" w:line="167" w:lineRule="exact"/>
        <w:rPr>
          <w:rFonts w:ascii="Times New Roman" w:cs="Times New Roman" w:eastAsia="Times New Roman" w:hAnsi="Times New Roman"/>
          <w:sz w:val="18"/>
          <w:szCs w:val="18"/>
          <w:color w:val="auto"/>
        </w:rPr>
      </w:pPr>
    </w:p>
    <w:p>
      <w:pPr>
        <w:ind w:left="380" w:right="20" w:hanging="372"/>
        <w:spacing w:after="0" w:line="253"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RSU grants shall not vest unless and until the Company has, for any fiscal quarter in which the RSUs are outstanding, (i) gross revenue determined in accordance with the Company’s reviewed or audited financial statements in excess of $12.5 million for such fiscal quarter, (ii) positive adjusted EBITDA of at least $2.0 million, as determined based on amounts derived from the Company’s reviewed or audited financial statements for such fiscal quarter, and the recipient continues to provide services to the Company either as an employee, director or consultant on the last day of the quarter that the performance criteria are met. Provided the respective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performance criteria have not been met. As of the respective grant dates, the Company determined that it was probable that the Criteria Three would be met and therefore, began to record the related amortization expense on the grant dates. The Company determined that the performance criteria were met as of March 31, 2022. As of December 31, 2022, the remaining 10,000 shares underlying such awards are expected to vest and be issued in accordance with their time-based vesting requirement.</w:t>
      </w:r>
    </w:p>
    <w:p>
      <w:pPr>
        <w:spacing w:after="0" w:line="153" w:lineRule="exact"/>
        <w:rPr>
          <w:rFonts w:ascii="Times New Roman" w:cs="Times New Roman" w:eastAsia="Times New Roman" w:hAnsi="Times New Roman"/>
          <w:sz w:val="18"/>
          <w:szCs w:val="18"/>
          <w:color w:val="auto"/>
        </w:rPr>
      </w:pPr>
    </w:p>
    <w:p>
      <w:pPr>
        <w:ind w:left="380" w:right="120" w:hanging="372"/>
        <w:spacing w:after="0" w:line="25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the Company granted 120,000 RSUs, subject to performance-based requirements, to one non-executive employee, which was subsequently modified on November 7, 2022, with a fair value of $15.13 per share as of the modification date. Such RSU grants shall not vest unless and until the Company has achieved certain revenue for a portion of its business prior to the achievement date deadline for each performance milestone. No amortization of share-based compensation expense has been recognized for these RSUs, because, as of December 31, 2022, the Company determined that it is not probable that such performance criteria will be met. The 120,000 RSUs were included in "Unvested as of December 31, 2022" with a fair value of $15.13 per share.</w:t>
      </w:r>
    </w:p>
    <w:p>
      <w:pPr>
        <w:spacing w:after="0" w:line="14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2022, unrecognized share-based compensation expense associated with the granted RSUs amounted to $17,848, which is expected to be recognized over a weighted average period of 2.5 years.</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consolidated financial statements for the years ended December 31,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FF0FC"/>
          </w:tcPr>
          <w:p>
            <w:pPr>
              <w:spacing w:after="0"/>
              <w:rPr>
                <w:sz w:val="20"/>
                <w:szCs w:val="20"/>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28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tcPr>
          <w:p>
            <w:pPr>
              <w:spacing w:after="0"/>
              <w:rPr>
                <w:sz w:val="21"/>
                <w:szCs w:val="21"/>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shd w:val="clear" w:color="auto" w:fill="CFF0FC"/>
          </w:tcPr>
          <w:p>
            <w:pPr>
              <w:spacing w:after="0"/>
              <w:rPr>
                <w:sz w:val="20"/>
                <w:szCs w:val="20"/>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8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r>
      <w:tr>
        <w:trPr>
          <w:trHeight w:val="27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18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August 7, 2018, the Company entered into a services agreement (the “Services Agreement”) with Mr. Michael Brauser (the “Consultant”), a greater than 10% stockholder, pursuant to which, the Consultant received cash compensation of $30 per month and was entitled to participate in the Company’s incentive compensation plan. The Services Agreement terminated on August 6, 2021, as further detailed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1" w:name="page62"/>
    <w:bookmarkEnd w:id="61"/>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16, 2021, the Company entered into a Separation Agreement (the "Separation Agreement") with the Consultant. Pursuant to the Separation Agreement, the parties agreed that the Services Agreement which expired on August 6, 2021 (“Expiration Date”), would not be renewed, but would continue in force and effect until the Expiration Date. As part of the Separation Agreement, the Consultant agreed (i) to certain non-solicitation obligations contained therein, (ii) that he and his affiliates would not disparage or assist or cooperate with any person or entity seeking to publicly disparage or economically harm the Company, (iii) that the Consultant and his affiliates would not initiate any lawsuit, claim, or proceeding with respect to any claims against the Company, except (with designated exceptions) for any legal proceeding initiated solely to remedy a breach of or to enforce the Separation Agreement, and (iv) with respect to each annual or special meeting of the Company's stockholders until the Expiration Date of the Separation Agreement, the Consultant agreed to vote the shares of the Company's common stock or any other securities entitled to vote then held by him or his affiliates in accordance with the board of directors' recommendations on director proposals (subject to certain board of directors change thresholds), and the ratification of the appointment of the Company’s independent registered public accounting firm.</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agreed (i) that the remaining unvested 166,666 RSUs previously granted to Consultant in accordance with the 2018 RSU agreement would continue to vest on July 1, 2021, in accordance with and subject to all other provisions and conditions of such grant, (ii) to amend the 2020 RSU agreement, previously granting Consultant 30,000 RSUs such that the 30,000 RSUs would continue to vest 33-1/3% on November 1, 2021, 66-2/3% on November 1, 2022, and 100% on November 1, 2023, without certain Company performance criteria, subject to all other provisions and conditions of such grant, (iii) to include shares of the Company's common stock held by the Consultant or his affiliates in any registration statement the Company files for the benefit of selling stockholders at any time when the Consultant or his affiliates beneficially own 10% or more of the Company's common stock, and (iv) to not initiate any lawsuit, claim, or proceeding with respect to any claims against the Consultant and his affiliates, except (with designated exceptions) for any legal proceeding initiated solely to remedy a breach of or to enforce the Separation Agreement. As a result of the modification to the 2020 RSU agreement, beginning February 16, 2021, the Company recognized an aggregate of $723 in share-based compensation expense over the remaining service period which ended on the Expiration Date.</w:t>
      </w:r>
    </w:p>
    <w:p>
      <w:pPr>
        <w:spacing w:after="0" w:line="1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recognized consulting service fees relating to the Services Agreement of a total of $216 during the year ended December 31, 2021. In addition, amortization of share-based compensation expense of $1,432 (inclusive of $723 in relation with the modification of RSUs above) for the year ended December 31, 2021, was recognized in relation to the RSUs previously granted to the Consultant. There were no such expenses recognized during the year ended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non-cancelable 89-month operating lease agreement as amended and effective in January 2017, with an option to extend for an additional 60 months.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and 2021, a summary of the Company’s lease information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9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4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4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There were no additional right-of-use assets obtained in exchange for operating lease liabilities during the years ended December 31, 2022 and 2021. The Company used 8.0%, its estimated incremental borrowing rate for similar secured assets, as the discount rate for the above-mentioned leases to determine the present value of the lease payments because the implicit rate in each lease is not readily determinable. The discount rate was calculated on the basis of information available as of January 1, 2019, the application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weighted average remaining operating lease term was 1.9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As of December 31, 2022, scheduled future maturities and present value of the operating lease liabilities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included in condensed consolidated balance sheet:</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Difference between the maturities and the present value of operating lease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incurred data costs of $9,171 and $8,481 for the years ended December 31, 2022 and 2021, respectively, under certain data licensing agreements. As of December 31, 2022, future material capital commitments under certain data licensing agreements were $27,162, shown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9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7"/>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00" w:type="dxa"/>
            <w:vAlign w:val="bottom"/>
            <w:shd w:val="clear" w:color="auto" w:fill="CFF0FC"/>
          </w:tcPr>
          <w:p>
            <w:pPr>
              <w:spacing w:after="0"/>
              <w:rPr>
                <w:sz w:val="20"/>
                <w:szCs w:val="20"/>
                <w:color w:val="auto"/>
              </w:rPr>
            </w:pPr>
          </w:p>
        </w:tc>
      </w:tr>
      <w:tr>
        <w:trPr>
          <w:trHeight w:val="23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20"/>
                <w:szCs w:val="20"/>
                <w:color w:val="auto"/>
              </w:rPr>
            </w:pPr>
          </w:p>
        </w:tc>
      </w:tr>
      <w:tr>
        <w:trPr>
          <w:trHeight w:val="276"/>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Employment agreements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certain executives, mainly including its Chief Executive Officer, President, Chief Financial Officer and Chief Information Officer, which provide for compensation and certain other benefits and for severance payments under certain circumstances.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Contingency</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4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Covid-19 update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2020, the Company experienced significantly reduced commercial activity in numerous aspects of its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and 2022, the Company saw ongoing improvement in its results of operations, with the exception of the Company's idiVERIFIED service, which is an ancillary collections market offering that is purely transactional and of a lower margin profile. At this time, the Company cannot estimate if, or when, its idiVERIFIED service volume will return to pre-Covid levels.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spacing w:after="0" w:line="255" w:lineRule="auto"/>
        <w:rPr>
          <w:sz w:val="20"/>
          <w:szCs w:val="20"/>
          <w:color w:val="auto"/>
        </w:rPr>
      </w:pPr>
      <w:r>
        <w:rPr>
          <w:rFonts w:ascii="Times New Roman" w:cs="Times New Roman" w:eastAsia="Times New Roman" w:hAnsi="Times New Roman"/>
          <w:sz w:val="18"/>
          <w:szCs w:val="18"/>
          <w:color w:val="auto"/>
        </w:rPr>
        <w:t>To further support the Company’s liquidity, beginning April 1, 2020, the Company elected, under Section 2302 of the Coronavirus Aid, Relief, and Economic Security Act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The Company paid 50% of the deferred amount in December 2021 and the remainder in December 2022, as required. On May 5, 2020, the Company received funding under a promissory note dated May 5, 2020 evidencing an unsecured non-recourse loan under the CARES Act, which was fully forgiven by Legacy Bank of Florida and the U.S. Small Business Administration in June 2021, resulting in a gain on extinguishment of debt of $2,175 during the year ended December 31, 2021.</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678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378"/>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05"/>
        </w:trPr>
        <w:tc>
          <w:tcPr>
            <w:tcW w:w="44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IDI Holdings, LLC</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Interactive Data,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 Violet Technologies,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IDI Verified,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Forewarn,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 Violet Blockchain and Analytical Solutions,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Whoodle, LLC</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HolSol, LLC</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992"/>
        </w:trPr>
        <w:tc>
          <w:tcPr>
            <w:tcW w:w="4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issued our report dated March 8, 2023, with respect to the consolidated financial statements included in the Annual Report of Red Violet, Inc. on Form 10-K for the year ended December 31, 2022. We consent to the incorporation by reference of said report in the Registration Statements of Red Violet, Inc. on Form S-8 (File No. 333-224147, File No. 333-238947 and File No. 333-265289).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25" w:lineRule="exact"/>
        <w:rPr>
          <w:sz w:val="20"/>
          <w:szCs w:val="20"/>
          <w:color w:val="auto"/>
        </w:rPr>
      </w:pPr>
    </w:p>
    <w:p>
      <w:pPr>
        <w:ind w:left="900" w:hanging="35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Red Violet, Inc.;</w:t>
      </w:r>
    </w:p>
    <w:p>
      <w:pPr>
        <w:spacing w:after="0" w:line="22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100" w:hanging="479"/>
        <w:spacing w:after="0" w:line="282"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60" w:hanging="479"/>
        <w:spacing w:after="0" w:line="266"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3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160" w:hanging="514"/>
        <w:spacing w:after="0" w:line="266" w:lineRule="auto"/>
        <w:tabs>
          <w:tab w:leader="none" w:pos="13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20" w:hanging="479"/>
        <w:spacing w:after="0" w:line="312" w:lineRule="auto"/>
        <w:tabs>
          <w:tab w:leader="none" w:pos="89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40" w:right="380" w:hanging="514"/>
        <w:spacing w:after="0" w:line="312" w:lineRule="auto"/>
        <w:tabs>
          <w:tab w:leader="none" w:pos="139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540" w:right="60" w:hanging="514"/>
        <w:spacing w:after="0" w:line="282" w:lineRule="auto"/>
        <w:tabs>
          <w:tab w:leader="none" w:pos="13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March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154305</wp:posOffset>
            </wp:positionV>
            <wp:extent cx="25628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Derek Dubner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25" w:lineRule="exact"/>
        <w:rPr>
          <w:sz w:val="20"/>
          <w:szCs w:val="20"/>
          <w:color w:val="auto"/>
        </w:rPr>
      </w:pPr>
    </w:p>
    <w:p>
      <w:pPr>
        <w:ind w:left="900" w:hanging="35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Red Violet, Inc.;</w:t>
      </w:r>
    </w:p>
    <w:p>
      <w:pPr>
        <w:spacing w:after="0" w:line="22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100" w:hanging="479"/>
        <w:spacing w:after="0" w:line="282"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60" w:hanging="479"/>
        <w:spacing w:after="0" w:line="266"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3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160" w:hanging="514"/>
        <w:spacing w:after="0" w:line="266" w:lineRule="auto"/>
        <w:tabs>
          <w:tab w:leader="none" w:pos="13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20" w:hanging="479"/>
        <w:spacing w:after="0" w:line="312" w:lineRule="auto"/>
        <w:tabs>
          <w:tab w:leader="none" w:pos="89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40" w:right="380" w:hanging="514"/>
        <w:spacing w:after="0" w:line="312" w:lineRule="auto"/>
        <w:tabs>
          <w:tab w:leader="none" w:pos="139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540" w:right="60" w:hanging="514"/>
        <w:spacing w:after="0" w:line="282" w:lineRule="auto"/>
        <w:tabs>
          <w:tab w:leader="none" w:pos="13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March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Red Violet, Inc. for the fiscal year ended December 31, 2022, as filed with the U.S. Securities and Exchange Commission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900" w:hanging="35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140" w:hanging="479"/>
        <w:spacing w:after="0" w:line="282"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0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March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Derek Dubner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Red Violet, Inc. for the fiscal year ended December 31, 2022, as filed with the U.S. Securities and Exchange Commission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900" w:hanging="35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140" w:hanging="479"/>
        <w:spacing w:after="0" w:line="282"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02"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March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7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Letter"/>
      <w:start w:val="17"/>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118" Type="http://schemas.openxmlformats.org/officeDocument/2006/relationships/hyperlink" Target="https://www.sec.gov/Archives/edgar/data/1720116/000119312518062230/d528710dex21.htm" TargetMode="External"/><Relationship Id="rId119" Type="http://schemas.openxmlformats.org/officeDocument/2006/relationships/hyperlink" Target="https://www.sec.gov/Archives/edgar/data/1720116/000119312518097860/d559011dex31.htm" TargetMode="External"/><Relationship Id="rId120" Type="http://schemas.openxmlformats.org/officeDocument/2006/relationships/hyperlink" Target="https://www.sec.gov/Archives/edgar/data/1720116/000119312518097860/d559011dex32.htm" TargetMode="External"/><Relationship Id="rId121" Type="http://schemas.openxmlformats.org/officeDocument/2006/relationships/hyperlink" Target="https://www.sec.gov/Archives/edgar/data/0001720116/000156459020010508/rdvt-ex41_144.htm" TargetMode="External"/><Relationship Id="rId122" Type="http://schemas.openxmlformats.org/officeDocument/2006/relationships/hyperlink" Target="https://www.sec.gov/Archives/edgar/data/1720116/000119312518062230/d528710dex102.htm" TargetMode="External"/><Relationship Id="rId123" Type="http://schemas.openxmlformats.org/officeDocument/2006/relationships/hyperlink" Target="https://www.sec.gov/Archives/edgar/data/1720116/000119312518097860/d559011dex102.htm" TargetMode="External"/><Relationship Id="rId124" Type="http://schemas.openxmlformats.org/officeDocument/2006/relationships/hyperlink" Target="https://www.sec.gov/Archives/edgar/data/1720116/000119312518097860/d559011dex103.htm" TargetMode="External"/><Relationship Id="rId125" Type="http://schemas.openxmlformats.org/officeDocument/2006/relationships/hyperlink" Target="https://www.sec.gov/Archives/edgar/data/1720116/000119312518097860/d559011dex104.htm" TargetMode="External"/><Relationship Id="rId126" Type="http://schemas.openxmlformats.org/officeDocument/2006/relationships/hyperlink" Target="https://www.sec.gov/Archives/edgar/data/1720116/000119312518097860/d559011dex105.htm" TargetMode="External"/><Relationship Id="rId127" Type="http://schemas.openxmlformats.org/officeDocument/2006/relationships/hyperlink" Target="https://www.sec.gov/Archives/edgar/data/1720116/000119312518097860/d559011dex106.htm" TargetMode="External"/><Relationship Id="rId128" Type="http://schemas.openxmlformats.org/officeDocument/2006/relationships/hyperlink" Target="https://www.sec.gov/Archives/edgar/data/1720116/000156459018020212/rdvt-ex101_136.htm" TargetMode="External"/><Relationship Id="rId129" Type="http://schemas.openxmlformats.org/officeDocument/2006/relationships/hyperlink" Target="https://www.sec.gov/Archives/edgar/data/1720116/000156459018028035/rdvt-ex102_85.htm" TargetMode="External"/><Relationship Id="rId130" Type="http://schemas.openxmlformats.org/officeDocument/2006/relationships/hyperlink" Target="https://www.sec.gov/Archives/edgar/data/1720116/000156459019028779/rdvt-ex101_12.htm" TargetMode="External"/><Relationship Id="rId131" Type="http://schemas.openxmlformats.org/officeDocument/2006/relationships/hyperlink" Target="https://www.sec.gov/Archives/edgar/data/1720116/000156459020010508/rdvt-ex1013_193.htm" TargetMode="External"/><Relationship Id="rId132" Type="http://schemas.openxmlformats.org/officeDocument/2006/relationships/hyperlink" Target="https://www.sec.gov/Archives/edgar/data/1720116/000156459020028399/rdvt-ex101_6.htm" TargetMode="External"/><Relationship Id="rId133" Type="http://schemas.openxmlformats.org/officeDocument/2006/relationships/hyperlink" Target="https://www.sec.gov/Archives/edgar/data/1720116/000156459021006204/rdvt-ex101_6.htm" TargetMode="External"/><Relationship Id="rId134" Type="http://schemas.openxmlformats.org/officeDocument/2006/relationships/hyperlink" Target="https://www.sec.gov/Archives/edgar/data/0001720116/000156459021012098/rdvt-ex1015_19.htm" TargetMode="External"/><Relationship Id="rId135" Type="http://schemas.openxmlformats.org/officeDocument/2006/relationships/hyperlink" Target="https://www.sec.gov/Archives/edgar/data/0001720116/000156459021012098/rdvt-ex1016_18.htm" TargetMode="External"/><Relationship Id="rId136" Type="http://schemas.openxmlformats.org/officeDocument/2006/relationships/hyperlink" Target="https://www.sec.gov/Archives/edgar/data/0001720116/000156459021012098/rdvt-ex1017_16.htm" TargetMode="External"/><Relationship Id="rId137" Type="http://schemas.openxmlformats.org/officeDocument/2006/relationships/hyperlink" Target="https://www.sec.gov/Archives/edgar/data/0001720116/000156459021012098/rdvt-ex1018_17.htm" TargetMode="External"/><Relationship Id="rId138" Type="http://schemas.openxmlformats.org/officeDocument/2006/relationships/hyperlink" Target="https://www.sec.gov/Archives/edgar/data/0001720116/000095017021004778/rdvt-ex10_1.htm" TargetMode="External"/><Relationship Id="rId139" Type="http://schemas.openxmlformats.org/officeDocument/2006/relationships/hyperlink" Target="https://www.sec.gov/Archives/edgar/data/1720116/000095017022010778/rdv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2023-03-08T16:38:37Z</dcterms:created>
  <dcterms:modified xsi:type="dcterms:W3CDTF">2023-03-08T16:38:37Z</dcterms:modified>
</cp:coreProperties>
</file>