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Red Violet,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Joshua B. Weingard</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2650 North Military Trail, Suite 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Boca Raton, FL, 33431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561-757-4000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Dubner Derek</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504,420.00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504,420.00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504,420.00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3.6 %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Includes 504,420 shares of common stock of Red Violet, Inc. held directly by Derek Dubner. Calculated using</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14,108,921 shares of common stock of Red Violet, Inc. outstanding as of April 30, 2026, as reported on the</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Quarterly Report on Form 10-Q filed by Red Violet, Inc. with the Securities and Exchange Commission (the</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on May 6,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MacLachlan Daniel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306,049.00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306,049.00</w:t>
            </w: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10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306,049.00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10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w w:val="98"/>
              </w:rPr>
              <w:t>Includes 305,583 shares of common stock of Red Violet, Inc. held directly by Daniel MacLachlan and 466 shares of</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common stock of Red Violet, Inc. held by an IRA. Calculated using 14,108,921 shares of common stock of Red</w:t>
            </w:r>
          </w:p>
        </w:tc>
        <w:tc>
          <w:tcPr>
            <w:tcW w:w="0" w:type="dxa"/>
            <w:vAlign w:val="bottom"/>
          </w:tcPr>
          <w:p>
            <w:pPr>
              <w:spacing w:after="0"/>
              <w:rPr>
                <w:sz w:val="1"/>
                <w:szCs w:val="1"/>
                <w:color w:val="auto"/>
              </w:rPr>
            </w:pP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w w:val="98"/>
              </w:rPr>
              <w:t>Violet, Inc. outstanding as of April 30, 2026, as reported on the Quarterly Report on Form 10-Q filed by Red Violet,</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Inc. with the SEC on May 6,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Reilly James Patrick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179,498.00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179,498.00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179,498.00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1.3 %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Includes 179,498 shares of common stock of Red Violet, Inc. held directly by James Patrick Reilly. Calculated</w:t>
      </w:r>
    </w:p>
    <w:tbl>
      <w:tblPr>
        <w:tblLayout w:type="fixed"/>
        <w:tblInd w:w="0" w:type="dxa"/>
        <w:tblCellMar>
          <w:top w:w="0" w:type="dxa"/>
          <w:left w:w="0" w:type="dxa"/>
          <w:bottom w:w="0" w:type="dxa"/>
          <w:right w:w="0" w:type="dxa"/>
        </w:tblCellMar>
      </w:tblPr>
      <w:tr>
        <w:trPr>
          <w:trHeight w:val="210"/>
        </w:trPr>
        <w:tc>
          <w:tcPr>
            <w:tcW w:w="108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60" w:type="dxa"/>
            <w:vAlign w:val="bottom"/>
          </w:tcPr>
          <w:p>
            <w:pPr>
              <w:ind w:left="220"/>
              <w:spacing w:after="0" w:line="210" w:lineRule="exact"/>
              <w:rPr>
                <w:sz w:val="20"/>
                <w:szCs w:val="20"/>
                <w:color w:val="auto"/>
              </w:rPr>
            </w:pPr>
            <w:r>
              <w:rPr>
                <w:rFonts w:ascii="Times New Roman" w:cs="Times New Roman" w:eastAsia="Times New Roman" w:hAnsi="Times New Roman"/>
                <w:sz w:val="22"/>
                <w:szCs w:val="22"/>
                <w:color w:val="auto"/>
                <w:w w:val="99"/>
              </w:rPr>
              <w:t>using 14,108,921 shares of common stock of Red Violet, Inc. outstanding as of April 30, 2026, as reported on the</w:t>
            </w: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6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Quarterly Report on Form 10-Q filed by Red Violet, Inc. with the SEC on May 6, 2026.</w:t>
            </w:r>
          </w:p>
        </w:tc>
      </w:tr>
      <w:tr>
        <w:trPr>
          <w:trHeight w:val="257"/>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Dell Jeffrey Alan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116,249.00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116,249.00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116,249.00</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Includes 116,249 shares of common stock of Red Violet, Inc. held directly by Jeffrey Alan Dell. Calculated using</w:t>
      </w:r>
    </w:p>
    <w:tbl>
      <w:tblPr>
        <w:tblLayout w:type="fixed"/>
        <w:tblInd w:w="0" w:type="dxa"/>
        <w:tblCellMar>
          <w:top w:w="0" w:type="dxa"/>
          <w:left w:w="0" w:type="dxa"/>
          <w:bottom w:w="0" w:type="dxa"/>
          <w:right w:w="0" w:type="dxa"/>
        </w:tblCellMar>
      </w:tblP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40" w:type="dxa"/>
            <w:vAlign w:val="bottom"/>
          </w:tcPr>
          <w:p>
            <w:pPr>
              <w:ind w:left="240"/>
              <w:spacing w:after="0" w:line="221" w:lineRule="exact"/>
              <w:rPr>
                <w:sz w:val="20"/>
                <w:szCs w:val="20"/>
                <w:color w:val="auto"/>
              </w:rPr>
            </w:pPr>
            <w:r>
              <w:rPr>
                <w:rFonts w:ascii="Times New Roman" w:cs="Times New Roman" w:eastAsia="Times New Roman" w:hAnsi="Times New Roman"/>
                <w:sz w:val="22"/>
                <w:szCs w:val="22"/>
                <w:color w:val="auto"/>
              </w:rPr>
              <w:t>14,108,921 shares of common stock of Red Violet, Inc. outstanding as of April 30, 2026, as reported on the</w:t>
            </w: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ind w:left="240"/>
              <w:spacing w:after="0" w:line="240" w:lineRule="exact"/>
              <w:rPr>
                <w:sz w:val="20"/>
                <w:szCs w:val="20"/>
                <w:color w:val="auto"/>
              </w:rPr>
            </w:pPr>
            <w:r>
              <w:rPr>
                <w:rFonts w:ascii="Times New Roman" w:cs="Times New Roman" w:eastAsia="Times New Roman" w:hAnsi="Times New Roman"/>
                <w:sz w:val="22"/>
                <w:szCs w:val="22"/>
                <w:color w:val="auto"/>
              </w:rPr>
              <w:t>Quarterly Report on Form 10-Q filed by Red Violet, Inc. with the SEC on May 6, 2026.</w:t>
            </w:r>
          </w:p>
        </w:tc>
      </w:tr>
      <w:tr>
        <w:trPr>
          <w:trHeight w:val="257"/>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Red Violet,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2650 North Military Trail, Suite 300, Boca Raton, FLORIDA , 33431.</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1 to the Schedule 13D filed by the Reporting Persons. This Amendment is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being filed to update the Schedule 13D to reflect that the Reporting Persons no longer constitute a "group" within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meaning of Section 13(d)(3) of the Securities Exchange Act of 1934, as amended (the "Exchange Act"). Unless otherwise indicated, all capitalized terms used herein shall have the meanings given to them in the Schedule 13D, and</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unless amended or supplemented hereby, all information previously filed remains in effect.</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80"/>
        <w:spacing w:after="0" w:line="253" w:lineRule="auto"/>
        <w:rPr>
          <w:sz w:val="20"/>
          <w:szCs w:val="20"/>
          <w:color w:val="auto"/>
        </w:rPr>
      </w:pPr>
      <w:r>
        <w:rPr>
          <w:rFonts w:ascii="Times New Roman" w:cs="Times New Roman" w:eastAsia="Times New Roman" w:hAnsi="Times New Roman"/>
          <w:sz w:val="21"/>
          <w:szCs w:val="21"/>
          <w:color w:val="auto"/>
        </w:rPr>
        <w:t>Item 2 is hereby amended to add the following: On June 1, 2026, the Reporting Persons mutually agreed that they no longer intended to act together and orally agreed to dissolve and terminate their informal oral agreement to act as a</w:t>
      </w:r>
    </w:p>
    <w:p>
      <w:pPr>
        <w:spacing w:after="0" w:line="1" w:lineRule="exact"/>
        <w:rPr>
          <w:sz w:val="20"/>
          <w:szCs w:val="20"/>
          <w:color w:val="auto"/>
        </w:rPr>
      </w:pPr>
    </w:p>
    <w:p>
      <w:pPr>
        <w:ind w:left="960" w:right="160" w:hanging="912"/>
        <w:spacing w:after="0" w:line="189" w:lineRule="auto"/>
        <w:tabs>
          <w:tab w:leader="none" w:pos="96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"group" for purposes of Regulation 13D solely with respect to the Common Stock of the Company. In connection with such termination, each of the Reporting Persons acknowledged and agreed that they are no longer members of a "group" within the meaning of Section 13(d)(3) of the Exchange Act. Accordingly, the Reporting Persons no longer may be deemed a "group" within the meaning of Section 13(d)(3) of the Exchange Act.</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00"/>
        <w:spacing w:after="0" w:line="233" w:lineRule="auto"/>
        <w:rPr>
          <w:sz w:val="20"/>
          <w:szCs w:val="20"/>
          <w:color w:val="auto"/>
        </w:rPr>
      </w:pPr>
      <w:r>
        <w:rPr>
          <w:rFonts w:ascii="Times New Roman" w:cs="Times New Roman" w:eastAsia="Times New Roman" w:hAnsi="Times New Roman"/>
          <w:sz w:val="22"/>
          <w:szCs w:val="22"/>
          <w:color w:val="auto"/>
        </w:rPr>
        <w:t>Item 4 is hereby amended to add the following: As described in Item 2, on June 1, 2026, the Reporting Persons mutually agreed to dissolve and terminate their informal oral agreement to act as a "group" for purposes of Regulation 13D solely with respect to the Common Stock of the Company. In connection with such termination, each of the Reporting Persons acknowledged and agreed that they are no longer members of a "group" within the meaning of Section 13(d)(3) of the Exchange Act. Accordingly, effective as of June 1, 2026, the Reporting Persons no longer may be deemed a "group" within the meaning of Section 13 (d)(3) of the Exchange Act and each of Messrs. Dubner, MacLachlan, Reilly and Dell, separately beneficially owns less than 5% of the outstanding Common Stock of the Company and shall cease to be Reporting Persons immediately after the filing of this Amendment No. 1. The Reporting Persons regularly review their investments in the Company and, based upon such review, reserve their rights to take such actions on an individual basis in the future as the Reporting Persons may deem appropriate in light of the circumstances existing from time to time. The Reporting Persons may take such actions with respect to their investments in the Company as they deem appropriate, including, without limitation, purchasing additional shares of Common Stock or other financial instruments related to the Company or selling some or all of their beneficial or economic holdings with respect to the securities relating to the Company, and/or changing their intention with respect to any and all matters referred to in Item 4 of Schedule 13D.</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40" w:hanging="912"/>
        <w:spacing w:after="0" w:line="249" w:lineRule="auto"/>
        <w:tabs>
          <w:tab w:leader="none" w:pos="9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rows 7, 8, 9, 10, 11 and 13 on the cover page of this Schedule 13D (including footnotes thereto) is incorporated herein by reference. As of the date of this filing, the Reporting Persons together, beneficially own 7.8% of the shares of Common Stock outstanding as of April 30, 2026, as reported on the Quarterly Report on Form 10-Q filed by Red Violet, Inc. with the SEC on May 6, 2026, and individually as follows: (1) Mr. Dubner beneficially owns an aggregate of 504,420 shares of Common Stock, or 3.6%. (2) Mr. MacLachlan beneficially owns an aggregate of 306,049 shares of Common Stock, or 2.2%. (3) Mr. Reilly beneficially owns an aggregate of 179,498</w:t>
      </w:r>
    </w:p>
    <w:p>
      <w:pPr>
        <w:sectPr>
          <w:pgSz w:w="11900" w:h="16838" w:orient="portrait"/>
          <w:cols w:equalWidth="0" w:num="1">
            <w:col w:w="11240"/>
          </w:cols>
          <w:pgMar w:left="320" w:top="112" w:right="339" w:bottom="0" w:gutter="0" w:footer="0" w:header="0"/>
        </w:sectPr>
      </w:pPr>
    </w:p>
    <w:bookmarkStart w:id="5" w:name="page6"/>
    <w:bookmarkEnd w:id="5"/>
    <w:p>
      <w:pPr>
        <w:ind w:left="920" w:right="100"/>
        <w:spacing w:after="0" w:line="256" w:lineRule="auto"/>
        <w:rPr>
          <w:sz w:val="20"/>
          <w:szCs w:val="20"/>
          <w:color w:val="auto"/>
        </w:rPr>
      </w:pPr>
      <w:r>
        <w:rPr>
          <w:rFonts w:ascii="Times New Roman" w:cs="Times New Roman" w:eastAsia="Times New Roman" w:hAnsi="Times New Roman"/>
          <w:sz w:val="22"/>
          <w:szCs w:val="22"/>
          <w:color w:val="auto"/>
        </w:rPr>
        <w:t>shares of Common Stock, or 1.3%. (4) Mr. Dell beneficially owns an aggregate of 116,249 shares of Common Stock, or 0.8%.</w:t>
      </w:r>
    </w:p>
    <w:p>
      <w:pPr>
        <w:spacing w:after="0" w:line="1" w:lineRule="exact"/>
        <w:rPr>
          <w:sz w:val="20"/>
          <w:szCs w:val="20"/>
          <w:color w:val="auto"/>
        </w:rPr>
      </w:pPr>
    </w:p>
    <w:p>
      <w:pPr>
        <w:ind w:left="920" w:right="240"/>
        <w:spacing w:after="0" w:line="247" w:lineRule="auto"/>
        <w:rPr>
          <w:sz w:val="20"/>
          <w:szCs w:val="20"/>
          <w:color w:val="auto"/>
        </w:rPr>
      </w:pPr>
      <w:r>
        <w:rPr>
          <w:rFonts w:ascii="Times New Roman" w:cs="Times New Roman" w:eastAsia="Times New Roman" w:hAnsi="Times New Roman"/>
          <w:sz w:val="21"/>
          <w:szCs w:val="21"/>
          <w:color w:val="auto"/>
        </w:rPr>
        <w:t>As of the date of this filing, the Reporting Persons comprise a group within the meaning of Section 13(d)(3) of the Act, and beneficially own the shares of Common Stock as set forth next to their names: Shareholder Name: Derek Dubner No. of Shares Beneficially Owned (1) 504,420 Percentage Ownership 3.6% (2) Sole Voting Power 504,420 Shared Voting Power 0 Sole Dispositive Power 504,420 Shared Dispositive Power 0 Shareholder Name: Daniel</w:t>
      </w:r>
    </w:p>
    <w:p>
      <w:pPr>
        <w:ind w:left="920" w:hanging="912"/>
        <w:spacing w:after="0" w:line="182" w:lineRule="auto"/>
        <w:tabs>
          <w:tab w:leader="none" w:pos="920" w:val="left"/>
        </w:tabs>
        <w:numPr>
          <w:ilvl w:val="0"/>
          <w:numId w:val="1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MacLachlan No. of Shares Beneficially Owned (1) 306,049 Percentage Ownership 2.2% (2) Sole Voting Power</w:t>
      </w:r>
    </w:p>
    <w:p>
      <w:pPr>
        <w:ind w:left="920" w:right="140"/>
        <w:spacing w:after="0" w:line="233"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306,049 Shared Voting Power 0 Sole Dispositive Power 306,049 Shared Dispositive Power 0 Shareholder Name: James Patrick Reilly No. of Shares Beneficially Owned (1) 179,498 Percentage Ownership 1.3% (2) Sole Voting Power 179,498 Shared Voting Power 0 Sole Dispositive Power 179,498 Shared Dispositive Power 0 Shareholder Name: Jeffrey Alan Dell No. of Shares Beneficially Owned (1) 116,249 Percentage Ownership 0.8% (2) Sole Voting Power 116,249 Shared Voting Power 0 Sole Dispositive Power 116,249 Shared Dispositive Power 0</w:t>
      </w:r>
    </w:p>
    <w:p>
      <w:pPr>
        <w:spacing w:after="0" w:line="17" w:lineRule="exact"/>
        <w:rPr>
          <w:rFonts w:ascii="Times New Roman" w:cs="Times New Roman" w:eastAsia="Times New Roman" w:hAnsi="Times New Roman"/>
          <w:sz w:val="28"/>
          <w:szCs w:val="28"/>
          <w:color w:val="auto"/>
          <w:vertAlign w:val="subscript"/>
        </w:rPr>
      </w:pPr>
    </w:p>
    <w:p>
      <w:pPr>
        <w:ind w:left="920" w:right="160"/>
        <w:spacing w:after="0" w:line="253"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(1) Each Reporting Person expressly disclaims beneficial ownership of the shares of Common Stock beneficially owned by the other Reporting Persons. No Reporting Person is responsible for the completeness and accuracy of the</w:t>
      </w:r>
    </w:p>
    <w:p>
      <w:pPr>
        <w:ind w:left="920" w:right="200" w:hanging="912"/>
        <w:spacing w:after="0" w:line="189"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information concerning any other Reporting Person. (2) The beneficial ownership percentage used in this Schedule 13D is calculated based upon a total of 14,108,921 shares of common stock of Red Violet, Inc. outstanding as of April 30, 2026, as reported on the Quarterly Report on Form 10-Q filed by Red Violet, Inc. with the SEC on May 6, 2026.</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During the past 60 days, the Reporting Persons have effected the following transactions in the Common Stock: (1) On</w:t>
      </w:r>
    </w:p>
    <w:p>
      <w:pPr>
        <w:spacing w:after="0" w:line="25" w:lineRule="exact"/>
        <w:rPr>
          <w:rFonts w:ascii="Times New Roman" w:cs="Times New Roman" w:eastAsia="Times New Roman" w:hAnsi="Times New Roman"/>
          <w:sz w:val="43"/>
          <w:szCs w:val="43"/>
          <w:color w:val="auto"/>
          <w:vertAlign w:val="subscript"/>
        </w:rPr>
      </w:pPr>
    </w:p>
    <w:p>
      <w:pPr>
        <w:jc w:val="both"/>
        <w:ind w:left="920" w:right="8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June 1, 2026, Messrs. Dubner, MacLachlan and Reilly each sold 12,000 shares of Common Stock in the open market to third parties, at a weighted average price of $57.43, and Mr. Dell sold 10,000 shares of Common Stock in the open market to third parties, at a weighted average price of $57.44, as reported on the Form 4s filed June 1, 2026.</w:t>
      </w:r>
    </w:p>
    <w:p>
      <w:pPr>
        <w:spacing w:after="0" w:line="18" w:lineRule="exact"/>
        <w:rPr>
          <w:rFonts w:ascii="Times New Roman" w:cs="Times New Roman" w:eastAsia="Times New Roman" w:hAnsi="Times New Roman"/>
          <w:sz w:val="42"/>
          <w:szCs w:val="42"/>
          <w:color w:val="auto"/>
          <w:vertAlign w:val="subscript"/>
        </w:rPr>
      </w:pPr>
    </w:p>
    <w:p>
      <w:pPr>
        <w:ind w:left="920" w:right="12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As of June 1, 2026, as described in Item 2 and Item 4 above, each of the Reporting Persons has ceased to be a part of any "group" within the meaning of the Exchange Act that may have been deemed to have been formed among the</w:t>
      </w:r>
    </w:p>
    <w:p>
      <w:pPr>
        <w:ind w:left="920" w:right="20" w:hanging="912"/>
        <w:spacing w:after="0" w:line="189"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Reporting Persons and, accordingly, each of the Reporting Persons has ceased to be the beneficial owner of more than 5% of the Company's outstanding Common Stock. The filing of this Amendment No. 1 represents the final amendment to the Schedule 13D and constitutes an exit filing for each of the Reporting Persons and the Reporting Persons as a group.</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33" w:lineRule="auto"/>
        <w:rPr>
          <w:sz w:val="20"/>
          <w:szCs w:val="20"/>
          <w:color w:val="auto"/>
        </w:rPr>
      </w:pPr>
      <w:r>
        <w:rPr>
          <w:rFonts w:ascii="Times New Roman" w:cs="Times New Roman" w:eastAsia="Times New Roman" w:hAnsi="Times New Roman"/>
          <w:sz w:val="22"/>
          <w:szCs w:val="22"/>
          <w:color w:val="auto"/>
        </w:rPr>
        <w:t>Item 6 of the Statement is hereby amended and restated in its entirety as follows: The Reporting Persons previously disclosed an informal oral agreement to act as a group for purposes of Regulation 13D solely with respect to the Common Stock of the Company. On June 1, 2026, the Reporting Persons mutually orally agreed to terminate such oral agreement in its entirety effective as of June 1, 2026. The Reporting Persons previously reported on this statement that, by virtue of the arrangements described in the statement, the Reporting Persons may have been deemed to constitute a "group" within the meaning of Section 13(d)(3) of the Exchange Act. Effective as of the termination of their oral agreement, the Reporting Persons no longer may be deemed to be a "group" within the meaning of Section 13(d)(3) of the Exchange Act. Any further filings with respect to securities of the Company will be filed, if required, separately by Messrs. Dubner, MacLachlan, Reilly and Dell. Messrs. Dubner, MacLachlan, Reilly and Dell no longer may be deemed to beneficially own or share beneficial ownership of any securities of the Company owned by any other Reporting Person. As a result, the Reporting Persons no longer may be deemed to beneficially own more than 5% of the Common Stock.</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Dubner Derek</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Derek Dubner</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Derek Dubner</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MacLachlan Daniel</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MacLachlan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Daniel MacLachlan</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Reilly James Patrick</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Patrick Reilly</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James Patrick Reilly</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ectPr>
          <w:pgSz w:w="11900" w:h="16838" w:orient="portrait"/>
          <w:cols w:equalWidth="0" w:num="1">
            <w:col w:w="11140"/>
          </w:cols>
          <w:pgMar w:left="360" w:top="111" w:right="399" w:bottom="0" w:gutter="0" w:footer="0" w:header="0"/>
        </w:sectPr>
      </w:pPr>
    </w:p>
    <w:bookmarkStart w:id="6" w:name="page7"/>
    <w:bookmarkEnd w:id="6"/>
    <w:p>
      <w:pPr>
        <w:ind w:left="600"/>
        <w:spacing w:after="0"/>
        <w:rPr>
          <w:sz w:val="20"/>
          <w:szCs w:val="20"/>
          <w:color w:val="auto"/>
        </w:rPr>
      </w:pPr>
      <w:r>
        <w:rPr>
          <w:rFonts w:ascii="Times New Roman" w:cs="Times New Roman" w:eastAsia="Times New Roman" w:hAnsi="Times New Roman"/>
          <w:sz w:val="22"/>
          <w:szCs w:val="22"/>
          <w:color w:val="auto"/>
        </w:rPr>
        <w:t>Dell Jeffrey Alan</w:t>
      </w:r>
    </w:p>
    <w:p>
      <w:pPr>
        <w:spacing w:after="0" w:line="153" w:lineRule="exact"/>
        <w:rPr>
          <w:sz w:val="20"/>
          <w:szCs w:val="20"/>
          <w:color w:val="auto"/>
        </w:rPr>
      </w:pPr>
    </w:p>
    <w:p>
      <w:pPr>
        <w:jc w:val="right"/>
        <w:ind w:right="4219"/>
        <w:spacing w:after="0"/>
        <w:tabs>
          <w:tab w:leader="none" w:pos="1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Alan Dell</w:t>
      </w:r>
    </w:p>
    <w:p>
      <w:pPr>
        <w:spacing w:after="0" w:line="4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Name/Title: Jeffrey Alan Dell</w:t>
      </w:r>
    </w:p>
    <w:p>
      <w:pPr>
        <w:spacing w:after="0" w:line="44"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6"/>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2026-06-01T18:48:17Z</dcterms:created>
  <dcterms:modified xsi:type="dcterms:W3CDTF">2026-06-01T18:48:17Z</dcterms:modified>
</cp:coreProperties>
</file>