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w:t>
      </w:r>
      <w:r>
        <w:rPr>
          <w:rFonts w:ascii="Times New Roman" w:cs="Times New Roman" w:eastAsia="Times New Roman" w:hAnsi="Times New Roman"/>
          <w:sz w:val="17"/>
          <w:szCs w:val="17"/>
          <w:b w:val="1"/>
          <w:bCs w:val="1"/>
          <w:color w:val="auto"/>
        </w:rPr>
        <w:t>4</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70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58"/>
        </w:trPr>
        <w:tc>
          <w:tcPr>
            <w:tcW w:w="2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0" w:type="dxa"/>
        <w:tblCellMar>
          <w:top w:w="0" w:type="dxa"/>
          <w:left w:w="0" w:type="dxa"/>
          <w:bottom w:w="0" w:type="dxa"/>
          <w:right w:w="0" w:type="dxa"/>
        </w:tblCellMar>
      </w:tblPr>
      <w:tr>
        <w:trPr>
          <w:trHeight w:val="360"/>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29"/>
                <w:szCs w:val="29"/>
                <w:b w:val="1"/>
                <w:bCs w:val="1"/>
                <w:color w:val="auto"/>
                <w:w w:val="99"/>
              </w:rPr>
              <w:t>RED VIOLET, INC.</w:t>
            </w: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vMerge w:val="restart"/>
          </w:tcPr>
          <w:p>
            <w:pPr>
              <w:jc w:val="center"/>
              <w:ind w:left="180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60" w:type="dxa"/>
            <w:vAlign w:val="bottom"/>
            <w:gridSpan w:val="2"/>
            <w:vMerge w:val="restart"/>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82-2408531</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80" w:type="dxa"/>
            <w:vAlign w:val="bottom"/>
          </w:tcPr>
          <w:p>
            <w:pPr>
              <w:jc w:val="center"/>
              <w:ind w:left="17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gridSpan w:val="2"/>
          </w:tcPr>
          <w:p>
            <w:pPr>
              <w:jc w:val="center"/>
              <w:ind w:right="1959"/>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78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 w:type="dxa"/>
            <w:vAlign w:val="bottom"/>
          </w:tcPr>
          <w:p>
            <w:pPr>
              <w:spacing w:after="0"/>
              <w:rPr>
                <w:sz w:val="14"/>
                <w:szCs w:val="14"/>
                <w:color w:val="auto"/>
              </w:rPr>
            </w:pPr>
          </w:p>
        </w:tc>
        <w:tc>
          <w:tcPr>
            <w:tcW w:w="39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2650 North Military Trail, Suite 300,</w:t>
            </w:r>
          </w:p>
        </w:tc>
        <w:tc>
          <w:tcPr>
            <w:tcW w:w="3460" w:type="dxa"/>
            <w:vAlign w:val="bottom"/>
            <w:gridSpan w:val="2"/>
          </w:tcPr>
          <w:p>
            <w:pPr>
              <w:jc w:val="center"/>
              <w:ind w:right="195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Boca Raton, Florida 33431</w:t>
            </w:r>
          </w:p>
        </w:tc>
        <w:tc>
          <w:tcPr>
            <w:tcW w:w="6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400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(561) 757-4000</w:t>
            </w:r>
          </w:p>
        </w:tc>
        <w:tc>
          <w:tcPr>
            <w:tcW w:w="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780" w:type="dxa"/>
            <w:vAlign w:val="bottom"/>
            <w:tcBorders>
              <w:left w:val="single" w:sz="8" w:color="auto"/>
              <w:bottom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color w:val="auto"/>
              </w:rPr>
              <w:t>Title of each class</w:t>
            </w:r>
          </w:p>
        </w:tc>
        <w:tc>
          <w:tcPr>
            <w:tcW w:w="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160" w:type="dxa"/>
            <w:vAlign w:val="bottom"/>
            <w:tcBorders>
              <w:bottom w:val="single" w:sz="8" w:color="auto"/>
              <w:right w:val="single" w:sz="8" w:color="auto"/>
            </w:tcBorders>
            <w:gridSpan w:val="2"/>
          </w:tcPr>
          <w:p>
            <w:pPr>
              <w:jc w:val="center"/>
              <w:ind w:right="700"/>
              <w:spacing w:after="0" w:line="89" w:lineRule="exact"/>
              <w:rPr>
                <w:sz w:val="20"/>
                <w:szCs w:val="20"/>
                <w:color w:val="auto"/>
              </w:rPr>
            </w:pPr>
            <w:r>
              <w:rPr>
                <w:rFonts w:ascii="Times New Roman" w:cs="Times New Roman" w:eastAsia="Times New Roman" w:hAnsi="Times New Roman"/>
                <w:sz w:val="10"/>
                <w:szCs w:val="10"/>
                <w:color w:val="auto"/>
              </w:rPr>
              <w:t>Trading Symbol (s)</w:t>
            </w:r>
          </w:p>
        </w:tc>
        <w:tc>
          <w:tcPr>
            <w:tcW w:w="120" w:type="dxa"/>
            <w:vAlign w:val="bottom"/>
            <w:tcBorders>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gridSpan w:val="2"/>
          </w:tcPr>
          <w:p>
            <w:pPr>
              <w:ind w:left="540"/>
              <w:spacing w:after="0" w:line="89" w:lineRule="exact"/>
              <w:rPr>
                <w:sz w:val="20"/>
                <w:szCs w:val="20"/>
                <w:color w:val="auto"/>
              </w:rPr>
            </w:pPr>
            <w:r>
              <w:rPr>
                <w:rFonts w:ascii="Times New Roman" w:cs="Times New Roman" w:eastAsia="Times New Roman" w:hAnsi="Times New Roman"/>
                <w:sz w:val="10"/>
                <w:szCs w:val="10"/>
                <w:color w:val="auto"/>
              </w:rPr>
              <w:t>Name of each exchange on which registered</w:t>
            </w:r>
          </w:p>
        </w:tc>
        <w:tc>
          <w:tcPr>
            <w:tcW w:w="0" w:type="dxa"/>
            <w:vAlign w:val="bottom"/>
          </w:tcPr>
          <w:p>
            <w:pPr>
              <w:spacing w:after="0"/>
              <w:rPr>
                <w:sz w:val="1"/>
                <w:szCs w:val="1"/>
                <w:color w:val="auto"/>
              </w:rPr>
            </w:pPr>
          </w:p>
        </w:tc>
      </w:tr>
      <w:tr>
        <w:trPr>
          <w:trHeight w:val="179"/>
        </w:trPr>
        <w:tc>
          <w:tcPr>
            <w:tcW w:w="3780" w:type="dxa"/>
            <w:vAlign w:val="bottom"/>
            <w:tcBorders>
              <w:left w:val="single" w:sz="8" w:color="auto"/>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 per share</w:t>
            </w:r>
          </w:p>
        </w:tc>
        <w:tc>
          <w:tcPr>
            <w:tcW w:w="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auto"/>
            </w:tcBorders>
            <w:gridSpan w:val="2"/>
          </w:tcPr>
          <w:p>
            <w:pPr>
              <w:jc w:val="center"/>
              <w:ind w:right="680"/>
              <w:spacing w:after="0" w:line="179" w:lineRule="exact"/>
              <w:rPr>
                <w:sz w:val="20"/>
                <w:szCs w:val="20"/>
                <w:color w:val="auto"/>
              </w:rPr>
            </w:pPr>
            <w:r>
              <w:rPr>
                <w:rFonts w:ascii="Times New Roman" w:cs="Times New Roman" w:eastAsia="Times New Roman" w:hAnsi="Times New Roman"/>
                <w:sz w:val="16"/>
                <w:szCs w:val="16"/>
                <w:color w:val="auto"/>
              </w:rPr>
              <w:t>RDVT</w:t>
            </w: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2"/>
          </w:tcPr>
          <w:p>
            <w:pPr>
              <w:ind w:left="5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44"/>
        </w:trPr>
        <w:tc>
          <w:tcPr>
            <w:tcW w:w="7780" w:type="dxa"/>
            <w:vAlign w:val="bottom"/>
            <w:gridSpan w:val="6"/>
          </w:tcPr>
          <w:p>
            <w:pPr>
              <w:jc w:val="center"/>
              <w:ind w:left="3386"/>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3"/>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40" w:type="dxa"/>
            <w:vAlign w:val="bottom"/>
            <w:gridSpan w:val="2"/>
          </w:tcPr>
          <w:p>
            <w:pPr>
              <w:spacing w:after="0"/>
              <w:rPr>
                <w:sz w:val="6"/>
                <w:szCs w:val="6"/>
                <w:color w:val="auto"/>
              </w:rPr>
            </w:pPr>
          </w:p>
        </w:tc>
        <w:tc>
          <w:tcPr>
            <w:tcW w:w="64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7"/>
        </w:trPr>
        <w:tc>
          <w:tcPr>
            <w:tcW w:w="7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40" w:type="dxa"/>
            <w:vAlign w:val="bottom"/>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4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8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4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9"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6"/>
          <w:szCs w:val="16"/>
          <w:color w:val="auto"/>
        </w:rPr>
        <w:t>On June 30, 2025, the last business day of the registrant’s most recently completed second fiscal quarter, the aggregate market value (based on the closing per share sales price of its common stock on that date) of the voting stock held by non-affiliates of the registrant was $628.3 million.</w:t>
      </w: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February 27, 2026, was 14,109,914.</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relating to its 2026 Annual Meeting of Stockholders to be filed with the SEC within 120 days after the end of the fiscal year ended December 31, 2025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8"/>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RED VIOLET, INC.</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40" w:type="dxa"/>
            <w:vAlign w:val="bottom"/>
            <w:gridSpan w:val="10"/>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TABLE OF CONTENTS FOR FORM 10-K</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00" w:type="dxa"/>
            <w:vAlign w:val="bottom"/>
            <w:gridSpan w:val="5"/>
            <w:vMerge w:val="restart"/>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0"/>
        </w:trPr>
        <w:tc>
          <w:tcPr>
            <w:tcW w:w="620" w:type="dxa"/>
            <w:vAlign w:val="bottom"/>
            <w:tcBorders>
              <w:bottom w:val="single" w:sz="8" w:color="0000EE"/>
            </w:tcBorders>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180" w:type="dxa"/>
            <w:vAlign w:val="bottom"/>
          </w:tcPr>
          <w:p>
            <w:pPr>
              <w:spacing w:after="0"/>
              <w:rPr>
                <w:sz w:val="24"/>
                <w:szCs w:val="24"/>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Business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80" w:type="dxa"/>
            <w:vAlign w:val="bottom"/>
          </w:tcPr>
          <w:p>
            <w:pPr>
              <w:spacing w:after="0"/>
              <w:rPr>
                <w:sz w:val="17"/>
                <w:szCs w:val="17"/>
                <w:color w:val="auto"/>
              </w:rPr>
            </w:pPr>
          </w:p>
        </w:tc>
        <w:tc>
          <w:tcPr>
            <w:tcW w:w="9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Risk Factors</w:t>
            </w:r>
          </w:p>
        </w:tc>
        <w:tc>
          <w:tcPr>
            <w:tcW w:w="7180" w:type="dxa"/>
            <w:vAlign w:val="bottom"/>
            <w:gridSpan w:val="1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180" w:type="dxa"/>
            <w:vAlign w:val="bottom"/>
          </w:tcPr>
          <w:p>
            <w:pPr>
              <w:spacing w:after="0"/>
              <w:rPr>
                <w:sz w:val="17"/>
                <w:szCs w:val="17"/>
                <w:color w:val="auto"/>
              </w:rPr>
            </w:pPr>
          </w:p>
        </w:tc>
        <w:tc>
          <w:tcPr>
            <w:tcW w:w="206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Unresolved Staff Comments</w:t>
            </w:r>
          </w:p>
        </w:tc>
        <w:tc>
          <w:tcPr>
            <w:tcW w:w="604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80" w:type="dxa"/>
            <w:vAlign w:val="bottom"/>
          </w:tcPr>
          <w:p>
            <w:pPr>
              <w:spacing w:after="0"/>
              <w:rPr>
                <w:sz w:val="17"/>
                <w:szCs w:val="17"/>
                <w:color w:val="auto"/>
              </w:rPr>
            </w:pPr>
          </w:p>
        </w:tc>
        <w:tc>
          <w:tcPr>
            <w:tcW w:w="10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Cybersecurity</w:t>
            </w:r>
          </w:p>
        </w:tc>
        <w:tc>
          <w:tcPr>
            <w:tcW w:w="7080" w:type="dxa"/>
            <w:vAlign w:val="bottom"/>
            <w:gridSpan w:val="1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Pr>
          <w:p>
            <w:pPr>
              <w:spacing w:after="0"/>
              <w:rPr>
                <w:sz w:val="17"/>
                <w:szCs w:val="17"/>
                <w:color w:val="auto"/>
              </w:rPr>
            </w:pPr>
          </w:p>
        </w:tc>
        <w:tc>
          <w:tcPr>
            <w:tcW w:w="7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Properties</w:t>
            </w:r>
          </w:p>
        </w:tc>
        <w:tc>
          <w:tcPr>
            <w:tcW w:w="7360" w:type="dxa"/>
            <w:vAlign w:val="bottom"/>
            <w:gridSpan w:val="1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18"/>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0" w:type="dxa"/>
            <w:vAlign w:val="bottom"/>
            <w:gridSpan w:val="4"/>
          </w:tcPr>
          <w:p>
            <w:pPr>
              <w:spacing w:after="0"/>
              <w:rPr>
                <w:sz w:val="24"/>
                <w:szCs w:val="24"/>
                <w:color w:val="auto"/>
              </w:rPr>
            </w:pPr>
          </w:p>
        </w:tc>
        <w:tc>
          <w:tcPr>
            <w:tcW w:w="828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[Reserved]</w:t>
            </w:r>
          </w:p>
        </w:tc>
        <w:tc>
          <w:tcPr>
            <w:tcW w:w="7300" w:type="dxa"/>
            <w:vAlign w:val="bottom"/>
            <w:tcBorders>
              <w:top w:val="single" w:sz="8" w:color="auto"/>
            </w:tcBorders>
            <w:gridSpan w:val="1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80" w:type="dxa"/>
            <w:vAlign w:val="bottom"/>
          </w:tcPr>
          <w:p>
            <w:pPr>
              <w:spacing w:after="0"/>
              <w:rPr>
                <w:sz w:val="17"/>
                <w:szCs w:val="17"/>
                <w:color w:val="auto"/>
              </w:rPr>
            </w:pPr>
          </w:p>
        </w:tc>
        <w:tc>
          <w:tcPr>
            <w:tcW w:w="648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162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80" w:type="dxa"/>
            <w:vAlign w:val="bottom"/>
          </w:tcPr>
          <w:p>
            <w:pPr>
              <w:spacing w:after="0"/>
              <w:rPr>
                <w:sz w:val="17"/>
                <w:szCs w:val="17"/>
                <w:color w:val="auto"/>
              </w:rPr>
            </w:pPr>
          </w:p>
        </w:tc>
        <w:tc>
          <w:tcPr>
            <w:tcW w:w="3340" w:type="dxa"/>
            <w:vAlign w:val="bottom"/>
            <w:tcBorders>
              <w:top w:val="single" w:sz="8" w:color="auto"/>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auto"/>
            </w:tcBorders>
            <w:gridSpan w:val="2"/>
          </w:tcPr>
          <w:p>
            <w:pPr>
              <w:spacing w:after="0"/>
              <w:rPr>
                <w:sz w:val="17"/>
                <w:szCs w:val="17"/>
                <w:color w:val="auto"/>
              </w:rPr>
            </w:pPr>
          </w:p>
        </w:tc>
        <w:tc>
          <w:tcPr>
            <w:tcW w:w="3740" w:type="dxa"/>
            <w:vAlign w:val="bottom"/>
            <w:gridSpan w:val="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80" w:type="dxa"/>
            <w:vAlign w:val="bottom"/>
          </w:tcPr>
          <w:p>
            <w:pPr>
              <w:spacing w:after="0"/>
              <w:rPr>
                <w:sz w:val="17"/>
                <w:szCs w:val="17"/>
                <w:color w:val="auto"/>
              </w:rPr>
            </w:pPr>
          </w:p>
        </w:tc>
        <w:tc>
          <w:tcPr>
            <w:tcW w:w="1780" w:type="dxa"/>
            <w:vAlign w:val="bottom"/>
            <w:tcBorders>
              <w:top w:val="single" w:sz="8" w:color="auto"/>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Controls and Procedures</w:t>
            </w:r>
          </w:p>
        </w:tc>
        <w:tc>
          <w:tcPr>
            <w:tcW w:w="4700" w:type="dxa"/>
            <w:vAlign w:val="bottom"/>
            <w:tcBorders>
              <w:top w:val="single" w:sz="8" w:color="auto"/>
            </w:tcBorders>
            <w:gridSpan w:val="10"/>
          </w:tcPr>
          <w:p>
            <w:pPr>
              <w:spacing w:after="0"/>
              <w:rPr>
                <w:sz w:val="17"/>
                <w:szCs w:val="17"/>
                <w:color w:val="auto"/>
              </w:rPr>
            </w:pPr>
          </w:p>
        </w:tc>
        <w:tc>
          <w:tcPr>
            <w:tcW w:w="162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180" w:type="dxa"/>
            <w:vAlign w:val="bottom"/>
          </w:tcPr>
          <w:p>
            <w:pPr>
              <w:spacing w:after="0"/>
              <w:rPr>
                <w:sz w:val="24"/>
                <w:szCs w:val="24"/>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 w:type="dxa"/>
            <w:vAlign w:val="bottom"/>
          </w:tcPr>
          <w:p>
            <w:pPr>
              <w:spacing w:after="0"/>
              <w:rPr>
                <w:sz w:val="17"/>
                <w:szCs w:val="17"/>
                <w:color w:val="auto"/>
              </w:rPr>
            </w:pPr>
          </w:p>
        </w:tc>
        <w:tc>
          <w:tcPr>
            <w:tcW w:w="182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Compensation</w:t>
            </w:r>
          </w:p>
        </w:tc>
        <w:tc>
          <w:tcPr>
            <w:tcW w:w="2280" w:type="dxa"/>
            <w:vAlign w:val="bottom"/>
            <w:tcBorders>
              <w:top w:val="single" w:sz="8" w:color="auto"/>
            </w:tcBorders>
            <w:gridSpan w:val="5"/>
          </w:tcPr>
          <w:p>
            <w:pPr>
              <w:spacing w:after="0"/>
              <w:rPr>
                <w:sz w:val="17"/>
                <w:szCs w:val="17"/>
                <w:color w:val="auto"/>
              </w:rPr>
            </w:pPr>
          </w:p>
        </w:tc>
        <w:tc>
          <w:tcPr>
            <w:tcW w:w="400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180" w:type="dxa"/>
            <w:vAlign w:val="bottom"/>
          </w:tcPr>
          <w:p>
            <w:pPr>
              <w:spacing w:after="0"/>
              <w:rPr>
                <w:sz w:val="17"/>
                <w:szCs w:val="17"/>
                <w:color w:val="auto"/>
              </w:rPr>
            </w:pPr>
          </w:p>
        </w:tc>
        <w:tc>
          <w:tcPr>
            <w:tcW w:w="730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80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180" w:type="dxa"/>
            <w:vAlign w:val="bottom"/>
          </w:tcPr>
          <w:p>
            <w:pPr>
              <w:spacing w:after="0"/>
              <w:rPr>
                <w:sz w:val="17"/>
                <w:szCs w:val="17"/>
                <w:color w:val="auto"/>
              </w:rPr>
            </w:pPr>
          </w:p>
        </w:tc>
        <w:tc>
          <w:tcPr>
            <w:tcW w:w="8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80" w:type="dxa"/>
            <w:vAlign w:val="bottom"/>
          </w:tcPr>
          <w:p>
            <w:pPr>
              <w:spacing w:after="0"/>
              <w:rPr>
                <w:sz w:val="17"/>
                <w:szCs w:val="17"/>
                <w:color w:val="auto"/>
              </w:rPr>
            </w:pPr>
          </w:p>
        </w:tc>
        <w:tc>
          <w:tcPr>
            <w:tcW w:w="5460" w:type="dxa"/>
            <w:vAlign w:val="bottom"/>
            <w:tcBorders>
              <w:top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2640" w:type="dxa"/>
            <w:vAlign w:val="bottom"/>
            <w:gridSpan w:val="3"/>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5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80" w:type="dxa"/>
            <w:vAlign w:val="bottom"/>
          </w:tcPr>
          <w:p>
            <w:pPr>
              <w:spacing w:after="0"/>
              <w:rPr>
                <w:sz w:val="17"/>
                <w:szCs w:val="17"/>
                <w:color w:val="auto"/>
              </w:rPr>
            </w:pPr>
          </w:p>
        </w:tc>
        <w:tc>
          <w:tcPr>
            <w:tcW w:w="3160" w:type="dxa"/>
            <w:vAlign w:val="bottom"/>
            <w:tcBorders>
              <w:top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4940" w:type="dxa"/>
            <w:vAlign w:val="bottom"/>
            <w:gridSpan w:val="8"/>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8"/>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999"/>
        </w:trPr>
        <w:tc>
          <w:tcPr>
            <w:tcW w:w="6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2025 (the “2025 Form 10-K”), which are incorporated herein by this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AI-enabled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w:t>
      </w:r>
    </w:p>
    <w:p>
      <w:pPr>
        <w:spacing w:after="0" w:line="1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2025 and 2024, IDI had 10,022 and 8,926 billable customers, respectively, and FOREWARN had 390,018 and 303,418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2025 and 2024, 76% and 77% of total revenue was attributable to customers with pricing contracts, respectively, versus 24% and 23% attributable to transactional customers,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2025 and 2024, we had revenue of $90.3 million and $75.2 million, net income of $13.2 million and $7.0 million, adjusted EBITDA of $31.0 million and $23.6 million, and adjusted net income of $18.7 million and $13.0 million, respectively. Adjusted EBITDA is a non-GAAP financial measure equal to net income, the most directly comparable financial measure based on accounting principles generally accepted in the United States (“US GAAP”), excluding interest income, income tax expense, depreciation and amortization, share-based compensation expense, acquisition-related costs, litigation costs, and write-off of long-lived assets.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tax effect of adjustments. Refer to the tables included in “Use and Reconciliation of Non-GAAP Financial Measures” of Item 7,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target market for our solutions consists of public and private sector organizations that require high-confidence, data-driven identity intelligence integrated into mission-critical and regulated workflows. These organizations increasingly rely on automated decisioning, advanced analytics, and artificial intelligence to support core operational functions, risk management, and compliance requirements. We believe this ongoing shift toward data-driven, automated, and AI-enabled processes supports sustained demand for platforms that are architected to deliver accurate, scalable, and real-time intelligence within complex operating environments.</w:t>
      </w:r>
    </w:p>
    <w:p>
      <w:pPr>
        <w:spacing w:after="0" w:line="1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addressable market includes the data and analytics sector, which continues to grow at an accelerated pace due to the proliferation of data generated over the past two decades from both traditional and emerging sources, including e-commerce, mobile, and social media. Fortune Business Insights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projected the global big data analytics market to rise to $1,176.6 billion by 2034, exhibiting a CAGR of 12.8% during the forecast period from 2025 through 2034. Continued, rapid innovation and adoption of new technologies presents enormous challenges for organizations of all types to sort through this sea of data to glean actionable intelligence and to inform real-time decisions. Further, the digital transformation has created even greater fragmentation of data across multiple mediums, creating an inherent need for organizations to leverage scalable and unified data and analytics on a single platform. These challenges serve as key drivers of the sector’s growth. Our industry-agnostic platform, solutions, and analytical capabilities are designed to solve the myriad of complex problems that organizations face on a daily basis.</w:t>
      </w:r>
    </w:p>
    <w:p>
      <w:pPr>
        <w:spacing w:after="0" w:line="1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Risk and fraud analytics has become increasingly important not only in the banking and financial services sectors but across multiple other industries and use cases. According to the market research company, MarketsAndMarkets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risk analytics market is projected to grow to $51.34 billion by 2030, representing CAGR of 9.7% from 2025 through 2030, with North America expected to account for the largest market size in the risk analytics market. Risk and fraud analytics and the information derived therefrom is now the primary service product for risk management associated with key purchasers such as financial services companies, insurance companies, healthcare companies, law enforcement and government, identity verification platforms, collections, law firms, retail, telecommunications companies, corporate security, and investigative firms. Primary use cases include, but are not limited to, obtaining information on consumers, businesses,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Challenges Facing Our Customers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organizations across the public and private sectors face increasing operational, analytical, and regulatory challenges arising from the volume, variety, and complexity of data generated through digital and physical interactions. These challenges include the need to integrate disparate and fragmented data sources, support timely and informed decision-making, and maintain compliance within regulated and mission-critical environments.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Actionable Intelligence Through an Integrated, Cloud-Native, AI-Enabled Platform</w:t>
      </w:r>
      <w:r>
        <w:rPr>
          <w:rFonts w:ascii="Times New Roman" w:cs="Times New Roman" w:eastAsia="Times New Roman" w:hAnsi="Times New Roman"/>
          <w:sz w:val="18"/>
          <w:szCs w:val="18"/>
          <w:color w:val="auto"/>
        </w:rPr>
        <w:t>—As the velocity and volume of data continues to grow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exponentially across various mediums, many organizations experience difficulty consolidating information and deriving reliable, real-time insights to support operational, risk management, and compliance functions. Customers increasingly require scalable, flexible, and secure platforms capable of ingesting structured and unstructured data, normalizing and integrating diverse datasets, and applying advanced analytics and artificial intelligence within regulated workflows. In addition, organizations seek centralized solutions that reduce reliance on fragmented point systems and manual processes, improve analytical consistency, and support enterprise-wide access to high-confidence intelligence. We believe demand for integrated, cloud-native platforms that deliver accurate, timely, and actionable insights across complex operating environments will continue to grow as customers seek to modernize data management and decision-support capabilities.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Cost and Performance Pressures</w:t>
      </w:r>
      <w:r>
        <w:rPr>
          <w:rFonts w:ascii="Times New Roman" w:cs="Times New Roman" w:eastAsia="Times New Roman" w:hAnsi="Times New Roman"/>
          <w:sz w:val="18"/>
          <w:szCs w:val="18"/>
          <w:color w:val="auto"/>
        </w:rPr>
        <w:t>—Customers operate in increasingly constrained cost environments while facing rising expectations for speed, 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reliability, and regulatory compliance. As a result, organizations are under continued pressure to maximize the value derived from their information and analytics solutions across identity verification, risk management, and compliance functions. Customers require platforms capable of delivering timely, accurate, and scalable intelligence to support high-volume, mission-critical operations while managing operating costs. Performance improvements often depend on the ability to integrate and analyze large, diverse datasets efficiently, provide consistent access to relevant information, and support informed decision-making in real time. We believe platforms that combine advanced analytics with extensive, unified data assets are better positioned to help organizations address these cost and performance challenges and maintain operational effectiveness.</w:t>
      </w:r>
    </w:p>
    <w:p>
      <w:pPr>
        <w:spacing w:after="0" w:line="1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Delivering Solutions for Complex Problems Using Scalable Analytics</w:t>
      </w:r>
      <w:r>
        <w:rPr>
          <w:rFonts w:ascii="Times New Roman" w:cs="Times New Roman" w:eastAsia="Times New Roman" w:hAnsi="Times New Roman"/>
          <w:sz w:val="18"/>
          <w:szCs w:val="18"/>
          <w:color w:val="auto"/>
        </w:rPr>
        <w:t>—As data volumes, sources, and formats continue to expand, organizations face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challenges in integrating information, maintaining analytical performance, and generating reliable insights at scale. Data is often fragmented across multiple systems, formats, and business units, limiting visibility and inhibiting the development of unified, enterprise-wide intelligence. In addition, legacy infrastructure and manual processes may constrain an organization’s ability to efficiently process, normalize, and analyze large and diverse datasets in real time. As a result, customers increasingly require scalable, cloud-native platforms capable of unifying disparate data sources and applying advanced analytics and artificial intelligence within operational and regulated workflows. We believe solutions that support consistent, high-performance analysis across complex data environments are essential to enabling informed decision-making and effective risk management.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leading-edge technology platform, extensive longitudinal identity graph,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68" w:lineRule="exact"/>
        <w:rPr>
          <w:sz w:val="20"/>
          <w:szCs w:val="20"/>
          <w:color w:val="auto"/>
        </w:rPr>
      </w:pPr>
    </w:p>
    <w:p>
      <w:pPr>
        <w:ind w:left="300" w:right="60" w:hanging="292"/>
        <w:spacing w:after="0" w:line="254"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Transformative and Innovative Cloud-Native, AI-Enabled Technology Platform</w:t>
      </w:r>
      <w:r>
        <w:rPr>
          <w:rFonts w:ascii="Times New Roman" w:cs="Times New Roman" w:eastAsia="Times New Roman" w:hAnsi="Times New Roman"/>
          <w:sz w:val="18"/>
          <w:szCs w:val="18"/>
          <w:color w:val="auto"/>
        </w:rPr>
        <w:t>—Our CORE platform was architected from inception as a cloud-native system with artificial intelligence and machine learning embedded into its core data processing and analytical workflows. The platform integrates extensive proprietary data assets and regulated operational processes to assimilate, structure, and unify billions of disparate records, supporting the development of our leading core consumer identity graph and the delivery of high-confidence identity intelligence, presented in real-time via analytical interfaces. At the core of this architecture is IRON™, our proprietary entity resolution, data processing, and machine learning framework, purpose-built to resolve identities with precision, scalability, and computational efficiency across complex and fragmented data environments. IRON enables the continuous validation, linkage, and refinement of our identity graph at scale. We believe our application of advanced machine learning techniques to identity resolution and relationship analysis enables higher accuracy, greater scalability, and faster insight generation than legacy, rules-based, and on-premises solutions. Our platform’s speed, extensibility, and scalability support real-time analytics and mission-critical decisioning across complex operating environments, which we believe are key differentiators in the marketplace.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5" w:name="page6"/>
    <w:bookmarkEnd w:id="5"/>
    <w:p>
      <w:pPr>
        <w:ind w:left="300" w:hanging="292"/>
        <w:spacing w:after="0" w:line="253"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Longitudinal Identity Graph</w:t>
      </w:r>
      <w:r>
        <w:rPr>
          <w:rFonts w:ascii="Times New Roman" w:cs="Times New Roman" w:eastAsia="Times New Roman" w:hAnsi="Times New Roman"/>
          <w:sz w:val="18"/>
          <w:szCs w:val="18"/>
          <w:color w:val="auto"/>
        </w:rPr>
        <w:t>—Data is the lifeblood of our technology platform, and of modern society. Through our CORE platform,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 maintain extensive proprietary datasets that support the creation and expansion of our comprehensive consumer identity graph and the delivery of high-confidence, real-time intelligence. Our data is compiled from a broad range of online and offline sources, including structured and unstructured public record, publicly-available, proprietary, and self-reported information. Public record data includes personal information, as well as property, identity, bankruptcy, lien, judgment, automotive, phone, and other records aggregated from companies specializing in data aggregation, public record databases, and publicly-available sources. Proprietary data consists of internally generated data unified by proprietary algorithms and analytic processes. These processes are powered by IRON, our proprietary entity resolution, data processing, and machine learning framework, which enables the longitudinal linkage, validation, and continuous refinement of identities across fragmented datasets. Artificial intelligence and machine learning models embedded within our platform enable the efficient ingestion, normalization, and integration of large data volumes, as well as the identification of probabilistic relationships and predictive insights that are not readily discernible through traditional rules-based approaches. We believe the combination of our extensive proprietary data assets, purpose-built machine learning models, and scalable cloud-native architecture creates a reinforcing advantage that supports accurate identity resolution, normalized data structures, and actionable, real-time intelligence across a broad range of regulated and mission-critical use cases.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Solutions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CORE is a cloud-native, proprietary technology platform architected from inception with artificial intelligence, machine learning, and advanced analytics embedded into its core data processing and analytical frameworks. The platform integrates extensive public-record, proprietary, and publicly-available data assets to deliver high-confidence identity intelligence through scalable user-focused analytical interfaces. Our solutions provide intelligence across key identity dimensions, including entities, relationships, affiliations, interactions, and events, and support mission-critical and regulated operational, risk management, and compliance functions for public and private sector organizations. Our solutions are used to enable frictionless commerce, enhance safety, and mitigate fraud and the related financial losses across the markets we serve.</w:t>
      </w:r>
    </w:p>
    <w:p>
      <w:pPr>
        <w:spacing w:after="0" w:line="14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CORE’s machine learning models are designed to continuously enhance entity resolution, relationship mapping, and risk signals as new data is ingested and integrated. This continuous learning capability supports the accuracy, relevance, and reliability of our intelligence over time, strengthens customer engagement and reliance on the platform, and reinforces the scalability and durability of our business model.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Distribution and Marketing</w:t>
      </w:r>
    </w:p>
    <w:p>
      <w:pPr>
        <w:spacing w:after="0" w:line="19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Inside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Our inside sales team cultivates relationships, and ultimately closes business, with their end-user markets. These professionals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relationship-based sellers with experience in identifying customers’ needs and clearly explaining and defining products that provide solutions to those needs.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While the majority of our direct sales efforts are supported through professional inside sales staff, major accounts within certain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a more personal, face-to-face strategic sales approach. We continue to expand this team to meet the demand of the markets.</w:t>
      </w:r>
    </w:p>
    <w:p>
      <w:pPr>
        <w:spacing w:after="0" w:line="11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Distributors, Resellers, and Strategic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conjunction with direct-to-customer sales efforts, we engage value-added distributors, resellers,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 have implemented various methods to market our products, including participation in trade shows and seminars, advertising,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distribution of sales literature and product specifications and ongoing communication with prospective customers, distributors, resellers, strategic partners and our installed base of current customers.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 w:name="page7"/>
    <w:bookmarkEnd w:id="6"/>
    <w:p>
      <w:pPr>
        <w:ind w:left="300" w:right="80" w:hanging="292"/>
        <w:spacing w:after="0" w:line="257"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 Data Into Intelligence</w:t>
      </w:r>
      <w:r>
        <w:rPr>
          <w:rFonts w:ascii="Times New Roman" w:cs="Times New Roman" w:eastAsia="Times New Roman" w:hAnsi="Times New Roman"/>
          <w:sz w:val="18"/>
          <w:szCs w:val="18"/>
          <w:color w:val="auto"/>
        </w:rPr>
        <w:t>—Our core consumer identity graph, integrated with our cloud-native, AI-enabled technology platform, delivers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actionable intelligence to customers across the markets we serve. As organizations continue to digitize operations and generate increasing volumes of data, we expand and refine our proprietary data assets and analytical models to support more comprehensive identity resolution and relationship analysis. Through the application of supervised and unsupervised machine learning techniques to proprietary and third-party data assets, we enhance the depth, accuracy, and relevance of our intelligence. We believe this approach supports broader enterprise adoption, increased customer engagement, and expansion across regulated and mission-critical use cases over time.</w:t>
      </w:r>
    </w:p>
    <w:p>
      <w:pPr>
        <w:spacing w:after="0" w:line="155" w:lineRule="exact"/>
        <w:rPr>
          <w:rFonts w:ascii="Times New Roman" w:cs="Times New Roman" w:eastAsia="Times New Roman" w:hAnsi="Times New Roman"/>
          <w:sz w:val="18"/>
          <w:szCs w:val="18"/>
          <w:color w:val="auto"/>
        </w:rPr>
      </w:pPr>
    </w:p>
    <w:p>
      <w:pPr>
        <w:ind w:left="300" w:right="60" w:hanging="292"/>
        <w:spacing w:after="0" w:line="255"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Widen Our Technology Lead</w:t>
      </w:r>
      <w:r>
        <w:rPr>
          <w:rFonts w:ascii="Times New Roman" w:cs="Times New Roman" w:eastAsia="Times New Roman" w:hAnsi="Times New Roman"/>
          <w:sz w:val="18"/>
          <w:szCs w:val="18"/>
          <w:color w:val="auto"/>
        </w:rPr>
        <w:t>—Unlike certain legacy platforms, our technology was architected from inception as a cloud-native system with artificial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machine learning embedded into its core data processing and analytical workflows. This architecture supports high levels of speed, scalability, reliability, and analytical performance relative to legacy, on-premises, and hybrid environments. While some competitors continue to invest significant resources in transitioning legacy infrastructures to more modern deployment models, we remain focused on advancing and expanding our cloud-native, AI-enabled platform to meet evolving customer requirements. As customers increasingly rely on secure, scalable, and high-performance intelligence solutions to support mission-critical and regulated workflows, we believe our architectural foundation positions us to deliver these capabilities efficiently and consistently. We will continue to invest in our technology, identity graph, and personnel to strengthen our competitive position and extend our technology leadership.</w:t>
      </w:r>
    </w:p>
    <w:p>
      <w:pPr>
        <w:spacing w:after="0" w:line="144" w:lineRule="exact"/>
        <w:rPr>
          <w:rFonts w:ascii="Times New Roman" w:cs="Times New Roman" w:eastAsia="Times New Roman" w:hAnsi="Times New Roman"/>
          <w:sz w:val="18"/>
          <w:szCs w:val="18"/>
          <w:color w:val="auto"/>
        </w:rPr>
      </w:pPr>
    </w:p>
    <w:p>
      <w:pPr>
        <w:ind w:left="300" w:right="20" w:hanging="292"/>
        <w:spacing w:after="0" w:line="273"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Enhance Functionality and Develop New Solutions</w:t>
      </w:r>
      <w:r>
        <w:rPr>
          <w:rFonts w:ascii="Times New Roman" w:cs="Times New Roman" w:eastAsia="Times New Roman" w:hAnsi="Times New Roman"/>
          <w:sz w:val="17"/>
          <w:szCs w:val="17"/>
          <w:color w:val="auto"/>
        </w:rPr>
        <w:t>—We focus on continuous enhancement of our platform to support evolving customer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requirements and increasingly complex operating environments. Customers rely on our solutions to address data-intensive challenges, support informed decision-making, and improve operational efficiency within regulated and mission-critical workflows. We are committed to enhancing the functionality of our existing solutions and developing new capabilities that further embed artificial intelligence and machine learning within customer workflows. By deepening integration with core operational processes and expanding analytical capabilities, we seek to increase the value and applicability of our platform across existing and adjacent use cases. As we introduce additional functionality and solutions, we aim to support customers in addressing challenges arising from disparate and fragmented data environments while strengthening long-term customer engagement and platform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proprietary data, differentiated solutions, analytical capabilities, integration with our customers’ technology, customer relationships, service stability, and price. We believe we are well-positioned to effectively compete on all fronts.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extensive longitudinal identity graph, and the intelligent design of our cloud-native infrastructure will allow us to differentiate ourselves from our competition in flexibility, capability, service, and price.</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of our competitors operate on legacy, on-premises, or privately managed data center and hybrid infrastructures that were not originally designed to support modern cloud-native deployment models, scalable data processing, or embedded artificial intelligence and machine learning capabilities. In contrast, our platform was architected from inception as a cloud-native system with artificial intelligence and machine learning integrated into core data processing and analytical workflows. As a result, we believe we are better positioned to efficiently incorporate ongoing advances in artificial intelligence and related technologies, enhance product functionality, and deliver scalable, data-driven solutions to our customers over time.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increased investment and acquisitions. We anticipate increased competition from data and analytics suppliers, which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Concentration of Customers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no individual customer accounted for more than 10% of total revenue.</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One individual customer accounted for approximately 10% of our accounts receivable, net, as of December 31, 2025. No individual customer accounted for more than 10% of our accounts receivable, net,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Suppliers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the major credit bureaus, including our largest data supplier. Our other data suppliers include strategic partners, as well as various government and public record databases. Our largest data supplier, with whom we have expanded our relationship while securing what we believe to be favorable business terms over the years, accounted for approximately 45% of our total data acquisition costs both for the years ended December 31, 2025 and 2024. Effective May 1, 2025, we entered into an amendment with our largest data supplier, extending the term of the agreement through April 30, 2031. We may elect to extend the term for an additional twelve months upon written notice to this supplier at least 30 days prior to the end of the amended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us and we may terminate this agreement by providing not less than 24 months’ advance written notice to this supplier. As of December 31, 2025, the remaining payment obligations through the end of the amended and renewed term is $23.2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While we may hold one or more patents, we do not rely primarily on patents to protect our intellectually property. Through contractual arrangements, robust employee training programs, and other information safeguards, we protect our key proprietary information and databases as trade secrets.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 data acquired through licensing rights from approximately 30 providers. The loss of any one of these providers could have an immediate near-term impact on our financial position, results of operations, and liquidity. Also see “Concentration of Suppliers”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rules, and regulations, including, without limitation, the Gramm-Leach-Bliley Act (15 U.S.C. §§ 6801- 6809) (the “GLBA”), the Driver’s Privacy Protection Act (18 U.S.C. §§ 2721- 2725) (the “DPPA”) and the Federal Trade Commission Act (the “FTC Act”). Additional requirements may also apply to us when providing services to U.S. federal, state, and local government agencies, including, without limitation, various Federal Acquisition Regulation and associated supplemental contract clauses.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privacy issues could place restrictions upon the collection, sharing, and use of information that is currently legally available, which could materially increase our cost of collecting and maintaining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are subject to seasonal fluctuation. Historically, certain products experience seasonal pressure during the fourth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8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Our management team has a track record of strong performance and significant expertise in the markets we serve, supported by decades of collective experience across the data, analytics, and risk management sectors. Members of our leadership team have built and scaled leading companies in our industry, creating significant shareholder value, and have developed deep institutional knowledge that is embedded within our proprietary data assets, technology platform, and regulated workflows. We continue to attract and retain experienced management talent, reflecting our focus on operational excellence and long-term value creation.</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team possesses extensive domain expertise across industries we serve and has overseen the expansion of our proprietary technology platform and identity graph while managing ongoing strategic initiatives, including the transition from a development-focused organization to a sales-driven enterprise. As a result of this experience, execution capability, and institutional knowledge, we believe we are well positioned to continue driving organic growth and maintaining our competitive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employ a total of 250 employees, all full-time, as of December 31, 2025.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2650 North Military Trail, Suite 300, Boca Raton, Florida 33431 and our telephone number is (561) 757-4000. Our corporate website is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The website address provided in this 2025 Form 10-K is not intended to function as a hyperlink and information obtained on the website is not and should not be considered part of this 2025 Form 10-K and is not incorporated by reference in this 2025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SEC maintains an internet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that contains the information we file or furnish electronically with the SEC.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0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Our executive officers are as follows:</w:t>
            </w:r>
          </w:p>
        </w:tc>
        <w:tc>
          <w:tcPr>
            <w:tcW w:w="122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2"/>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c>
          <w:tcPr>
            <w:tcW w:w="1220" w:type="dxa"/>
            <w:vAlign w:val="bottom"/>
          </w:tcPr>
          <w:p>
            <w:pPr>
              <w:spacing w:after="0"/>
              <w:rPr>
                <w:sz w:val="16"/>
                <w:szCs w:val="16"/>
                <w:color w:val="auto"/>
              </w:rPr>
            </w:pPr>
          </w:p>
        </w:tc>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James Reilly</w:t>
            </w:r>
          </w:p>
        </w:tc>
        <w:tc>
          <w:tcPr>
            <w:tcW w:w="12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Daniel MacLachlan</w:t>
            </w:r>
          </w:p>
        </w:tc>
        <w:tc>
          <w:tcPr>
            <w:tcW w:w="12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Jeff Dell</w:t>
            </w:r>
          </w:p>
        </w:tc>
        <w:tc>
          <w:tcPr>
            <w:tcW w:w="12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bl>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Mr. Derek Dubner</w:t>
      </w:r>
      <w:r>
        <w:rPr>
          <w:rFonts w:ascii="Times New Roman" w:cs="Times New Roman" w:eastAsia="Times New Roman" w:hAnsi="Times New Roman"/>
          <w:sz w:val="18"/>
          <w:szCs w:val="18"/>
          <w:color w:val="auto"/>
        </w:rPr>
        <w:t>, 54, has served as the Chief Executive Officer (principal executive officer) and a director of the Company since its formation in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and continuing through the spin-off from Cogint, Inc. (“cogint”) (now known as Fluent, Inc.), on March 26, 2018, whereby cogint spun off its risk management business by way of a distribution of all of the shares of common stock of its then wholly-owned subsidiary, red violet, to its stockholders as of the record date and certain warrant holders (the “Spin-off”). Mr. Dubner was appointed as Interim Chairman of the Company's Board of Directors in September 2018 and as Chairman of the Company's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4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Mr. James Reilly</w:t>
      </w:r>
      <w:r>
        <w:rPr>
          <w:rFonts w:ascii="Times New Roman" w:cs="Times New Roman" w:eastAsia="Times New Roman" w:hAnsi="Times New Roman"/>
          <w:sz w:val="18"/>
          <w:szCs w:val="18"/>
          <w:color w:val="auto"/>
        </w:rPr>
        <w:t>, 51, has served as President of the Company since its formation in August 2017 and continuing through the Spin-off, and as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since August 2025. Mr. 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Mr. Daniel MacLachlan</w:t>
      </w:r>
      <w:r>
        <w:rPr>
          <w:rFonts w:ascii="Times New Roman" w:cs="Times New Roman" w:eastAsia="Times New Roman" w:hAnsi="Times New Roman"/>
          <w:sz w:val="18"/>
          <w:szCs w:val="18"/>
          <w:color w:val="auto"/>
        </w:rPr>
        <w:t>, 47, has served as the Chief Financial Officer (principal financial officer) of the Company since its formation in August 2017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through the Spin-off, and as principal accounting officer since November 2019. Mr. MacLachlan served as Chief Financial Officer of cogint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Mr. Jeff Dell</w:t>
      </w:r>
      <w:r>
        <w:rPr>
          <w:rFonts w:ascii="Times New Roman" w:cs="Times New Roman" w:eastAsia="Times New Roman" w:hAnsi="Times New Roman"/>
          <w:sz w:val="18"/>
          <w:szCs w:val="18"/>
          <w:color w:val="auto"/>
        </w:rPr>
        <w:t>, 54, has served as the Chief Information Officer of the Company since its formation in August 2017 and continuing through the Spin-off.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an information solutions provider in the data fusion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operating results, and cash flows may be impacted by a number of factors, many of which are beyond our control, including those set forth below and elsewhere in this 2025 Form 10-K, the occurrence of any one of which could have a material adverse effect on our actual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Technology Risks</w:t>
      </w:r>
    </w:p>
    <w:p>
      <w:pPr>
        <w:spacing w:after="0" w:line="1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4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distributors, or strategic partners.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Hackers may especially target concerns that are known to maintain large repositories of proprietary information or personal information, which can then be exploited for the hacker's personal gain. If we grow and obtain more visibility, we may be more vulnerable to hacking or other attempts to gain unauthorized access to our system. Moreover, the increased use of mobile devices also increases the risk of theft or the intentional and unintentional disclosure of data including proprietary information or personal information. We may be unable to anticipate all of these vulnerabilities and implement adequate preventative measures and, in some cases, we may not be able to immediately detect a security incident. Any security incident could result in legal, regulatory, and financial liability, as well as harm to our reputation.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or outside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Privacy concerns relating to the collection, use, accuracy, correction and sharing of personal information and any perceived or actual unauthorized disclosure of personal information, whether through breach of our network by an unauthorized party, employee theft, misuse, or error could harm our reputation, impair our ability to attract website visitors and to attract and retain customers,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comply with any data breach notification provisions contained in our customer contracts, and comply with the multitude of state and federal laws regarding data privacy and data breach notification obligations.</w:t>
      </w:r>
    </w:p>
    <w:p>
      <w:pPr>
        <w:spacing w:after="0" w:line="14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a nationwide provider of risk and information solutions, we aggregate, store, and process a large amount of sensitive and confidential consumer information including financial information and personal information. This data is often accessed through secure transmissions over public and private networks, including the internet. We have invested significant resources to implement technical and physical security policies, procedures and systems, as well as contractual precautions, that we believe are reasonably designed to identify, detect, and prevent the unauthorized access to and alteration and disclosure of our data. Despite these investments and precautions,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Due to both the nature and volume of the information we aggregate, store, and process, it is not unusual for efforts to occur (coordinated or otherwise) by unauthorized persons to attempt to obtain access to our systems or data, or to inhibit our ability to deliver products or services to a customer. These efforts are likely becoming more sophisticated over time and may attempt to exploit obscure vulnerabilities. We must regularly monitor and develop our information technology networks and infrastructure to prevent, detect, address, and mitigate the risk of unauthorized access, misuse, computer viruses and other events that could have a security impact.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precautions may be inadequate to thwart a cybersecurity incident. Furthermore, 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68"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complexity of our operations and the high volume of transactions that we process;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number of customers, counterparties and third-party service providers with which we do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and increasing sophistication of cyberattacks;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third party, after establishing a foothold on an internal network without being detected, might obtain access to other networks and systems.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2" w:name="page13"/>
    <w:bookmarkEnd w:id="12"/>
    <w:p>
      <w:pPr>
        <w:ind w:right="120"/>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and other requirements in the event that a consumer's personal information is accessed by unauthorized persons. It is likely that additional laws pertaining to the use, access, accuracy, and security of personal information will be adopted in the future. In the United States, federal and state laws provide for more than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systems, our certifications, our technology, and our interfaces with data and customers, demand for our services could be adversely affected.</w:t>
      </w:r>
    </w:p>
    <w:p>
      <w:pPr>
        <w:spacing w:after="0" w:line="1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industry, there are continuous improvements in computer hardware, network operating systems, programming tools, programming languages, operating systems, data matching, data filtering and other database technologies, as well as the use of the internet and emerging technologies, such as but not limited to, artificial intelligence.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customer needs and regulatory requirements, including being able to bring our new products to the market quickly;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customers and data sources successfully to new interfaces or other technologies.</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6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Furthermore, we may be required to obtain various industry or technical certifications under our contracts or otherwise to keep pace with our competitors. If we fail to achieve and maintain these key industry or technical certifications, our customers may stop doing business with us and we may not be able to win new business, which would negatively affect our revenue.</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and generative artificial intelligence may result in reputational harm, liability, or other adverse consequences to our business.</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certain machine learning and artificial intelligence technologies and processes in our business, including the use of generative artificial intelligence, and we are making continuing investments in this area, including ongoing deployment and improvement of existing machine learning and artificial intelligence technologies. These AI-enabled technologies and processes are complex and continually evolving, and we face significant competition from other companies. Also, certain laws and regulations have been enacted related to the development and use of these technologies, and more are likely to be enacted in the future. Adapting our existing policies and controls to address the evolving legal and regulatory landscape may be costly and time consuming.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Increasing our utilization of machine learning and artificial intelligence technologies within existing products or introducing them into new products may result in increased risks, such as the risk of government scrutiny, lawsuits, security risks, or other issues that could adversely affect our business, our reputation, and/or our financial results.</w:t>
      </w:r>
    </w:p>
    <w:p>
      <w:pPr>
        <w:spacing w:after="0" w:line="1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Also, artificial intelligence and generative artificial intelligence may create content that appears correct but is flawed or erroneous. Any flaws or errors discovered in our products after commercial release could result in loss of revenue or delay in revenue recognition, or loss of customers, any of which could adversely affect our business and results of operations. In addition, we could face claims for product liability.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t>Computer hackers and others routinely attack the security of technology products, services, systems and networks using a wide variety of methods, and the increased use of generative artificial intelligence may introduce novel methods of attack. In the event of such actions, we, our customers and other third parties could be exposed to liability, litigation, and regulatory or other government action, including debarment, as well as the loss of existing or potential customers, damage to brand and reputation, damage to our competitive position, and other financial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8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subject to regulation under the GLBA, the DPPA, the FTC Act, and various other federal, state, and local laws and regulations, as well as, when we provide services to government agencies, applicable government procurement regulations and associated contract clauses. These laws and regulations, which generally are designed to protect consumers and to prevent the misuse of personal information are complex, change frequently, and have tended to become more stringent over time. We have already incurred significant expenses in our endeavors to comply with these laws.</w:t>
      </w:r>
    </w:p>
    <w:p>
      <w:pPr>
        <w:spacing w:after="0" w:line="15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Currently, public concern is high with regard to the collection, use, accuracy, correction, and sharing of personal information, including Social Security numbers, dates of birth, financial information, department of motor vehicle data, and other data which is personally identifiable or may be considered sensitive. In addition, many advocacy groups as well as some legislatures and government regulators believe that existing laws and regulations do not adequately protect privacy, and are otherwise concerned with businesses’ collection, storage, and use of personal information. There are calls to limit the availability of data made available for customer use cases that we may currently serve, such as for marketing purposes or for law enforcement purposes. Relatedly, several U.S. states have introduced and passed legislation to provide consumers with greater transparency and control over their personal information. Laws may allow consumers to request that businesses disclose to them what personal information is collected about them, delete or correct such personal information, and opt-them out of the sale or sharing of their personal information. There are approximately 20 states that have enacted some form of comprehensive data privacy legislation similar to the California Consumer Privacy Act and/or the Virginia Consumer Data Protection Act. While these laws include specific exemptions, including exemptions for practices and activities conducted pursuant to the GLBA and DPPA, they apply to other portions of our business that are not conducted pursuant to these laws. California has recently enacted the Delete Act, intending to make it easier for consumers to request the deletion of their personal information. Other states are actively considering privacy and security bills, and may pass laws, either similar or dissimilar to existing state privacy laws in the future.</w:t>
      </w:r>
    </w:p>
    <w:p>
      <w:pPr>
        <w:spacing w:after="0" w:line="1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customers could affect the activities or strategies of such customers and, therefore, lead to reductions in their level of business with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legal and regulatory developments also could have a material adverse effect on our business, financial condition, or results of operations:</w:t>
      </w:r>
    </w:p>
    <w:p>
      <w:pPr>
        <w:spacing w:after="0" w:line="117" w:lineRule="exact"/>
        <w:rPr>
          <w:sz w:val="20"/>
          <w:szCs w:val="20"/>
          <w:color w:val="auto"/>
        </w:rPr>
      </w:pPr>
    </w:p>
    <w:p>
      <w:pPr>
        <w:ind w:left="560" w:right="16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53" w:lineRule="exact"/>
        <w:rPr>
          <w:rFonts w:ascii="Times New Roman" w:cs="Times New Roman" w:eastAsia="Times New Roman" w:hAnsi="Times New Roman"/>
          <w:sz w:val="18"/>
          <w:szCs w:val="18"/>
          <w:color w:val="auto"/>
        </w:rPr>
      </w:pPr>
    </w:p>
    <w:p>
      <w:pPr>
        <w:ind w:left="560" w:right="12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perception or the position of government actors in favor of further restrictions on information collection and sharing, which may lead to regulations that prevent full utilization of our solutions;</w:t>
      </w:r>
    </w:p>
    <w:p>
      <w:pPr>
        <w:spacing w:after="0" w:line="53" w:lineRule="exact"/>
        <w:rPr>
          <w:rFonts w:ascii="Times New Roman" w:cs="Times New Roman" w:eastAsia="Times New Roman" w:hAnsi="Times New Roman"/>
          <w:sz w:val="18"/>
          <w:szCs w:val="18"/>
          <w:color w:val="auto"/>
        </w:rPr>
      </w:pPr>
    </w:p>
    <w:p>
      <w:pPr>
        <w:ind w:left="560" w:right="36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resellers, distributors, strategic business partners, or vendors to comply with laws or regulations, where these third parties' failures could reflect negatively on us or require us to cease or limit our business with them;</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comply with current laws and regulations;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adapt to changes in the regulatory environment in an efficient, cost-effective manner.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4" w:name="page15"/>
    <w:bookmarkEnd w:id="14"/>
    <w:p>
      <w:pPr>
        <w:ind w:right="160"/>
        <w:spacing w:after="0" w:line="254" w:lineRule="auto"/>
        <w:rPr>
          <w:sz w:val="20"/>
          <w:szCs w:val="20"/>
          <w:color w:val="auto"/>
        </w:rPr>
      </w:pPr>
      <w:r>
        <w:rPr>
          <w:rFonts w:ascii="Times New Roman" w:cs="Times New Roman" w:eastAsia="Times New Roman" w:hAnsi="Times New Roman"/>
          <w:sz w:val="18"/>
          <w:szCs w:val="18"/>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5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Legal proceedings arise as part of the normal course of our business. These may include actions between us and a current or former employee, actions between us and a current or former customer,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5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While we maintain various insurance policies that we believe provide us with suitable coverage and protection in the event of litigation or other legal proceedings, those policies may contain exclusions or limitations, resulting in some cases in us retaining all or a portion of the risk of loss.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5" w:name="page16"/>
    <w:bookmarkEnd w:id="15"/>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of 1933, as amended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Operations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operating results remain uncertain.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need to generate greater revenue from the sale of our products and services if we are to sustain profitability. If we are unable to generate greater revenue, we may not be able to continue to achieve profitability and generate positive cash flow from operations in the future</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strategic alliances and joint ventures to grow our business. If we are unable to develop and maintain these strategic alliances and joint ventures, our growth may be adversely affected.</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important focus of our business is to identify business relationships that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consummate any future acquisitions, we will be subject to the risks inherent in identifying, acquiring, and operating a newly acquired business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6" w:name="page17"/>
    <w:bookmarkEnd w:id="16"/>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existing businesses, including the diversion of management attention and the redeployment of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or industries in which we have limited prior experience;</w:t>
      </w:r>
    </w:p>
    <w:p>
      <w:pPr>
        <w:spacing w:after="0" w:line="117"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hidden, or fraudulent liabilities;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aligning and coordinating organizations which will likely be geographically separated and may involve diverse business operations and corporate cultures;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and retaining key management, sales, research and development, production, and other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distribution partners of the acquired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incorporating the acquired business into our organization;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customers, resellers, distributors, strategic business partners, or suppliers;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or expanding information technology systems and other business processes to accommodate the acquired business;</w:t>
      </w:r>
    </w:p>
    <w:p>
      <w:pPr>
        <w:spacing w:after="0" w:line="117" w:lineRule="exact"/>
        <w:rPr>
          <w:rFonts w:ascii="Times New Roman" w:cs="Times New Roman" w:eastAsia="Times New Roman" w:hAnsi="Times New Roman"/>
          <w:sz w:val="18"/>
          <w:szCs w:val="18"/>
          <w:color w:val="auto"/>
        </w:rPr>
      </w:pPr>
    </w:p>
    <w:p>
      <w:pPr>
        <w:ind w:left="380" w:right="60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impairments of goodwill and other intangible assets if the acquired business does not perform as expected;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necessary government approvals for the acquisition, if any;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successfully operating the acquired business.</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key customers may be materially diminished or terminated, which could adversely affect our business, financial condition, and results of operations.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key personnel, it could adversely affect our business.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the FTC and certain other government entities have indicated a desire to limit the allowability of agreements that are designed to prevent employees from competing with their former employers. If the enforceability of these types of “non-compete” agreements is affected by future lawmaking or regulatory action, it may impede our ability to ensure that former employees, who received training and experience through their employment with us, refrain from using their knowledge of our business and operations to compete with us.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7" w:name="page18"/>
    <w:bookmarkEnd w:id="1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customers, and therefore our business and revenue, sometimes depend on favorable macroeconomic conditions and are impacted by the availability of credit, the level and volatility of interest rates, inflation, tariffs, employment levels, consumer confidence, and housing demand. In addition, a significant amount of our revenue is concentrated in the U.S. market across a broad range of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The imposition of tariffs by the United States on foreign goods, tensions over the imposition of such tariffs, and (both actual and anticipated) retaliation from other countries may exasperate these issues. This, in turn, may lead to a decline in the volume of services we provide to our customers in the banking or financial industry, or other industries that are affected by these types of disruptions. If businesses in these industries experience economic hardship, we cannot assure you that we will be able to generate future revenue growth and these types of disruptions could negatively impact our revenue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our access to data sources which could prevent us from providing our services.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strategic partners and various government and public record databases. In some cases, we compete with our data suppliers. Our data suppliers could stop providing data, impose more stringent contractual restrictions on our use of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the term of our agreement with which was extended during 2025 through April 30, 2031,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 Also see “Concentration of Suppliers”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adequately protect our intellectual property in order to prevent loss of valuable proprietary information.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8" w:name="page19"/>
    <w:bookmarkEnd w:id="1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third parties may independently develop intellectual property similar to ours, but without use of our trade secrets or proprietary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cases, the value of our intellectual property may be diminished but we will lack any enforceable right or remedy.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both start-up and established companies that may have significant advantages over us and our products.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the use of artificial intelligence, performance, price, ease of use, scalability, reliability, flexibility, product features, and technical support.</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data and analytics sector include RELX Group (LexisNexis), TransUnion, and Thomson Reuters. Current and potential competitors may have one or more of the following significant advantages:</w:t>
      </w:r>
    </w:p>
    <w:p>
      <w:pPr>
        <w:spacing w:after="0" w:line="5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name recognition;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solutions;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or more extensive cooperative relationships;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further consolidation in our end-customer markets, which may adversely affect our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newer products do not achieve market acceptance, revenue growth may suffer.</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products and solutions may experience varying sales cycles depending on industry, customer size, and implementation complexity, and in certain markets competitors may have longer operating histories or more established customer relationships.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7" w:right="4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4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on a number of service providers and key vendors such as telecommunication companies, software engineers, cloud providers,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data and analytics sector may limit market acceptance of our products and services.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and/or data. Further, business combinations are creating companies with larger market shares, customer bases, sales forces, product offerings and technology and marketing expertise, which may make it more difficult for us to compete.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defending the Company against claims of infringement.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14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any future reporting obligations in connection with environmental issues, may adversely impact our business and operations.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Extreme weather events and natural disasters may disrupt our operations or those of our customers and suppliers. These events may become more frequent and more severe as a result of climate change, and the long-term impacts to the economy and our industry are unknown. While we maintain business continuity and disaster recovery plans, we cannot be certain that those plans will be effective. Even if we are unaffected by an extreme weather event or natural disaster, or recover from one quickly, our customers or suppliers may be more severely impacted, thereby affecting their ability to continue to do business with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the value of an investment in our common stock may decline.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5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industry;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prominence of new technologies, including AI, in the markets in which we compete;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war, and/or events of terrorism.</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5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the Spin-off and through December 31, 2025, we issued an aggregate of 4,182,714 shares of our common stock in connection with vesting of awards made under the Red Violet, Inc. 2018 Stock Incentive Plan, as amended and restated (the “2018 Plan”), 972,971 shares of which were retired and cancelled. Also, as of December 31, 2025, 63,717 shares underlying awards made under the 2018 Plan have vested but the delivery has been deferred by the recipients, and an additional 769,227 shares underlying awards made under the 2018 Plan are scheduled to vest and be delivered through 2030. Pursuant to the 2018 Plan, our Board of Directors may grant stock options, restricted stock units (“RSUs”), or other equity awards to our directors and employees. Future stock incentive plans may also allow our Board of Directors to issue these equity awards to our directors and employees. When these awards vest or are exercised, the issuance of shares of common stock underlying these awards will have a dilutive effect on our common stock. Future acquisitions may involve the issuance of our common stock as payment, in part or in full, for the business or assets acquired. The benefits derived by us from an acquisition might not exceed the dilutive effect of the shares issued as part of the acquisition. Additionally, we filed a shelf registration statement on Form S-3, which was declared effective on November 25, 2025 (the "Shelf Registration Statement"), allowing us to offer and sell our registered common stock, preferred stock, debt securities, depository shares, warrants and/or units from time to time pursuant to one or more offerings of up to $150.0 million. While we have not issued any shares under the Shelf Registration Statement, any issuance could have a dilutive effect.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may limit individual stockholder ability to influence corporate matters.</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December 31, 2025, officers and directors of the Company owned approximately 9% of our common stock (approximately 10%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and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a smaller reporting company, we may continue to rely on exemptions from certain disclosure requirements that are available to smaller reporting companies. Specifically, we may choose to present only the two most recent fiscal years of audited financial statements in our Annual Report on Form 10-K and, similar to emerging growth companies, smaller reporting companies have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2025, we issued an aggregate of 1,233,915 shares of our common stock in connection with registered direct offerings.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continue to declare or pay dividends on our common stock in the future.</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3, 2024, we declared a special cash dividend of $0.30 per share on our common stock (the "Dividend") to shareholders of record as of January 31, 2025. The Dividend, totaling $4.2 million, was paid on February 14, 2025. However, there is no assurance that we will continue to declare or pay cash dividends in the future. Any future dividend payments are within the discretion of our Board of Directors and will depend upon, among other things, our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our Board of Directors may deem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implemented and maintained a comprehensive information security program designed to protect the confidentiality, integrity, and availability of our critical systems and information, as well as to identify, assess, manage, mitigate, and respond to cybersecurity threats. Our systems and processes are assessed by independent third parties for compliance with: the International Standard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22" w:name="page23"/>
    <w:bookmarkEnd w:id="22"/>
    <w:p>
      <w:pPr>
        <w:ind w:right="440"/>
        <w:spacing w:after="0" w:line="282" w:lineRule="auto"/>
        <w:rPr>
          <w:sz w:val="20"/>
          <w:szCs w:val="20"/>
          <w:color w:val="auto"/>
        </w:rPr>
      </w:pPr>
      <w:r>
        <w:rPr>
          <w:rFonts w:ascii="Times New Roman" w:cs="Times New Roman" w:eastAsia="Times New Roman" w:hAnsi="Times New Roman"/>
          <w:sz w:val="18"/>
          <w:szCs w:val="18"/>
          <w:color w:val="auto"/>
        </w:rPr>
        <w:t>Organization (“ISO”) 27001:2022; System and Organization Controls (“SOC”) 2, Type 2; and Payment Card Industry Data Security Standards (“PCI DSS”) Level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information security program includes the following key elements to help identify, manage, mitigate, and respond to cybersecurity threats:</w:t>
      </w:r>
    </w:p>
    <w:p>
      <w:pPr>
        <w:spacing w:after="0" w:line="113" w:lineRule="exact"/>
        <w:rPr>
          <w:sz w:val="20"/>
          <w:szCs w:val="20"/>
          <w:color w:val="auto"/>
        </w:rPr>
      </w:pPr>
    </w:p>
    <w:p>
      <w:pPr>
        <w:jc w:val="both"/>
        <w:ind w:left="300" w:right="22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assessments</w:t>
      </w:r>
      <w:r>
        <w:rPr>
          <w:rFonts w:ascii="Times New Roman" w:cs="Times New Roman" w:eastAsia="Times New Roman" w:hAnsi="Times New Roman"/>
          <w:sz w:val="18"/>
          <w:szCs w:val="18"/>
          <w:color w:val="auto"/>
        </w:rPr>
        <w:t>—We conduct annual enterprise-wide risk assessments designed to identify material cybersecurity risks to our operations, quantify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impact and probability of each identified risk, develop and implement mitigating controls, and reassess previously identified risks on an ongoing basis.</w:t>
      </w:r>
    </w:p>
    <w:p>
      <w:pPr>
        <w:spacing w:after="0" w:line="62" w:lineRule="exact"/>
        <w:rPr>
          <w:rFonts w:ascii="Times New Roman" w:cs="Times New Roman" w:eastAsia="Times New Roman" w:hAnsi="Times New Roman"/>
          <w:sz w:val="18"/>
          <w:szCs w:val="18"/>
          <w:color w:val="auto"/>
        </w:rPr>
      </w:pPr>
    </w:p>
    <w:p>
      <w:pPr>
        <w:ind w:left="300" w:right="4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Testing</w:t>
      </w:r>
      <w:r>
        <w:rPr>
          <w:rFonts w:ascii="Times New Roman" w:cs="Times New Roman" w:eastAsia="Times New Roman" w:hAnsi="Times New Roman"/>
          <w:sz w:val="18"/>
          <w:szCs w:val="18"/>
          <w:color w:val="auto"/>
        </w:rPr>
        <w:t>—We conduct monthly vulnerability assessments and annual penetration testing of our systems and controls to identify and remediate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vulnerabilities. Our testing program includes both automated scanning and manual security assessments performed by qualified internal and external security professionals.</w:t>
      </w:r>
    </w:p>
    <w:p>
      <w:pPr>
        <w:spacing w:after="0" w:line="62" w:lineRule="exact"/>
        <w:rPr>
          <w:rFonts w:ascii="Times New Roman" w:cs="Times New Roman" w:eastAsia="Times New Roman" w:hAnsi="Times New Roman"/>
          <w:sz w:val="18"/>
          <w:szCs w:val="18"/>
          <w:color w:val="auto"/>
        </w:rPr>
      </w:pPr>
    </w:p>
    <w:p>
      <w:pPr>
        <w:jc w:val="both"/>
        <w:ind w:left="300" w:right="38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safeguards</w:t>
      </w:r>
      <w:r>
        <w:rPr>
          <w:rFonts w:ascii="Times New Roman" w:cs="Times New Roman" w:eastAsia="Times New Roman" w:hAnsi="Times New Roman"/>
          <w:sz w:val="18"/>
          <w:szCs w:val="18"/>
          <w:color w:val="auto"/>
        </w:rPr>
        <w:t>—We utilize multiple layers of technical safeguards designed to protect our information systems from cybersecurity threats,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network security controls, endpoint protection, data encryption, access controls, and security monitoring tools. We regularly review and update our technical safeguards in accordance with industry best practices and evolving threat landscapes.</w:t>
      </w:r>
    </w:p>
    <w:p>
      <w:pPr>
        <w:spacing w:after="0" w:line="62" w:lineRule="exact"/>
        <w:rPr>
          <w:rFonts w:ascii="Times New Roman" w:cs="Times New Roman" w:eastAsia="Times New Roman" w:hAnsi="Times New Roman"/>
          <w:sz w:val="18"/>
          <w:szCs w:val="18"/>
          <w:color w:val="auto"/>
        </w:rPr>
      </w:pPr>
    </w:p>
    <w:p>
      <w:pPr>
        <w:ind w:left="300" w:right="14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continuity and disaster recovery planning</w:t>
      </w:r>
      <w:r>
        <w:rPr>
          <w:rFonts w:ascii="Times New Roman" w:cs="Times New Roman" w:eastAsia="Times New Roman" w:hAnsi="Times New Roman"/>
          <w:sz w:val="18"/>
          <w:szCs w:val="18"/>
          <w:color w:val="auto"/>
        </w:rPr>
        <w:t>—We maintain comprehensive business continuity and disaster recovery plans that are tested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annually to ensure our ability to maintain critical operations and recover from potential disruptions, including those resulting from cybersecurity incidents.</w:t>
      </w:r>
    </w:p>
    <w:p>
      <w:pPr>
        <w:spacing w:after="0" w:line="62" w:lineRule="exact"/>
        <w:rPr>
          <w:rFonts w:ascii="Times New Roman" w:cs="Times New Roman" w:eastAsia="Times New Roman" w:hAnsi="Times New Roman"/>
          <w:sz w:val="18"/>
          <w:szCs w:val="18"/>
          <w:color w:val="auto"/>
        </w:rPr>
      </w:pPr>
    </w:p>
    <w:p>
      <w:pPr>
        <w:ind w:left="300" w:right="140" w:hanging="292"/>
        <w:spacing w:after="0" w:line="262"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Cybersecurity Incident Response</w:t>
      </w:r>
      <w:r>
        <w:rPr>
          <w:rFonts w:ascii="Times New Roman" w:cs="Times New Roman" w:eastAsia="Times New Roman" w:hAnsi="Times New Roman"/>
          <w:sz w:val="18"/>
          <w:szCs w:val="18"/>
          <w:color w:val="auto"/>
        </w:rPr>
        <w:t>—We maintain a cybersecurity incident response plan that governs the identification, containment, investigation,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remediation, and reporting of cybersecurity incidents. We have designated an Incident Response Team with clearly defined roles and responsibilities, including escalation procedures to senior management and legal counsel for potentially material incidents. Our incident response procedures include protocols for timely communication with affected parties and regulatory authorities as required.</w:t>
      </w:r>
    </w:p>
    <w:p>
      <w:pPr>
        <w:spacing w:after="0" w:line="68" w:lineRule="exact"/>
        <w:rPr>
          <w:rFonts w:ascii="Times New Roman" w:cs="Times New Roman" w:eastAsia="Times New Roman" w:hAnsi="Times New Roman"/>
          <w:sz w:val="18"/>
          <w:szCs w:val="18"/>
          <w:color w:val="auto"/>
        </w:rPr>
      </w:pPr>
    </w:p>
    <w:p>
      <w:pPr>
        <w:ind w:left="300" w:right="8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Cybersecurity insurance</w:t>
      </w:r>
      <w:r>
        <w:rPr>
          <w:rFonts w:ascii="Times New Roman" w:cs="Times New Roman" w:eastAsia="Times New Roman" w:hAnsi="Times New Roman"/>
          <w:sz w:val="18"/>
          <w:szCs w:val="18"/>
          <w:color w:val="auto"/>
        </w:rPr>
        <w:t>—We maintain cybersecurity insurance coverage designed to mitigate financial risks associated with cybersecurity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costs related to incident response, forensic investigation, legal expenses, regulatory fines, and business interruption.</w:t>
      </w:r>
    </w:p>
    <w:p>
      <w:pPr>
        <w:spacing w:after="0" w:line="46" w:lineRule="exact"/>
        <w:rPr>
          <w:rFonts w:ascii="Times New Roman" w:cs="Times New Roman" w:eastAsia="Times New Roman" w:hAnsi="Times New Roman"/>
          <w:sz w:val="18"/>
          <w:szCs w:val="18"/>
          <w:color w:val="auto"/>
        </w:rPr>
      </w:pPr>
    </w:p>
    <w:p>
      <w:pPr>
        <w:ind w:left="300" w:right="60" w:hanging="292"/>
        <w:spacing w:after="0" w:line="259"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training and awareness programs</w:t>
      </w:r>
      <w:r>
        <w:rPr>
          <w:rFonts w:ascii="Times New Roman" w:cs="Times New Roman" w:eastAsia="Times New Roman" w:hAnsi="Times New Roman"/>
          <w:sz w:val="18"/>
          <w:szCs w:val="18"/>
          <w:color w:val="auto"/>
        </w:rPr>
        <w:t>—We provide mandatory annual cybersecurity training to all employees designed to help identify, avoid,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mitigate cybersecurity threats. Our training program includes insider threat awareness, simulated phishing exercises, secure coding practices for development personnel, and role-specific security training tailored to employee responsibilities. Additionally, our training program includes education on the secure and responsible use of AI and generative AI tools, covering topics such as data privacy considerations, prohibited uses of confidential information in AI systems, output validation requirements, and compliance with our AI usage policies.</w:t>
      </w:r>
    </w:p>
    <w:p>
      <w:pPr>
        <w:spacing w:after="0" w:line="71" w:lineRule="exact"/>
        <w:rPr>
          <w:rFonts w:ascii="Times New Roman" w:cs="Times New Roman" w:eastAsia="Times New Roman" w:hAnsi="Times New Roman"/>
          <w:sz w:val="18"/>
          <w:szCs w:val="18"/>
          <w:color w:val="auto"/>
        </w:rPr>
      </w:pPr>
    </w:p>
    <w:p>
      <w:pPr>
        <w:ind w:left="300" w:right="32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—We maintain a third-party risk management program designed to identify, assess, manage, and mitigate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vendors, service providers, and other third parties. This program includes security assessments of vendors prior to engagement, contractual security requirements, and ongoing monitoring of vendors with access to our systems or sensitive data.</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regularly review our information security program and associated policies, making periodic updates as we deem necessary and appropriate in accordance with recognized best practices and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information security program and cyber risk management program is managed and overseen by Jeff Dell, our Chief Information Officer (“CIO”) and a team of information security personnel reporting to the CIO. Our CIO reports directly to the CEO and is responsible for the assessment and management of material risks for cybersecurity threats. Mr. Dell brings over 30 years of experience in information technology and information security, working as an executive within data-driven companies for the last 25 years, including serving as CIO since our formation in August 2017 and continuing through our Spin-off from cogint. Mr. Dell holds a Bachelor of Science in Business from Arizona State University and has earned GCIA, GCWN, GWAPT and CISSP certifications. For additional information regarding Mr. Dell’s business experience, see Part 1, Item 1 Business – Information About Our Executive Officers included in this Annual Report.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holds monthly Information Security Management System (ISMS) meetings which include stakeholders, senior management as well as the CIO and other key individuals reporting to the CIO. Cybersecurity risks, threats, and vulnerabilities, as well as existing mitigating controls, are discussed in ISMS meetings. Our CIO also provides quarterly reports of our information security and IT compliance program, as well as any material cybersecurity risks, to the Board of Directors.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did not experience a material cybersecurity incident during the year ended December 31, 2025, which has materially affected or is reasonably likely to materially affect us, including our business strategy, results of operations, or financial condition. However, the possibility of future cybersecurity incidents, as well as cybersecurity and technology risks more generally, could have a material adverse effect on our business, financial condition, results of operations, cash flows or reputation. See “Item 1A. Risk Factors – Cybersecurity and Technology Risks”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at 2650 North Military Trail, Suite 300, Boca Raton, Florida 33431, where we lease 21,020 rentable square feet of office space in accordance with an 89-month lease agreement as amended and effective in January 2017, and we entered into a further amendment on September 20, 2023 to exercise the extension option for an additional 60 months through June 30, 2029, with an option to further extend for an additional 60 months.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Seattle office is located at 520 Pike Tower, Seattle, Washington 98101, where we lease 6,709 rentable square feet of office space in accordance with a non-cancellable 80-month lease agreement entered into on December 20, 2024, with the lease commencement date on May 1, 2025. Prior to that, our Seattle office was located at 1111 Third Avenue, Seattle, Washington 98101, where we lease 6,003 rentable square feet of office space in accordance with a 90-month lease agreement entered into in April 2017, which expired in March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13, “Commitments and contingencies,” included in “Notes to our Consolidated Financial Statements” contained in Part II, Item 8 of this 2025 Form 10-K, and is incorporated herein by reference. For additional discussion of certain risks associated with legal proceedings, see Item 1A, “Risk Factors”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“RDVT,” and began regular-way trading on March 27, 2018.</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3, 2024, we declared the Dividend of $0.30 per share on our common stock to shareholders of record as of January 31, 2025. The Dividend, totaling $4.2 million, was paid on February 14, 2025. Except for the Dividend, we have not declared or paid other dividends or made any other distributions in respect of our common stock since March 27, 2018. There is no assurance that we will continue to declare or pay cash dividends in the future.</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27, 2026, there were 14,109,914 shares of our common stock issued and outstanding. As of February 27, 2026, there were 18 record holders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three months ended December 31, 2025 pursuant to the Stock Repurchase Program (as defined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3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12"/>
                <w:szCs w:val="12"/>
                <w:color w:val="auto"/>
              </w:rPr>
            </w:pPr>
          </w:p>
        </w:tc>
        <w:tc>
          <w:tcPr>
            <w:tcW w:w="19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line="175"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2026 to February 27, 2026, the Company purchased an additional 52,812 shares at an average price of $43.21 per share pursuant to the Stock Repurchase Program.</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commission fees incurred in relation to the repurchase of common stock.</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Stock Repurchase Program to repurchase the Company's common stock from time to time through open market purchases, privately negotiated transactions or other means, including through Rule 10b5-1 trading plans,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 On November 3, 2025, the Board of Directors further authorized the repurchase of an additional $15.0 million under the Stock Repurchase Program, bringing the total authorization to $30.0 million.</w:t>
      </w:r>
    </w:p>
    <w:p>
      <w:pPr>
        <w:spacing w:after="0" w:line="14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 5,000 shares repurchased were made in open-market transactions outside of any Rule 10b5-1 trading plan. Such repurchases were made in accordance with the limitations set forth in Rule 10b-18 and applicable securities laws.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the inception of the Stock Repurchase Program and through February 27, 2026, the Company has purchased a total of $13.6 million of common stock at an average price of $22.26 per share.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related notes included in this 2025 Form 10-K. This 2025 Form 10-K contains certain forward-looking statements within the meaning of the Private Securities Litigation Reform Act of 1995 (the “PSLRA”), Section 27A of the Securities Act, and Section 21E of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2025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AI-enabled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artificial intelligence and machine learning embedded directly into CORE’s architecture from inception, and integrated with extensive proprietary data assets and regulated workflows, the platform enables customers to uncover actionable insights, accelerate decision-making, and operate at enterprise scale with materially reduced manual effort and operating costs. These AI-driven capabilities support the streamlining of labor-intensive workflows through automated, intelligence-driven processes that materially enhance efficiency and outcomes across risk management, compliance, and investigative functions.</w:t>
      </w:r>
    </w:p>
    <w:p>
      <w:pPr>
        <w:spacing w:after="0" w:line="1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extensive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enhance safety, and mitigate fraud and the related financial losses across the markets we serve.</w:t>
      </w:r>
    </w:p>
    <w:p>
      <w:pPr>
        <w:spacing w:after="0" w:line="1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2025 and 2024, IDI had 10,022 and 8,926 billable customers, respectively, and FOREWARN had 390,018 and 303,418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right="10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2025 and 2024, 76% and 77% of total revenue was attributable to customers with pricing contracts, respectively, versus 24% and 23% attributable to transactional customers, respectively.</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are affected by the following factors that impact the data and analytics sector in the United States:</w:t>
      </w:r>
    </w:p>
    <w:p>
      <w:pPr>
        <w:spacing w:after="0" w:line="185" w:lineRule="exact"/>
        <w:rPr>
          <w:sz w:val="20"/>
          <w:szCs w:val="20"/>
          <w:color w:val="auto"/>
        </w:rPr>
      </w:pPr>
    </w:p>
    <w:p>
      <w:pPr>
        <w:ind w:left="380" w:right="80" w:hanging="320"/>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customers serve could reduce the technology and marketing expenditures of our customers and prospective customers.</w:t>
      </w:r>
    </w:p>
    <w:p>
      <w:pPr>
        <w:spacing w:after="0" w:line="142" w:lineRule="exact"/>
        <w:rPr>
          <w:rFonts w:ascii="Times New Roman" w:cs="Times New Roman" w:eastAsia="Times New Roman" w:hAnsi="Times New Roman"/>
          <w:sz w:val="18"/>
          <w:szCs w:val="18"/>
          <w:color w:val="auto"/>
        </w:rPr>
      </w:pPr>
    </w:p>
    <w:p>
      <w:pPr>
        <w:ind w:left="380" w:right="120" w:hanging="327"/>
        <w:spacing w:after="0" w:line="277"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40" w:lineRule="exact"/>
        <w:rPr>
          <w:rFonts w:ascii="Times New Roman" w:cs="Times New Roman" w:eastAsia="Times New Roman" w:hAnsi="Times New Roman"/>
          <w:sz w:val="17"/>
          <w:szCs w:val="17"/>
          <w:color w:val="auto"/>
        </w:rPr>
      </w:pPr>
    </w:p>
    <w:p>
      <w:pPr>
        <w:ind w:left="380" w:right="60" w:hanging="327"/>
        <w:spacing w:after="0" w:line="25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amended laws or regulations pertaining to consumer privacy issues or further limiting the use of certain technologies (such as, but not limited to, artificial intelligence) could have a material adverse impact on information and marketing services. Laws or regulations regarding consumer privacy issues could place restrictions upon the collection, sharing, and use of information that is currently legally available, which could materially increase our cost of collecting and maintaining some data. New laws or regulations could also prohibit us from collecting or disseminating certain types of data, restrict our ability to utilize certain technologies, or prevent us from licensing our services in support of particular customer use cases, which could adversely affect our ability to meet our customers’ requirements and our profitability and cash flow targets.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Company Specific Trends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10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35"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increased investment and acquisitions. We anticipate increased competition from data and analytics suppliers.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govern our more significant judgments and estimates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Under this standard, revenue is recognized when control of goods or services is transferred to our customers, in an amount that reflects the consideration we expect to be entitled to in exchange for those goods or services. Our performance obligation is to provide on demand information and identity intelligence solutions to our customers by leveraging our proprietary technology and applying machine learning and advanced analytics to our extensive data repository. The pricing for the customer contracts is based on usage, a monthly fee, or a combination of both.</w:t>
      </w:r>
    </w:p>
    <w:p>
      <w:pPr>
        <w:spacing w:after="0" w:line="1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Our revenue is recorded net of applicable sales taxes billed to customers.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In some arrangements, a right to consideration for our performance under the customer contract may occur before invoicing to the customer, resulting in an unbilled accounts receivable. As of December 31, 2025, the current and noncurrent portion unbilled accounts receivable of $1.1 million and $0.9 million, respectively, were included within accounts receivable and other noncurrent assets, respectively, on the consolidated balance sheets. As of December 31, 2024, the current and noncurrent portion unbilled accounts receivable of $0.9 million and $1.1 million, respectively, were included within accounts receivable and other noncurrent assets, respectively, on the consolidated balance sheets. Our revenue arrangements do not contain significant financing components.</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76% and 77% of total revenue was attributable to customers with pricing contracts, respectively, versus 24% and 23% attributable to transactional customers, respectively. Pricing contracts are generally annual contracts or longer, with auto renewal.</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before we transfer services to the customer, those amounts are classified as deferred revenue. As of December 31, 2025, 2024 and 2023, the balance of deferred revenue was $1.0 million, $0.7 million and $0.7 million, respectively, all of which is expected to be realized in the next 12 months. In relation to the deferred revenue balance as of December 31, 2024, $0.7 million was recognized into revenue during the year ended December 31, 2025.</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December 31, 2025, $23.8 million of revenue is expected to be recognized in the future for performance obligations that are unsatisfied or partially unsatisfied, related to pricing contracts that have a term of more than 12 months, of which $12.7 million of revenue will be recognized in 2026, $8.0 million in 2027, $2.4 million in 2028, $0.6 million in 2029, and $0.1 million in 2030 and thereafter.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21"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 addition, we elected the practical expedient to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Allowances for doubtful accounts</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$0.2 million as of December 31, 2025 and 2024, which was included within accounts receivable, net, on the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We concluded that, due to our established historical cumulative positive income before income taxes plus permanent differences for the recent years, projections of future taxable income, and the reversal of taxable temporary differences, the realization of the deferred tax assets as of December 31, 2025 and 2024 is more likely than not.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include software developed for internal use and acquired intangible assets. Intangible assets have estimated useful lives of 5-10 years.</w:t>
      </w:r>
    </w:p>
    <w:p>
      <w:pPr>
        <w:spacing w:after="0" w:line="1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“Software—internal use software,”</w:t>
      </w:r>
      <w:r>
        <w:rPr>
          <w:rFonts w:ascii="Times New Roman" w:cs="Times New Roman" w:eastAsia="Times New Roman" w:hAnsi="Times New Roman"/>
          <w:sz w:val="18"/>
          <w:szCs w:val="18"/>
          <w:color w:val="auto"/>
        </w:rPr>
        <w:t xml:space="preserve"> we capitalize eligible costs, including personnel-related expenses, share-based compensation, and travel expenses incurred by relevant employees, and other directly attributable costs incurred during the application development stage. Once the software developed for internal use is ready for its intended use, it is amortized on a straight-line basis over its useful life. The acquired intangible assets reflect the acquisition cost of certain data assets for which we have obtained perpetual usage rights.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We have assessed that we have one operating segment and one reporting unit, and the consolidated net assets, including existing goodwill and other intangible assets, are considered to be the carrying value of the reporting unit.</w:t>
      </w:r>
    </w:p>
    <w:p>
      <w:pPr>
        <w:spacing w:after="0" w:line="14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1, 2025 and 2024, we performed qualitative assessments on the reporting unit and, based on this assessment, no events have occurred to indicate that it is more likely than not that the fair value of the reporting unit is less than its carry amount. We did not record a goodwill impairment loss during the years ended December 31, 2025 and 2024, and as of December 31, 2025, there was no accumulated goodwill impairment loss.</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 impairment loss of long-lived assets during the years ended December 31, 2025 and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9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We account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We account for forfeitures as they occur.</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2025, no share-based compensation expense has been recognized for 70,000 RSUs subject to the 2024 Performance Criteria, as defined in Note 10, “Share-based compensation,” included in “Notes to Consolidated Financial Statements,” because the Company determined that it is not probable that related performance criteria will be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See Item 8 of Part II, “Financial Statements and Supplementary Data – Note 2. Summary of significant accounting policies - </w:t>
      </w:r>
      <w:r>
        <w:rPr>
          <w:rFonts w:ascii="Times New Roman" w:cs="Times New Roman" w:eastAsia="Times New Roman" w:hAnsi="Times New Roman"/>
          <w:sz w:val="18"/>
          <w:szCs w:val="18"/>
          <w:i w:val="1"/>
          <w:iCs w:val="1"/>
          <w:color w:val="auto"/>
        </w:rPr>
        <w:t>(r) 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2025 as compared to the three months ended December 31, 2024:</w:t>
      </w:r>
    </w:p>
    <w:p>
      <w:pPr>
        <w:spacing w:after="0" w:line="198"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$23.4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23% to $16.8 million. Gross margin increased to 72% from 70%.</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21% to $19.5 million. Adjusted gross margin increased to 83% from 82%.</w:t>
      </w:r>
    </w:p>
    <w:p>
      <w:pPr>
        <w:spacing w:after="0" w:line="117" w:lineRule="exact"/>
        <w:rPr>
          <w:rFonts w:ascii="Times New Roman" w:cs="Times New Roman" w:eastAsia="Times New Roman" w:hAnsi="Times New Roman"/>
          <w:sz w:val="18"/>
          <w:szCs w:val="18"/>
          <w:color w:val="auto"/>
        </w:rPr>
      </w:pPr>
    </w:p>
    <w:p>
      <w:pPr>
        <w:ind w:left="380" w:right="5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226% to $2.8 million, which resulted in earnings of $0.20 and $0.19 per basic and diluted share, respectively. Net income margin increased to 12% from 4%.</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33% to $5.9 million. Adjusted EBITDA margin increased to 25% from 23%.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53% to $3.1 million, which resulted in adjusted earnings of $0.22 and $0.21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remained consistent at $6.7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$43.6 million as of December 31,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Full Year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as compared to the year ended December 31, 2024:</w:t>
      </w:r>
    </w:p>
    <w:p>
      <w:pPr>
        <w:spacing w:after="0" w:line="185"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$90.3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26% to $65.1 million. Gross margin increased to 72% from 69%.</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23% to $75.4 million. Adjusted gross margin increased to 84% from 81%.</w:t>
      </w:r>
    </w:p>
    <w:p>
      <w:pPr>
        <w:spacing w:after="0" w:line="117" w:lineRule="exact"/>
        <w:rPr>
          <w:rFonts w:ascii="Times New Roman" w:cs="Times New Roman" w:eastAsia="Times New Roman" w:hAnsi="Times New Roman"/>
          <w:sz w:val="18"/>
          <w:szCs w:val="18"/>
          <w:color w:val="auto"/>
        </w:rPr>
      </w:pPr>
    </w:p>
    <w:p>
      <w:pPr>
        <w:ind w:left="380" w:right="50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88% to $13.2 million, which resulted in earnings of $0.94 and $0.91 per basic and diluted share, respectively. Net income margin increased to 15% from 9%.</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31% to $31.0 million. Adjusted EBITDA margin increased to 34% from 31%.</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44% to $18.7 million, which resulted in adjusted earnings of $1.33 and $1.30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22% to $29.3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(benefit)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29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23,392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19,565</w:t>
            </w:r>
          </w:p>
        </w:tc>
        <w:tc>
          <w:tcPr>
            <w:tcW w:w="22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90,252</w:t>
            </w:r>
          </w:p>
        </w:tc>
        <w:tc>
          <w:tcPr>
            <w:tcW w:w="240" w:type="dxa"/>
            <w:vAlign w:val="bottom"/>
          </w:tcPr>
          <w:p>
            <w:pPr>
              <w:spacing w:after="0"/>
              <w:rPr>
                <w:sz w:val="17"/>
                <w:szCs w:val="17"/>
                <w:color w:val="auto"/>
              </w:rPr>
            </w:pP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75,189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28"/>
        </w:trPr>
        <w:tc>
          <w:tcPr>
            <w:tcW w:w="48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-1670685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-1653540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-1670685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-1653540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-1670685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-1653540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-1670685</wp:posOffset>
            </wp:positionV>
            <wp:extent cx="111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-1653540</wp:posOffset>
            </wp:positionV>
            <wp:extent cx="111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-1070610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-1054100</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-1070610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-1054100</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-1070610</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-1054100</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-1070610</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-1054100</wp:posOffset>
            </wp:positionV>
            <wp:extent cx="111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9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14,101,986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14,554,080</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14,366,545</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14,398,047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14,125,825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-1559560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-1559560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-1559560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-950595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-934085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-950595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-934085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-950595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-934085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-650875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-633730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-650875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-633730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-650875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200" w:hanging="372"/>
        <w:spacing w:after="0" w:line="282"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combined federal and state statutory income tax rate, which was approximately 26.0% for the three months and the years ended December 31, 2025 and 2024.</w:t>
      </w:r>
    </w:p>
    <w:p>
      <w:pPr>
        <w:spacing w:after="0" w:line="135" w:lineRule="exact"/>
        <w:rPr>
          <w:sz w:val="20"/>
          <w:szCs w:val="20"/>
          <w:color w:val="auto"/>
        </w:rPr>
      </w:pPr>
    </w:p>
    <w:p>
      <w:pPr>
        <w:ind w:left="380" w:right="320"/>
        <w:spacing w:after="0" w:line="282" w:lineRule="auto"/>
        <w:rPr>
          <w:sz w:val="20"/>
          <w:szCs w:val="20"/>
          <w:color w:val="auto"/>
        </w:rPr>
      </w:pPr>
      <w:r>
        <w:rPr>
          <w:rFonts w:ascii="Times New Roman" w:cs="Times New Roman" w:eastAsia="Times New Roman" w:hAnsi="Times New Roman"/>
          <w:sz w:val="18"/>
          <w:szCs w:val="18"/>
          <w:color w:val="auto"/>
        </w:rPr>
        <w:t>We refined the methodology for calculating the tax effect of adjustments used in arriving at non-GAAP adjusted net income. Prior period amounts have been revised to conform to the current presentation. These revisions did not affect previously reported GAAP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23,392</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19,565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90,252</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75,189</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(3,891)</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(14,675)</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related to cost of revenue</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(2,703)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(10,449)</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65,128</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51,843</w:t>
            </w:r>
          </w:p>
        </w:tc>
        <w:tc>
          <w:tcPr>
            <w:tcW w:w="0" w:type="dxa"/>
            <w:vAlign w:val="bottom"/>
          </w:tcPr>
          <w:p>
            <w:pPr>
              <w:spacing w:after="0"/>
              <w:rPr>
                <w:sz w:val="1"/>
                <w:szCs w:val="1"/>
                <w:color w:val="auto"/>
              </w:rPr>
            </w:pPr>
          </w:p>
        </w:tc>
      </w:tr>
      <w:tr>
        <w:trPr>
          <w:trHeight w:val="178"/>
        </w:trPr>
        <w:tc>
          <w:tcPr>
            <w:tcW w:w="44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Depreciation and amortization of certain intangible</w:t>
            </w: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FF0FC"/>
          </w:tcPr>
          <w:p>
            <w:pPr>
              <w:ind w:left="100"/>
              <w:spacing w:after="0" w:line="241"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10,292</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19,463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61,192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-1045210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-1045210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-1045210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-1045210</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-633730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-633730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-633730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-633730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left="380" w:right="420" w:hanging="372"/>
        <w:spacing w:after="0" w:line="282" w:lineRule="auto"/>
        <w:tabs>
          <w:tab w:leader="none" w:pos="3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certain intangible assets primarily consists of the amortization of capitalized internal-use software development costs, which are included within intangible assets and amortized over their estimated useful lives.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6,689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29,349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23,960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3,651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4,394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18,193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14,393</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and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tables set forth the Company's unaudited quarterly consolidated statements of operations data and reconciliations of certain directly comparable US GAAP financial measures to non-GAAP financial measures, including adjusted EBITDA, adjusted EBITDA margin, adjusted net income, adjusted earnings per share, adjusted gross profit, adjusted gross margin, and FCF for each of the eight quarters in the two-year period ended December 31, 2025. The Company has prepared the quarterly unaudited consolidated statements of operations data on a basis consistent with the audited consolidated financial statements included elsewhere in this 2025 Form 10-K. In the opinion of management, the financial information in these tables reflects all adjustments, consisting only of normal recurring adjustments, which management considers necessary for a fair presentation of this data. This information should be read in conjunction with the audited consolidated financial statements and related notes included elsewhere in this 2025 Form 10-K. The results of historical periods are not necessarily indicative of the results for any future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2280" w:type="dxa"/>
            <w:vAlign w:val="bottom"/>
          </w:tcPr>
          <w:p>
            <w:pPr>
              <w:spacing w:after="0" w:line="75" w:lineRule="exact"/>
              <w:rPr>
                <w:sz w:val="20"/>
                <w:szCs w:val="20"/>
                <w:color w:val="auto"/>
              </w:rPr>
            </w:pPr>
            <w:r>
              <w:rPr>
                <w:rFonts w:ascii="Times New Roman" w:cs="Times New Roman" w:eastAsia="Times New Roman" w:hAnsi="Times New Roman"/>
                <w:sz w:val="8"/>
                <w:szCs w:val="8"/>
                <w:b w:val="1"/>
                <w:bCs w:val="1"/>
                <w:color w:val="auto"/>
              </w:rPr>
              <w:t>(In thousands, except share data) (Unaudited)</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219"/>
              <w:spacing w:after="0" w:line="75" w:lineRule="exact"/>
              <w:rPr>
                <w:sz w:val="20"/>
                <w:szCs w:val="20"/>
                <w:color w:val="auto"/>
              </w:rPr>
            </w:pPr>
            <w:r>
              <w:rPr>
                <w:rFonts w:ascii="Times New Roman" w:cs="Times New Roman" w:eastAsia="Times New Roman" w:hAnsi="Times New Roman"/>
                <w:sz w:val="8"/>
                <w:szCs w:val="8"/>
                <w:b w:val="1"/>
                <w:bCs w:val="1"/>
                <w:color w:val="auto"/>
              </w:rPr>
              <w:t>12/31/2025</w:t>
            </w:r>
          </w:p>
        </w:tc>
        <w:tc>
          <w:tcPr>
            <w:tcW w:w="120" w:type="dxa"/>
            <w:vAlign w:val="bottom"/>
          </w:tcPr>
          <w:p>
            <w:pPr>
              <w:spacing w:after="0"/>
              <w:rPr>
                <w:sz w:val="7"/>
                <w:szCs w:val="7"/>
                <w:color w:val="auto"/>
              </w:rPr>
            </w:pPr>
          </w:p>
        </w:tc>
      </w:tr>
      <w:tr>
        <w:trPr>
          <w:trHeight w:val="128"/>
        </w:trPr>
        <w:tc>
          <w:tcPr>
            <w:tcW w:w="2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17,511</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19,056</w:t>
            </w:r>
          </w:p>
        </w:tc>
        <w:tc>
          <w:tcPr>
            <w:tcW w:w="16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19,057</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19,565</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22,003</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21,774</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23,083</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23,392</w:t>
            </w: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Costs and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2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Cost of revenue (exclusive of</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2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3,756</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3,455</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3,314</w:t>
            </w: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3,661</w:t>
            </w: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120" w:type="dxa"/>
            <w:vAlign w:val="bottom"/>
            <w:shd w:val="clear" w:color="auto" w:fill="CFF0FC"/>
          </w:tcPr>
          <w:p>
            <w:pPr>
              <w:spacing w:after="0"/>
              <w:rPr>
                <w:sz w:val="13"/>
                <w:szCs w:val="13"/>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5,319</w:t>
            </w:r>
          </w:p>
        </w:tc>
        <w:tc>
          <w:tcPr>
            <w:tcW w:w="120" w:type="dxa"/>
            <w:vAlign w:val="bottom"/>
          </w:tcPr>
          <w:p>
            <w:pPr>
              <w:spacing w:after="0"/>
              <w:rPr>
                <w:sz w:val="11"/>
                <w:szCs w:val="11"/>
                <w:color w:val="auto"/>
              </w:rPr>
            </w:pP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5,790</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5,994</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8,341</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6,174</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7,253</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6,777</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9,813</w:t>
            </w: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2,270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2,481</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2,550</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2,647</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2,706</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2,769</w:t>
            </w:r>
          </w:p>
        </w:tc>
        <w:tc>
          <w:tcPr>
            <w:tcW w:w="120" w:type="dxa"/>
            <w:vAlign w:val="bottom"/>
          </w:tcPr>
          <w:p>
            <w:pPr>
              <w:spacing w:after="0"/>
              <w:rPr>
                <w:sz w:val="11"/>
                <w:szCs w:val="11"/>
                <w:color w:val="auto"/>
              </w:rPr>
            </w:pPr>
          </w:p>
        </w:tc>
      </w:tr>
      <w:tr>
        <w:trPr>
          <w:trHeight w:val="129"/>
        </w:trPr>
        <w:tc>
          <w:tcPr>
            <w:tcW w:w="22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15,528</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15,988</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16,559</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19,194</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17,792</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19,023</w:t>
            </w:r>
          </w:p>
        </w:tc>
        <w:tc>
          <w:tcPr>
            <w:tcW w:w="2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18,507</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21,792</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2,498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4,211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4,576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1,600</w:t>
            </w:r>
          </w:p>
        </w:tc>
        <w:tc>
          <w:tcPr>
            <w:tcW w:w="120" w:type="dxa"/>
            <w:vAlign w:val="bottom"/>
          </w:tcPr>
          <w:p>
            <w:pPr>
              <w:spacing w:after="0"/>
              <w:rPr>
                <w:sz w:val="11"/>
                <w:szCs w:val="11"/>
                <w:color w:val="auto"/>
              </w:rPr>
            </w:pPr>
          </w:p>
        </w:tc>
      </w:tr>
      <w:tr>
        <w:trPr>
          <w:trHeight w:val="135"/>
        </w:trPr>
        <w:tc>
          <w:tcPr>
            <w:tcW w:w="22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w:t>
            </w:r>
          </w:p>
        </w:tc>
        <w:tc>
          <w:tcPr>
            <w:tcW w:w="2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387</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2,851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4,519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3,090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4,962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1,987</w:t>
            </w:r>
          </w:p>
        </w:tc>
        <w:tc>
          <w:tcPr>
            <w:tcW w:w="120" w:type="dxa"/>
            <w:vAlign w:val="bottom"/>
          </w:tcPr>
          <w:p>
            <w:pPr>
              <w:spacing w:after="0"/>
              <w:rPr>
                <w:sz w:val="11"/>
                <w:szCs w:val="11"/>
                <w:color w:val="auto"/>
              </w:rPr>
            </w:pP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564</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749</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(828)</w:t>
            </w:r>
          </w:p>
        </w:tc>
      </w:tr>
      <w:tr>
        <w:trPr>
          <w:trHeight w:val="20"/>
        </w:trPr>
        <w:tc>
          <w:tcPr>
            <w:tcW w:w="2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2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160" w:type="dxa"/>
            <w:vAlign w:val="bottom"/>
          </w:tcPr>
          <w:p>
            <w:pPr>
              <w:spacing w:after="0"/>
              <w:rPr>
                <w:sz w:val="11"/>
                <w:szCs w:val="11"/>
                <w:color w:val="auto"/>
              </w:rPr>
            </w:pPr>
          </w:p>
        </w:tc>
        <w:tc>
          <w:tcPr>
            <w:tcW w:w="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2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3,440</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2,686</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4,213</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w:t>
            </w:r>
          </w:p>
        </w:tc>
        <w:tc>
          <w:tcPr>
            <w:tcW w:w="120" w:type="dxa"/>
            <w:vAlign w:val="bottom"/>
          </w:tcPr>
          <w:p>
            <w:pPr>
              <w:spacing w:after="0"/>
              <w:rPr>
                <w:sz w:val="11"/>
                <w:szCs w:val="1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22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Earnings per share:</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160" w:type="dxa"/>
            <w:vAlign w:val="bottom"/>
          </w:tcPr>
          <w:p>
            <w:pPr>
              <w:spacing w:after="0"/>
              <w:rPr>
                <w:sz w:val="11"/>
                <w:szCs w:val="11"/>
                <w:color w:val="auto"/>
              </w:rPr>
            </w:pPr>
          </w:p>
        </w:tc>
        <w:tc>
          <w:tcPr>
            <w:tcW w:w="2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w:t>
            </w:r>
          </w:p>
        </w:tc>
        <w:tc>
          <w:tcPr>
            <w:tcW w:w="24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20" w:type="dxa"/>
            <w:vAlign w:val="bottom"/>
          </w:tcPr>
          <w:p>
            <w:pPr>
              <w:spacing w:after="0"/>
              <w:rPr>
                <w:sz w:val="11"/>
                <w:szCs w:val="1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22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28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0.13</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0.06</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0.24</w:t>
            </w: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0.29</w:t>
            </w: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120" w:type="dxa"/>
            <w:vAlign w:val="bottom"/>
            <w:shd w:val="clear" w:color="auto" w:fill="CFF0FC"/>
          </w:tcPr>
          <w:p>
            <w:pPr>
              <w:spacing w:after="0"/>
              <w:rPr>
                <w:sz w:val="13"/>
                <w:szCs w:val="13"/>
                <w:color w:val="auto"/>
              </w:rPr>
            </w:pPr>
          </w:p>
        </w:tc>
      </w:tr>
      <w:tr>
        <w:trPr>
          <w:trHeight w:val="95"/>
        </w:trPr>
        <w:tc>
          <w:tcPr>
            <w:tcW w:w="2280" w:type="dxa"/>
            <w:vAlign w:val="bottom"/>
            <w:tcBorders>
              <w:top w:val="single" w:sz="8" w:color="CFF0FC"/>
            </w:tcBorders>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Weighted average shares</w:t>
            </w:r>
          </w:p>
        </w:tc>
        <w:tc>
          <w:tcPr>
            <w:tcW w:w="1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r>
      <w:tr>
        <w:trPr>
          <w:trHeight w:val="155"/>
        </w:trPr>
        <w:tc>
          <w:tcPr>
            <w:tcW w:w="22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22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13,997,064</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13,780,074</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13,782,476</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13,900,091</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13,998,028</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14,018,629</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14,027,994</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14,101,986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15"/>
        </w:trPr>
        <w:tc>
          <w:tcPr>
            <w:tcW w:w="22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14,164,506</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14,051,466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14,311,575</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14,366,545</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14,491,713</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14,553,282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14,618,657</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14,554,080</w:t>
            </w:r>
          </w:p>
        </w:tc>
        <w:tc>
          <w:tcPr>
            <w:tcW w:w="120" w:type="dxa"/>
            <w:vAlign w:val="bottom"/>
          </w:tcPr>
          <w:p>
            <w:pPr>
              <w:spacing w:after="0"/>
              <w:rPr>
                <w:sz w:val="10"/>
                <w:szCs w:val="10"/>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88"/>
        </w:trPr>
        <w:tc>
          <w:tcPr>
            <w:tcW w:w="2280" w:type="dxa"/>
            <w:vAlign w:val="bottom"/>
          </w:tcPr>
          <w:p>
            <w:pPr>
              <w:spacing w:after="0" w:line="75" w:lineRule="exact"/>
              <w:rPr>
                <w:sz w:val="20"/>
                <w:szCs w:val="20"/>
                <w:color w:val="auto"/>
              </w:rPr>
            </w:pPr>
            <w:r>
              <w:rPr>
                <w:rFonts w:ascii="Times New Roman" w:cs="Times New Roman" w:eastAsia="Times New Roman" w:hAnsi="Times New Roman"/>
                <w:sz w:val="8"/>
                <w:szCs w:val="8"/>
                <w:b w:val="1"/>
                <w:bCs w:val="1"/>
                <w:color w:val="auto"/>
              </w:rPr>
              <w:t>(In thousands) (Unaudited)</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9/30/2025</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219"/>
              <w:spacing w:after="0" w:line="75" w:lineRule="exact"/>
              <w:rPr>
                <w:sz w:val="20"/>
                <w:szCs w:val="20"/>
                <w:color w:val="auto"/>
              </w:rPr>
            </w:pPr>
            <w:r>
              <w:rPr>
                <w:rFonts w:ascii="Times New Roman" w:cs="Times New Roman" w:eastAsia="Times New Roman" w:hAnsi="Times New Roman"/>
                <w:sz w:val="8"/>
                <w:szCs w:val="8"/>
                <w:b w:val="1"/>
                <w:bCs w:val="1"/>
                <w:color w:val="auto"/>
              </w:rPr>
              <w:t>12/31/2025</w:t>
            </w:r>
          </w:p>
        </w:tc>
        <w:tc>
          <w:tcPr>
            <w:tcW w:w="120" w:type="dxa"/>
            <w:vAlign w:val="bottom"/>
          </w:tcPr>
          <w:p>
            <w:pPr>
              <w:spacing w:after="0"/>
              <w:rPr>
                <w:sz w:val="7"/>
                <w:szCs w:val="7"/>
                <w:color w:val="auto"/>
              </w:rPr>
            </w:pPr>
          </w:p>
        </w:tc>
      </w:tr>
      <w:tr>
        <w:trPr>
          <w:trHeight w:val="128"/>
        </w:trPr>
        <w:tc>
          <w:tcPr>
            <w:tcW w:w="2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16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3,440</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2,686</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4,213</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w:t>
            </w: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14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(339)</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16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(387)</w:t>
            </w: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564</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749</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(828)</w:t>
            </w: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2,769</w:t>
            </w:r>
          </w:p>
        </w:tc>
        <w:tc>
          <w:tcPr>
            <w:tcW w:w="120" w:type="dxa"/>
            <w:vAlign w:val="bottom"/>
          </w:tcPr>
          <w:p>
            <w:pPr>
              <w:spacing w:after="0"/>
              <w:rPr>
                <w:sz w:val="11"/>
                <w:szCs w:val="11"/>
                <w:color w:val="auto"/>
              </w:rPr>
            </w:pP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1,827</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1,706</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w:t>
            </w: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Litigation costs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1"/>
                <w:szCs w:val="11"/>
                <w:color w:val="auto"/>
              </w:rPr>
            </w:pP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Acquisition-related costs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Write-off of long-lived assets</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r>
      <w:tr>
        <w:trPr>
          <w:trHeight w:val="148"/>
        </w:trPr>
        <w:tc>
          <w:tcPr>
            <w:tcW w:w="2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5,689</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6,811</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6,678</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4,468</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8,368</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9,036</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5,948</w:t>
            </w:r>
          </w:p>
        </w:tc>
        <w:tc>
          <w:tcPr>
            <w:tcW w:w="120" w:type="dxa"/>
            <w:vAlign w:val="bottom"/>
            <w:shd w:val="clear" w:color="auto" w:fill="CFF0FC"/>
          </w:tcPr>
          <w:p>
            <w:pPr>
              <w:spacing w:after="0"/>
              <w:rPr>
                <w:sz w:val="12"/>
                <w:szCs w:val="12"/>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16"/>
        </w:trPr>
        <w:tc>
          <w:tcPr>
            <w:tcW w:w="22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Revenue</w:t>
            </w:r>
          </w:p>
        </w:tc>
        <w:tc>
          <w:tcPr>
            <w:tcW w:w="2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17,511</w:t>
            </w:r>
          </w:p>
        </w:tc>
        <w:tc>
          <w:tcPr>
            <w:tcW w:w="22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19,056</w:t>
            </w:r>
          </w:p>
        </w:tc>
        <w:tc>
          <w:tcPr>
            <w:tcW w:w="160" w:type="dxa"/>
            <w:vAlign w:val="bottom"/>
          </w:tcPr>
          <w:p>
            <w:pPr>
              <w:spacing w:after="0"/>
              <w:rPr>
                <w:sz w:val="10"/>
                <w:szCs w:val="10"/>
                <w:color w:val="auto"/>
              </w:rPr>
            </w:pPr>
          </w:p>
        </w:tc>
        <w:tc>
          <w:tcPr>
            <w:tcW w:w="2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19,057</w:t>
            </w:r>
          </w:p>
        </w:tc>
        <w:tc>
          <w:tcPr>
            <w:tcW w:w="240" w:type="dxa"/>
            <w:vAlign w:val="bottom"/>
          </w:tcPr>
          <w:p>
            <w:pPr>
              <w:spacing w:after="0"/>
              <w:rPr>
                <w:sz w:val="10"/>
                <w:szCs w:val="10"/>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19,565</w:t>
            </w:r>
          </w:p>
        </w:tc>
        <w:tc>
          <w:tcPr>
            <w:tcW w:w="22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22,003</w:t>
            </w:r>
          </w:p>
        </w:tc>
        <w:tc>
          <w:tcPr>
            <w:tcW w:w="24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21,774</w:t>
            </w:r>
          </w:p>
        </w:tc>
        <w:tc>
          <w:tcPr>
            <w:tcW w:w="24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23,083</w:t>
            </w:r>
          </w:p>
        </w:tc>
        <w:tc>
          <w:tcPr>
            <w:tcW w:w="24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23,392</w:t>
            </w:r>
          </w:p>
        </w:tc>
        <w:tc>
          <w:tcPr>
            <w:tcW w:w="120" w:type="dxa"/>
            <w:vAlign w:val="bottom"/>
          </w:tcPr>
          <w:p>
            <w:pPr>
              <w:spacing w:after="0"/>
              <w:rPr>
                <w:sz w:val="10"/>
                <w:szCs w:val="10"/>
                <w:color w:val="auto"/>
              </w:rPr>
            </w:pPr>
          </w:p>
        </w:tc>
      </w:tr>
      <w:tr>
        <w:trPr>
          <w:trHeight w:val="135"/>
        </w:trPr>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margin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w:t>
            </w: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22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20" w:type="dxa"/>
            <w:vAlign w:val="bottom"/>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32%</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38%</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39%</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25%</w:t>
            </w: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-2605405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-2605405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-2605405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-2605405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-2605405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-2605405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-2605405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-2425065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-2425065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-2425065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-2425065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-2425065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-2425065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-2425065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-2425065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-2245360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-2245360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-2245360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-2245360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-2245360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-2245360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-2245360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-1842770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-1824990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-1842770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-1824990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-1842770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-1824990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-1842770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-1824990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-1842770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-1824990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-1842770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-1824990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-1842770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-1824990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-1559560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-1542415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-1559560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-1542415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-1559560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-1542415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-1559560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-1542415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-1559560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-1542415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-1559560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-1542415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-1559560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-1542415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-1559560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-419735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-402590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-419735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-402590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-419735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-402590</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-419735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-402590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-419735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-402590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-419735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-402590</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-419735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-402590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-419735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-402590</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-8255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2100" w:type="dxa"/>
            <w:vAlign w:val="bottom"/>
          </w:tcPr>
          <w:p>
            <w:pPr>
              <w:spacing w:after="0" w:line="102" w:lineRule="exact"/>
              <w:rPr>
                <w:sz w:val="20"/>
                <w:szCs w:val="20"/>
                <w:color w:val="auto"/>
              </w:rPr>
            </w:pPr>
            <w:r>
              <w:rPr>
                <w:rFonts w:ascii="Times New Roman" w:cs="Times New Roman" w:eastAsia="Times New Roman" w:hAnsi="Times New Roman"/>
                <w:sz w:val="9"/>
                <w:szCs w:val="9"/>
                <w:b w:val="1"/>
                <w:bCs w:val="1"/>
                <w:color w:val="auto"/>
              </w:rPr>
              <w:t>(In thousands, except share data) (Unaudited)</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3/31/2024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line="102" w:lineRule="exact"/>
              <w:rPr>
                <w:sz w:val="20"/>
                <w:szCs w:val="20"/>
                <w:color w:val="auto"/>
              </w:rPr>
            </w:pPr>
            <w:r>
              <w:rPr>
                <w:rFonts w:ascii="Times New Roman" w:cs="Times New Roman" w:eastAsia="Times New Roman" w:hAnsi="Times New Roman"/>
                <w:sz w:val="9"/>
                <w:szCs w:val="9"/>
                <w:b w:val="1"/>
                <w:bCs w:val="1"/>
                <w:color w:val="auto"/>
              </w:rPr>
              <w:t>6/30/2024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9/30/2024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9"/>
              <w:spacing w:after="0" w:line="102" w:lineRule="exact"/>
              <w:rPr>
                <w:sz w:val="20"/>
                <w:szCs w:val="20"/>
                <w:color w:val="auto"/>
              </w:rPr>
            </w:pPr>
            <w:r>
              <w:rPr>
                <w:rFonts w:ascii="Times New Roman" w:cs="Times New Roman" w:eastAsia="Times New Roman" w:hAnsi="Times New Roman"/>
                <w:sz w:val="9"/>
                <w:szCs w:val="9"/>
                <w:b w:val="1"/>
                <w:bCs w:val="1"/>
                <w:color w:val="auto"/>
              </w:rPr>
              <w:t>12/31/2024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line="102" w:lineRule="exact"/>
              <w:rPr>
                <w:sz w:val="20"/>
                <w:szCs w:val="20"/>
                <w:color w:val="auto"/>
              </w:rPr>
            </w:pPr>
            <w:r>
              <w:rPr>
                <w:rFonts w:ascii="Times New Roman" w:cs="Times New Roman" w:eastAsia="Times New Roman" w:hAnsi="Times New Roman"/>
                <w:sz w:val="9"/>
                <w:szCs w:val="9"/>
                <w:b w:val="1"/>
                <w:bCs w:val="1"/>
                <w:color w:val="auto"/>
              </w:rPr>
              <w:t>3/31/2025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6/30/2025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8"/>
              <w:spacing w:after="0" w:line="102" w:lineRule="exact"/>
              <w:rPr>
                <w:sz w:val="20"/>
                <w:szCs w:val="20"/>
                <w:color w:val="auto"/>
              </w:rPr>
            </w:pPr>
            <w:r>
              <w:rPr>
                <w:rFonts w:ascii="Times New Roman" w:cs="Times New Roman" w:eastAsia="Times New Roman" w:hAnsi="Times New Roman"/>
                <w:sz w:val="9"/>
                <w:szCs w:val="9"/>
                <w:b w:val="1"/>
                <w:bCs w:val="1"/>
                <w:color w:val="auto"/>
              </w:rPr>
              <w:t>9/30/2025</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18"/>
              <w:spacing w:after="0" w:line="102" w:lineRule="exact"/>
              <w:rPr>
                <w:sz w:val="20"/>
                <w:szCs w:val="20"/>
                <w:color w:val="auto"/>
              </w:rPr>
            </w:pPr>
            <w:r>
              <w:rPr>
                <w:rFonts w:ascii="Times New Roman" w:cs="Times New Roman" w:eastAsia="Times New Roman" w:hAnsi="Times New Roman"/>
                <w:sz w:val="9"/>
                <w:szCs w:val="9"/>
                <w:b w:val="1"/>
                <w:bCs w:val="1"/>
                <w:color w:val="auto"/>
              </w:rPr>
              <w:t>12/31/2025</w:t>
            </w:r>
          </w:p>
        </w:tc>
        <w:tc>
          <w:tcPr>
            <w:tcW w:w="120" w:type="dxa"/>
            <w:vAlign w:val="bottom"/>
          </w:tcPr>
          <w:p>
            <w:pPr>
              <w:spacing w:after="0"/>
              <w:rPr>
                <w:sz w:val="10"/>
                <w:szCs w:val="10"/>
                <w:color w:val="auto"/>
              </w:rPr>
            </w:pPr>
          </w:p>
        </w:tc>
      </w:tr>
      <w:tr>
        <w:trPr>
          <w:trHeight w:val="128"/>
        </w:trPr>
        <w:tc>
          <w:tcPr>
            <w:tcW w:w="2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4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14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3,440</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2,686</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4,213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w:t>
            </w:r>
          </w:p>
        </w:tc>
        <w:tc>
          <w:tcPr>
            <w:tcW w:w="120" w:type="dxa"/>
            <w:vAlign w:val="bottom"/>
            <w:shd w:val="clear" w:color="auto" w:fill="CFF0FC"/>
          </w:tcPr>
          <w:p>
            <w:pPr>
              <w:spacing w:after="0"/>
              <w:rPr>
                <w:sz w:val="11"/>
                <w:szCs w:val="1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w:t>
            </w:r>
          </w:p>
        </w:tc>
        <w:tc>
          <w:tcPr>
            <w:tcW w:w="120" w:type="dxa"/>
            <w:vAlign w:val="bottom"/>
          </w:tcPr>
          <w:p>
            <w:pPr>
              <w:spacing w:after="0"/>
              <w:rPr>
                <w:sz w:val="11"/>
                <w:szCs w:val="11"/>
                <w:color w:val="auto"/>
              </w:rPr>
            </w:pPr>
          </w:p>
        </w:tc>
      </w:tr>
      <w:tr>
        <w:trPr>
          <w:trHeight w:val="117"/>
        </w:trPr>
        <w:tc>
          <w:tcPr>
            <w:tcW w:w="2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Amortization of share-based</w:t>
            </w: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21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compensation capitalized</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 intangible assets</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shd w:val="clear" w:color="auto" w:fill="CFF0FC"/>
          </w:tcPr>
          <w:p>
            <w:pPr>
              <w:spacing w:after="0"/>
              <w:rPr>
                <w:sz w:val="13"/>
                <w:szCs w:val="13"/>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Acquisition-related costs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r>
      <w:tr>
        <w:trPr>
          <w:trHeight w:val="135"/>
        </w:trPr>
        <w:tc>
          <w:tcPr>
            <w:tcW w:w="2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Litigation costs</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120" w:type="dxa"/>
            <w:vAlign w:val="bottom"/>
            <w:shd w:val="clear" w:color="auto" w:fill="CFF0FC"/>
          </w:tcPr>
          <w:p>
            <w:pPr>
              <w:spacing w:after="0"/>
              <w:rPr>
                <w:sz w:val="11"/>
                <w:szCs w:val="1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Write-off of long-lived assets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r>
      <w:tr>
        <w:trPr>
          <w:trHeight w:val="135"/>
        </w:trPr>
        <w:tc>
          <w:tcPr>
            <w:tcW w:w="2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Tax effect of adjustments</w:t>
            </w:r>
            <w:r>
              <w:rPr>
                <w:rFonts w:ascii="Times New Roman" w:cs="Times New Roman" w:eastAsia="Times New Roman" w:hAnsi="Times New Roman"/>
                <w:sz w:val="15"/>
                <w:szCs w:val="15"/>
                <w:color w:val="auto"/>
                <w:vertAlign w:val="superscript"/>
              </w:rPr>
              <w:t>(1)</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(418)</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(879)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(759)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(1,744)</w:t>
            </w:r>
          </w:p>
        </w:tc>
      </w:tr>
      <w:tr>
        <w:trPr>
          <w:trHeight w:val="20"/>
        </w:trPr>
        <w:tc>
          <w:tcPr>
            <w:tcW w:w="2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Adjusted net income</w:t>
            </w:r>
          </w:p>
        </w:tc>
        <w:tc>
          <w:tcPr>
            <w:tcW w:w="4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3,448</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4,104</w:t>
            </w:r>
          </w:p>
        </w:tc>
        <w:tc>
          <w:tcPr>
            <w:tcW w:w="120" w:type="dxa"/>
            <w:vAlign w:val="bottom"/>
          </w:tcPr>
          <w:p>
            <w:pPr>
              <w:spacing w:after="0"/>
              <w:rPr>
                <w:sz w:val="11"/>
                <w:szCs w:val="11"/>
                <w:color w:val="auto"/>
              </w:rPr>
            </w:pPr>
          </w:p>
        </w:tc>
        <w:tc>
          <w:tcPr>
            <w:tcW w:w="2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3,441</w:t>
            </w:r>
          </w:p>
        </w:tc>
        <w:tc>
          <w:tcPr>
            <w:tcW w:w="140" w:type="dxa"/>
            <w:vAlign w:val="bottom"/>
          </w:tcPr>
          <w:p>
            <w:pPr>
              <w:spacing w:after="0"/>
              <w:rPr>
                <w:sz w:val="11"/>
                <w:szCs w:val="11"/>
                <w:color w:val="auto"/>
              </w:rPr>
            </w:pPr>
          </w:p>
        </w:tc>
        <w:tc>
          <w:tcPr>
            <w:tcW w:w="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2,002</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5,109</w:t>
            </w:r>
          </w:p>
        </w:tc>
        <w:tc>
          <w:tcPr>
            <w:tcW w:w="120" w:type="dxa"/>
            <w:vAlign w:val="bottom"/>
          </w:tcPr>
          <w:p>
            <w:pPr>
              <w:spacing w:after="0"/>
              <w:rPr>
                <w:sz w:val="11"/>
                <w:szCs w:val="11"/>
                <w:color w:val="auto"/>
              </w:rPr>
            </w:pPr>
          </w:p>
        </w:tc>
        <w:tc>
          <w:tcPr>
            <w:tcW w:w="2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4,542</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5,957</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3,061</w:t>
            </w:r>
          </w:p>
        </w:tc>
        <w:tc>
          <w:tcPr>
            <w:tcW w:w="120" w:type="dxa"/>
            <w:vAlign w:val="bottom"/>
          </w:tcPr>
          <w:p>
            <w:pPr>
              <w:spacing w:after="0"/>
              <w:rPr>
                <w:sz w:val="11"/>
                <w:szCs w:val="11"/>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21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Earnings per share:</w:t>
            </w: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120" w:type="dxa"/>
            <w:vAlign w:val="bottom"/>
          </w:tcPr>
          <w:p>
            <w:pPr>
              <w:spacing w:after="0"/>
              <w:rPr>
                <w:sz w:val="11"/>
                <w:szCs w:val="11"/>
                <w:color w:val="auto"/>
              </w:rPr>
            </w:pPr>
          </w:p>
        </w:tc>
        <w:tc>
          <w:tcPr>
            <w:tcW w:w="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40" w:type="dxa"/>
            <w:vAlign w:val="bottom"/>
          </w:tcPr>
          <w:p>
            <w:pPr>
              <w:spacing w:after="0"/>
              <w:rPr>
                <w:sz w:val="11"/>
                <w:szCs w:val="11"/>
                <w:color w:val="auto"/>
              </w:rPr>
            </w:pPr>
          </w:p>
        </w:tc>
        <w:tc>
          <w:tcPr>
            <w:tcW w:w="2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120" w:type="dxa"/>
            <w:vAlign w:val="bottom"/>
          </w:tcPr>
          <w:p>
            <w:pPr>
              <w:spacing w:after="0"/>
              <w:rPr>
                <w:sz w:val="11"/>
                <w:szCs w:val="11"/>
                <w:color w:val="auto"/>
              </w:rPr>
            </w:pPr>
          </w:p>
        </w:tc>
        <w:tc>
          <w:tcPr>
            <w:tcW w:w="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14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20" w:type="dxa"/>
            <w:vAlign w:val="bottom"/>
          </w:tcPr>
          <w:p>
            <w:pPr>
              <w:spacing w:after="0"/>
              <w:rPr>
                <w:sz w:val="11"/>
                <w:szCs w:val="11"/>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21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46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0.13</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0.24</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0.18</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0.29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120" w:type="dxa"/>
            <w:vAlign w:val="bottom"/>
            <w:shd w:val="clear" w:color="auto" w:fill="CFF0FC"/>
          </w:tcPr>
          <w:p>
            <w:pPr>
              <w:spacing w:after="0"/>
              <w:rPr>
                <w:sz w:val="13"/>
                <w:szCs w:val="13"/>
                <w:color w:val="auto"/>
              </w:rPr>
            </w:pPr>
          </w:p>
        </w:tc>
      </w:tr>
      <w:tr>
        <w:trPr>
          <w:trHeight w:val="116"/>
        </w:trPr>
        <w:tc>
          <w:tcPr>
            <w:tcW w:w="210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Adjusted earnings per share:</w:t>
            </w:r>
          </w:p>
        </w:tc>
        <w:tc>
          <w:tcPr>
            <w:tcW w:w="3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55"/>
        </w:trPr>
        <w:tc>
          <w:tcPr>
            <w:tcW w:w="2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4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0.14</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0.42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0.22</w:t>
            </w:r>
          </w:p>
        </w:tc>
        <w:tc>
          <w:tcPr>
            <w:tcW w:w="120" w:type="dxa"/>
            <w:vAlign w:val="bottom"/>
            <w:shd w:val="clear" w:color="auto" w:fill="CFF0FC"/>
          </w:tcPr>
          <w:p>
            <w:pPr>
              <w:spacing w:after="0"/>
              <w:rPr>
                <w:sz w:val="13"/>
                <w:szCs w:val="13"/>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15"/>
        </w:trPr>
        <w:tc>
          <w:tcPr>
            <w:tcW w:w="21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0.24</w:t>
            </w:r>
          </w:p>
        </w:tc>
        <w:tc>
          <w:tcPr>
            <w:tcW w:w="140" w:type="dxa"/>
            <w:vAlign w:val="bottom"/>
          </w:tcPr>
          <w:p>
            <w:pPr>
              <w:spacing w:after="0"/>
              <w:rPr>
                <w:sz w:val="10"/>
                <w:szCs w:val="10"/>
                <w:color w:val="auto"/>
              </w:rPr>
            </w:pPr>
          </w:p>
        </w:tc>
        <w:tc>
          <w:tcPr>
            <w:tcW w:w="2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0.29</w:t>
            </w:r>
          </w:p>
        </w:tc>
        <w:tc>
          <w:tcPr>
            <w:tcW w:w="120" w:type="dxa"/>
            <w:vAlign w:val="bottom"/>
          </w:tcPr>
          <w:p>
            <w:pPr>
              <w:spacing w:after="0"/>
              <w:rPr>
                <w:sz w:val="10"/>
                <w:szCs w:val="10"/>
                <w:color w:val="auto"/>
              </w:rPr>
            </w:pPr>
          </w:p>
        </w:tc>
        <w:tc>
          <w:tcPr>
            <w:tcW w:w="2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0.24</w:t>
            </w:r>
          </w:p>
        </w:tc>
        <w:tc>
          <w:tcPr>
            <w:tcW w:w="140" w:type="dxa"/>
            <w:vAlign w:val="bottom"/>
          </w:tcPr>
          <w:p>
            <w:pPr>
              <w:spacing w:after="0"/>
              <w:rPr>
                <w:sz w:val="10"/>
                <w:szCs w:val="10"/>
                <w:color w:val="auto"/>
              </w:rPr>
            </w:pPr>
          </w:p>
        </w:tc>
        <w:tc>
          <w:tcPr>
            <w:tcW w:w="2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0.14</w:t>
            </w:r>
          </w:p>
        </w:tc>
        <w:tc>
          <w:tcPr>
            <w:tcW w:w="140" w:type="dxa"/>
            <w:vAlign w:val="bottom"/>
          </w:tcPr>
          <w:p>
            <w:pPr>
              <w:spacing w:after="0"/>
              <w:rPr>
                <w:sz w:val="10"/>
                <w:szCs w:val="10"/>
                <w:color w:val="auto"/>
              </w:rPr>
            </w:pPr>
          </w:p>
        </w:tc>
        <w:tc>
          <w:tcPr>
            <w:tcW w:w="2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0.35</w:t>
            </w:r>
          </w:p>
        </w:tc>
        <w:tc>
          <w:tcPr>
            <w:tcW w:w="120" w:type="dxa"/>
            <w:vAlign w:val="bottom"/>
          </w:tcPr>
          <w:p>
            <w:pPr>
              <w:spacing w:after="0"/>
              <w:rPr>
                <w:sz w:val="10"/>
                <w:szCs w:val="10"/>
                <w:color w:val="auto"/>
              </w:rPr>
            </w:pPr>
          </w:p>
        </w:tc>
        <w:tc>
          <w:tcPr>
            <w:tcW w:w="2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0.31</w:t>
            </w:r>
          </w:p>
        </w:tc>
        <w:tc>
          <w:tcPr>
            <w:tcW w:w="140" w:type="dxa"/>
            <w:vAlign w:val="bottom"/>
          </w:tcPr>
          <w:p>
            <w:pPr>
              <w:spacing w:after="0"/>
              <w:rPr>
                <w:sz w:val="10"/>
                <w:szCs w:val="10"/>
                <w:color w:val="auto"/>
              </w:rPr>
            </w:pPr>
          </w:p>
        </w:tc>
        <w:tc>
          <w:tcPr>
            <w:tcW w:w="2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0.41</w:t>
            </w:r>
          </w:p>
        </w:tc>
        <w:tc>
          <w:tcPr>
            <w:tcW w:w="220" w:type="dxa"/>
            <w:vAlign w:val="bottom"/>
          </w:tcPr>
          <w:p>
            <w:pPr>
              <w:spacing w:after="0"/>
              <w:rPr>
                <w:sz w:val="10"/>
                <w:szCs w:val="10"/>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0.21</w:t>
            </w:r>
          </w:p>
        </w:tc>
        <w:tc>
          <w:tcPr>
            <w:tcW w:w="120" w:type="dxa"/>
            <w:vAlign w:val="bottom"/>
          </w:tcPr>
          <w:p>
            <w:pPr>
              <w:spacing w:after="0"/>
              <w:rPr>
                <w:sz w:val="10"/>
                <w:szCs w:val="10"/>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
        </w:trPr>
        <w:tc>
          <w:tcPr>
            <w:tcW w:w="2100" w:type="dxa"/>
            <w:vAlign w:val="bottom"/>
            <w:shd w:val="clear" w:color="auto" w:fill="CFF0FC"/>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Weighted average shares</w:t>
            </w:r>
          </w:p>
        </w:tc>
        <w:tc>
          <w:tcPr>
            <w:tcW w:w="3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55"/>
        </w:trPr>
        <w:tc>
          <w:tcPr>
            <w:tcW w:w="2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13,997,064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13,780,074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13,782,476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13,900,091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13,998,028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14,018,629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14,027,994</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14,101,986</w:t>
            </w:r>
          </w:p>
        </w:tc>
        <w:tc>
          <w:tcPr>
            <w:tcW w:w="120" w:type="dxa"/>
            <w:vAlign w:val="bottom"/>
          </w:tcPr>
          <w:p>
            <w:pPr>
              <w:spacing w:after="0"/>
              <w:rPr>
                <w:sz w:val="11"/>
                <w:szCs w:val="11"/>
                <w:color w:val="auto"/>
              </w:rPr>
            </w:pP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2100" w:type="dxa"/>
            <w:vAlign w:val="bottom"/>
            <w:tcBorders>
              <w:bottom w:val="single" w:sz="8" w:color="CFF0FC"/>
            </w:tcBorders>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3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14,164,506</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14,051,466</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14,311,575</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14,366,545</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14,491,713</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14,553,282</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14,618,657</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14,554,080</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-1130935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-1130935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-1130935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-1130935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-1130935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-1130935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-1130935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-728345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-710565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-728345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-710565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-728345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-710565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-728345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-710565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-728345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-710565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-728345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-710565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-530860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-513715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-530860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-513715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-530860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-513715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-530860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-513715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-530860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-513715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-530860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-513715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-530860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-513715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-530860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380" w:right="360" w:hanging="372"/>
        <w:spacing w:after="0"/>
        <w:tabs>
          <w:tab w:leader="none" w:pos="25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refined the methodology for calculating the tax effect of adjustments used in arriving at non-GAAP adjusted net income. Prior period amounts have been revised to conform to the current presentation. These revisions did not affect previously reported GAAP financial statements.</w:t>
      </w:r>
    </w:p>
    <w:p>
      <w:pPr>
        <w:sectPr>
          <w:pgSz w:w="11900" w:h="16838" w:orient="portrait"/>
          <w:cols w:equalWidth="0" w:num="1">
            <w:col w:w="11240"/>
          </w:cols>
          <w:pgMar w:left="320" w:top="1222" w:right="33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(In thousands) (Unaudited)</w:t>
      </w:r>
    </w:p>
    <w:p>
      <w:pPr>
        <w:spacing w:after="0" w:line="216" w:lineRule="auto"/>
        <w:rPr>
          <w:sz w:val="20"/>
          <w:szCs w:val="20"/>
          <w:color w:val="auto"/>
        </w:rPr>
      </w:pPr>
      <w:r>
        <w:rPr>
          <w:rFonts w:ascii="Times New Roman" w:cs="Times New Roman" w:eastAsia="Times New Roman" w:hAnsi="Times New Roman"/>
          <w:sz w:val="13"/>
          <w:szCs w:val="13"/>
          <w:color w:val="auto"/>
        </w:rPr>
        <w:t>Revenue</w:t>
      </w:r>
    </w:p>
    <w:p>
      <w:pPr>
        <w:ind w:right="60"/>
        <w:spacing w:after="0" w:line="216" w:lineRule="auto"/>
        <w:rPr>
          <w:sz w:val="20"/>
          <w:szCs w:val="20"/>
          <w:color w:val="auto"/>
        </w:rPr>
      </w:pPr>
      <w:r>
        <w:rPr>
          <w:rFonts w:ascii="Times New Roman" w:cs="Times New Roman" w:eastAsia="Times New Roman" w:hAnsi="Times New Roman"/>
          <w:sz w:val="13"/>
          <w:szCs w:val="13"/>
          <w:color w:val="auto"/>
        </w:rPr>
        <w:t>Cost of revenue (exclusive of depreciation and amortization) Depreciation and amortization related to cost of revenue</w:t>
      </w:r>
    </w:p>
    <w:p>
      <w:pPr>
        <w:spacing w:after="0" w:line="219" w:lineRule="auto"/>
        <w:rPr>
          <w:sz w:val="20"/>
          <w:szCs w:val="20"/>
          <w:color w:val="auto"/>
        </w:rPr>
      </w:pPr>
      <w:r>
        <w:rPr>
          <w:rFonts w:ascii="Times New Roman" w:cs="Times New Roman" w:eastAsia="Times New Roman" w:hAnsi="Times New Roman"/>
          <w:sz w:val="13"/>
          <w:szCs w:val="13"/>
          <w:b w:val="1"/>
          <w:bCs w:val="1"/>
          <w:color w:val="auto"/>
        </w:rPr>
        <w:t>Gross profit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9"/>
          <w:szCs w:val="9"/>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2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3/31/2024</w:t>
            </w: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6/30/2024</w:t>
            </w: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9/30/2024</w:t>
            </w: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9"/>
                <w:szCs w:val="9"/>
                <w:b w:val="1"/>
                <w:bCs w:val="1"/>
                <w:color w:val="auto"/>
              </w:rPr>
              <w:t>12/31/2024</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9"/>
                <w:szCs w:val="9"/>
                <w:b w:val="1"/>
                <w:bCs w:val="1"/>
                <w:color w:val="auto"/>
              </w:rPr>
              <w:t>3/31/2025</w:t>
            </w:r>
          </w:p>
        </w:tc>
        <w:tc>
          <w:tcPr>
            <w:tcW w:w="1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9"/>
                <w:szCs w:val="9"/>
                <w:b w:val="1"/>
                <w:bCs w:val="1"/>
                <w:color w:val="auto"/>
              </w:rPr>
              <w:t>6/30/2025</w:t>
            </w:r>
          </w:p>
        </w:tc>
        <w:tc>
          <w:tcPr>
            <w:tcW w:w="1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9"/>
                <w:szCs w:val="9"/>
                <w:b w:val="1"/>
                <w:bCs w:val="1"/>
                <w:color w:val="auto"/>
              </w:rPr>
              <w:t>9/30/2025</w:t>
            </w: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221"/>
              <w:spacing w:after="0" w:line="88" w:lineRule="exact"/>
              <w:rPr>
                <w:sz w:val="20"/>
                <w:szCs w:val="20"/>
                <w:color w:val="auto"/>
              </w:rPr>
            </w:pPr>
            <w:r>
              <w:rPr>
                <w:rFonts w:ascii="Times New Roman" w:cs="Times New Roman" w:eastAsia="Times New Roman" w:hAnsi="Times New Roman"/>
                <w:sz w:val="9"/>
                <w:szCs w:val="9"/>
                <w:b w:val="1"/>
                <w:bCs w:val="1"/>
                <w:color w:val="auto"/>
              </w:rPr>
              <w:t>12/31/2025</w:t>
            </w:r>
          </w:p>
        </w:tc>
        <w:tc>
          <w:tcPr>
            <w:tcW w:w="40" w:type="dxa"/>
            <w:vAlign w:val="bottom"/>
          </w:tcPr>
          <w:p>
            <w:pPr>
              <w:spacing w:after="0"/>
              <w:rPr>
                <w:sz w:val="7"/>
                <w:szCs w:val="7"/>
                <w:color w:val="auto"/>
              </w:rPr>
            </w:pPr>
          </w:p>
        </w:tc>
      </w:tr>
      <w:tr>
        <w:trPr>
          <w:trHeight w:val="158"/>
        </w:trPr>
        <w:tc>
          <w:tcPr>
            <w:tcW w:w="20" w:type="dxa"/>
            <w:vAlign w:val="bottom"/>
          </w:tcPr>
          <w:p>
            <w:pPr>
              <w:spacing w:after="0"/>
              <w:rPr>
                <w:sz w:val="13"/>
                <w:szCs w:val="13"/>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19,056</w:t>
            </w:r>
          </w:p>
        </w:tc>
        <w:tc>
          <w:tcPr>
            <w:tcW w:w="24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19,057</w:t>
            </w:r>
          </w:p>
        </w:tc>
        <w:tc>
          <w:tcPr>
            <w:tcW w:w="24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23,392</w:t>
            </w:r>
          </w:p>
        </w:tc>
        <w:tc>
          <w:tcPr>
            <w:tcW w:w="40" w:type="dxa"/>
            <w:vAlign w:val="bottom"/>
          </w:tcPr>
          <w:p>
            <w:pPr>
              <w:spacing w:after="0"/>
              <w:rPr>
                <w:sz w:val="13"/>
                <w:szCs w:val="13"/>
                <w:color w:val="auto"/>
              </w:rPr>
            </w:pPr>
          </w:p>
        </w:tc>
      </w:tr>
      <w:tr>
        <w:trPr>
          <w:trHeight w:val="25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(3,455)</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(3,314)</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(3,472)</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(3,661)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(3,501)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(3,622)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(3,891)</w:t>
            </w:r>
          </w:p>
        </w:tc>
      </w:t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(2,322)</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(2,382)</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(2,431)</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(2,595)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(2,651)</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(2,703)</w:t>
            </w:r>
          </w:p>
        </w:tc>
      </w:tr>
      <w:tr>
        <w:trPr>
          <w:trHeight w:val="124"/>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11,541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13,279</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13,361</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13,662</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15,842</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15,678</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16,810</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16,798</w:t>
            </w: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-511175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-254000</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680" w:space="720"/>
            <w:col w:w="8840"/>
          </w:cols>
          <w:pgMar w:left="320" w:top="1222"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12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2,431</w:t>
            </w: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2,615</w:t>
            </w: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20" w:type="dxa"/>
            <w:vAlign w:val="bottom"/>
            <w:tcBorders>
              <w:bottom w:val="single" w:sz="8" w:color="CFF0FC"/>
            </w:tcBorders>
            <w:shd w:val="clear" w:color="auto" w:fill="CFF0FC"/>
          </w:tcPr>
          <w:p>
            <w:pPr>
              <w:ind w:left="80"/>
              <w:spacing w:after="0" w:line="140" w:lineRule="exact"/>
              <w:rPr>
                <w:sz w:val="20"/>
                <w:szCs w:val="20"/>
                <w:color w:val="auto"/>
              </w:rPr>
            </w:pPr>
            <w:r>
              <w:rPr>
                <w:rFonts w:ascii="Times New Roman" w:cs="Times New Roman" w:eastAsia="Times New Roman" w:hAnsi="Times New Roman"/>
                <w:sz w:val="13"/>
                <w:szCs w:val="13"/>
                <w:color w:val="auto"/>
              </w:rPr>
              <w:t>of certain intangible assets</w:t>
            </w:r>
          </w:p>
        </w:tc>
        <w:tc>
          <w:tcPr>
            <w:tcW w:w="2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Adjusted gross profit</w:t>
            </w:r>
          </w:p>
        </w:tc>
        <w:tc>
          <w:tcPr>
            <w:tcW w:w="28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13,755</w:t>
            </w: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15,601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15,743</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16,093</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18,294</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18,238</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19,425</w:t>
            </w:r>
          </w:p>
        </w:tc>
        <w:tc>
          <w:tcPr>
            <w:tcW w:w="4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19,463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Gross margin</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66%</w:t>
            </w: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72%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72%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340"/>
              <w:spacing w:after="0" w:line="115" w:lineRule="exact"/>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spacing w:after="0"/>
              <w:rPr>
                <w:sz w:val="11"/>
                <w:szCs w:val="11"/>
                <w:color w:val="auto"/>
              </w:rPr>
            </w:pPr>
          </w:p>
        </w:tc>
        <w:tc>
          <w:tcPr>
            <w:tcW w:w="92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Adjusted gross margin</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79%</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83%</w:t>
            </w: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83%</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84%</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340"/>
              <w:spacing w:after="0" w:line="115" w:lineRule="exact"/>
              <w:rPr>
                <w:sz w:val="20"/>
                <w:szCs w:val="20"/>
                <w:color w:val="auto"/>
              </w:rPr>
            </w:pPr>
            <w:r>
              <w:rPr>
                <w:rFonts w:ascii="Times New Roman" w:cs="Times New Roman" w:eastAsia="Times New Roman" w:hAnsi="Times New Roman"/>
                <w:sz w:val="13"/>
                <w:szCs w:val="13"/>
                <w:color w:val="auto"/>
              </w:rPr>
              <w:t>84%</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line="75" w:lineRule="exact"/>
              <w:rPr>
                <w:sz w:val="20"/>
                <w:szCs w:val="20"/>
                <w:color w:val="auto"/>
              </w:rPr>
            </w:pPr>
            <w:r>
              <w:rPr>
                <w:rFonts w:ascii="Times New Roman" w:cs="Times New Roman" w:eastAsia="Times New Roman" w:hAnsi="Times New Roman"/>
                <w:sz w:val="8"/>
                <w:szCs w:val="8"/>
                <w:b w:val="1"/>
                <w:bCs w:val="1"/>
                <w:color w:val="auto"/>
              </w:rPr>
              <w:t>(In thousands) (Unaudited)</w:t>
            </w: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81"/>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80"/>
              <w:spacing w:after="0" w:line="75" w:lineRule="exact"/>
              <w:rPr>
                <w:sz w:val="20"/>
                <w:szCs w:val="20"/>
                <w:color w:val="auto"/>
              </w:rPr>
            </w:pPr>
            <w:r>
              <w:rPr>
                <w:rFonts w:ascii="Times New Roman" w:cs="Times New Roman" w:eastAsia="Times New Roman" w:hAnsi="Times New Roman"/>
                <w:sz w:val="8"/>
                <w:szCs w:val="8"/>
                <w:b w:val="1"/>
                <w:bCs w:val="1"/>
                <w:color w:val="auto"/>
              </w:rPr>
              <w:t>3/31/2025</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100"/>
              <w:spacing w:after="0" w:line="75" w:lineRule="exact"/>
              <w:rPr>
                <w:sz w:val="20"/>
                <w:szCs w:val="20"/>
                <w:color w:val="auto"/>
              </w:rPr>
            </w:pPr>
            <w:r>
              <w:rPr>
                <w:rFonts w:ascii="Times New Roman" w:cs="Times New Roman" w:eastAsia="Times New Roman" w:hAnsi="Times New Roman"/>
                <w:sz w:val="8"/>
                <w:szCs w:val="8"/>
                <w:b w:val="1"/>
                <w:bCs w:val="1"/>
                <w:color w:val="auto"/>
              </w:rPr>
              <w:t>6/30/2025</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00"/>
              <w:spacing w:after="0" w:line="75" w:lineRule="exact"/>
              <w:rPr>
                <w:sz w:val="20"/>
                <w:szCs w:val="20"/>
                <w:color w:val="auto"/>
              </w:rPr>
            </w:pPr>
            <w:r>
              <w:rPr>
                <w:rFonts w:ascii="Times New Roman" w:cs="Times New Roman" w:eastAsia="Times New Roman" w:hAnsi="Times New Roman"/>
                <w:sz w:val="8"/>
                <w:szCs w:val="8"/>
                <w:b w:val="1"/>
                <w:bCs w:val="1"/>
                <w:color w:val="auto"/>
              </w:rPr>
              <w:t>9/30/2025</w:t>
            </w: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220"/>
              <w:spacing w:after="0" w:line="75" w:lineRule="exact"/>
              <w:rPr>
                <w:sz w:val="20"/>
                <w:szCs w:val="20"/>
                <w:color w:val="auto"/>
              </w:rPr>
            </w:pPr>
            <w:r>
              <w:rPr>
                <w:rFonts w:ascii="Times New Roman" w:cs="Times New Roman" w:eastAsia="Times New Roman" w:hAnsi="Times New Roman"/>
                <w:sz w:val="8"/>
                <w:szCs w:val="8"/>
                <w:b w:val="1"/>
                <w:bCs w:val="1"/>
                <w:color w:val="auto"/>
              </w:rPr>
              <w:t>12/31/2025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Net cash provided by operating</w:t>
            </w: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5,717</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5,001</w:t>
            </w:r>
          </w:p>
        </w:tc>
        <w:tc>
          <w:tcPr>
            <w:tcW w:w="2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7,487</w:t>
            </w:r>
          </w:p>
        </w:tc>
        <w:tc>
          <w:tcPr>
            <w:tcW w:w="2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10,172</w:t>
            </w: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Less: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17"/>
        </w:trPr>
        <w:tc>
          <w:tcPr>
            <w:tcW w:w="21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Capitalized costs included in</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(2,327)</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(2,411)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(2,380)</w:t>
            </w:r>
          </w:p>
        </w:tc>
        <w:tc>
          <w:tcPr>
            <w:tcW w:w="14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(2,469)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(2,515)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color w:val="auto"/>
              </w:rPr>
              <w:t>(2,695)</w:t>
            </w:r>
          </w:p>
        </w:tc>
        <w:tc>
          <w:tcPr>
            <w:tcW w:w="16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(2,914)</w:t>
            </w:r>
          </w:p>
        </w:tc>
        <w:tc>
          <w:tcPr>
            <w:tcW w:w="0" w:type="dxa"/>
            <w:vAlign w:val="bottom"/>
          </w:tcPr>
          <w:p>
            <w:pPr>
              <w:spacing w:after="0"/>
              <w:rPr>
                <w:sz w:val="1"/>
                <w:szCs w:val="1"/>
                <w:color w:val="auto"/>
              </w:rPr>
            </w:pPr>
          </w:p>
        </w:tc>
      </w:tr>
      <w:tr>
        <w:trPr>
          <w:trHeight w:val="140"/>
        </w:trPr>
        <w:tc>
          <w:tcPr>
            <w:tcW w:w="21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intangible assets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Free cash flow</w:t>
            </w:r>
          </w:p>
        </w:tc>
        <w:tc>
          <w:tcPr>
            <w:tcW w:w="44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1,913</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3,254</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4,832</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4,394</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2,482</w:t>
            </w:r>
          </w:p>
        </w:tc>
        <w:tc>
          <w:tcPr>
            <w:tcW w:w="2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4,770</w:t>
            </w:r>
          </w:p>
        </w:tc>
        <w:tc>
          <w:tcPr>
            <w:tcW w:w="2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7,290</w:t>
            </w: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-1276985</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-1276985</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-1276985</wp:posOffset>
            </wp:positionV>
            <wp:extent cx="768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-1276985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-1276985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-1276985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-1276985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-1276985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-873760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-856615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-873760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-856615</wp:posOffset>
            </wp:positionV>
            <wp:extent cx="76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-873760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-856615</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-873760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-856615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-873760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-856615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-873760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-856615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-873760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-856615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to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Revenue increased $15.1 million, or 20%, to $90.3 million for the year ended December 31, 2025, compared to $75.2 million in 2024. The increase was driven by strong onboarding of new customers and volume expansion across the existing customer base.</w:t>
      </w:r>
    </w:p>
    <w:p>
      <w:pPr>
        <w:spacing w:after="0" w:line="54"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increased $0.7 million, or 11%, to $7.3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existing customers increased $14.3 million, or 21%, to $83.0 million.</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in the first quarter of 2025, we consolidated our prior base revenue and growth revenue categories into a single revenue from existing customers metric to provide a more streamlined and meaningful view of ongoing customer contribution.</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2025, our IDI billable customer base increased to 10,022 customers, up from 8,926 customers a year earlier. Our FOREWARN user base increased to 390,018 users, up from 303,418 users a year earlier.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$0.7 million, or 5%, to $14.7 million for the year ended December 31, 2025, compared to $14.0 million in 2024.</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45% of our total data acquisition costs for the years ended December 31, 2025 and 2024. Effective on May 1, 2025, we entered into an amendment with our largest data supplier, extending the term of the agreement through April 30, 2031.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components of our cost of revenue include cloud infrastructure fees and pertinent personnel-related costs.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Due to the fixed-cost nature of our primary data licensing structure, cost of revenue as a percentage of revenue decreased to 16% for the year ended December 31, 2025, compared to 19% in 2024. We expect this percentage to continue to decline over time as our revenue increases.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increased $4.0 million, or 22%, to $21.8 million for the year ended December 31, 2025, compared to $17.8 million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reflects our continued investment in expanding our go-to-market capabilities to support long-term revenue growth.</w:t>
      </w:r>
    </w:p>
    <w:p>
      <w:pPr>
        <w:spacing w:after="0" w:line="16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personnel-related expenses, advertising, marketing and agency expenses, travel expenses, and share-based compensation expense incurred by our sales team, and provision for bad debts.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$2.8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in advertising, marketing and agency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provision for bad debts,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share-based compensation expense.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$4.1 million, or 16%, to $30.0 million for the year ended December 31, 2025, compared to $25.9 million in 2024. The increase reflects higher personnel-related expenses and share-based compensation expense to support the continued growth of the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general and administrative expenses consisted primarily of:</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of $16.5 million and $13.8 million,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$5.7 million and $5.3 million, respectively; and</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$5.3 million and $4.2 million, respectively. Professional fees included $0.4 million and $0, respectively, of acquisition-related costs incurred in connection with the due diligence of potential strategic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$1.1 million, or 12%, to $10.7 million for the year ended December 31, 2025, compared to $9.6 million in 2024.</w:t>
      </w:r>
    </w:p>
    <w:p>
      <w:pPr>
        <w:spacing w:after="0" w:line="121" w:lineRule="exact"/>
        <w:rPr>
          <w:sz w:val="20"/>
          <w:szCs w:val="20"/>
          <w:color w:val="auto"/>
        </w:rPr>
      </w:pPr>
    </w:p>
    <w:p>
      <w:pPr>
        <w:ind w:right="1060"/>
        <w:spacing w:after="0" w:line="461" w:lineRule="auto"/>
        <w:rPr>
          <w:sz w:val="20"/>
          <w:szCs w:val="20"/>
          <w:color w:val="auto"/>
        </w:rPr>
      </w:pPr>
      <w:r>
        <w:rPr>
          <w:rFonts w:ascii="Times New Roman" w:cs="Times New Roman" w:eastAsia="Times New Roman" w:hAnsi="Times New Roman"/>
          <w:sz w:val="18"/>
          <w:szCs w:val="18"/>
          <w:color w:val="auto"/>
        </w:rPr>
        <w:t xml:space="preserve">The increase was primarily driven by the amortization of intangible assets that became ready for their intended use after December 31, 2024. </w:t>
      </w:r>
      <w:r>
        <w:rPr>
          <w:rFonts w:ascii="Times New Roman" w:cs="Times New Roman" w:eastAsia="Times New Roman" w:hAnsi="Times New Roman"/>
          <w:sz w:val="18"/>
          <w:szCs w:val="18"/>
          <w:b w:val="1"/>
          <w:bCs w:val="1"/>
          <w:i w:val="1"/>
          <w:iCs w:val="1"/>
          <w:color w:val="auto"/>
        </w:rPr>
        <w:t>Interest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remained consistent at $1.4 million for the years ended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income was primarily attributable to yields on money market fund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increased $5.3 million, or 56%, to $14.6 million for the year ended December 31, 2025, compared to $9.3 million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w:t>
      </w:r>
    </w:p>
    <w:p>
      <w:pPr>
        <w:spacing w:after="0" w:line="11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$15.1 million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in cost of revenue (exclusive of depreciation and amortization);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$5.5 million in personnel-related expenses;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professional fees;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in share-based compensation expense;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depreciation and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$1.4 million for the year ended December 31, 2025, compared to $2.3 million in 2024.</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was primarily driven by a decrease in the effective tax rate to 10% for the year ended December 31, 2025 from 25% in 2024, partially offset by higher pre-tax income.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which makes permanent key elements of the Tax Cuts and Jobs Act, including the election for full expensing of domestic research and experimentation expenditures. We evaluated the impact of the OBBBA on our consolidated financial statements and concluded that it did not have a material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Note 8, “Income Taxes,” included in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income increased $6.2 million, or 88%, to $13.2 million for the year ended December 31, 2025, compared to $7.0 million in 2024, as a result of the foregoing.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believe the persistent inflationary pressures during 2024 and into early 2025 contributed to a more challenging macroeconomic environment, increasing recessionary concerns and prompting some businesses to moderate discretionary spending. While the pace of inflation has shown signs of moderation more recently, macroeconomic uncertainty and higher interest rates have continued to influence business sentiment and spending patterns in certain sectors.</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These conditions have resulted in — and may continue to contribute to — fluctuations in transaction volumes, pricing dynamics, and operating margins across our services.</w:t>
      </w:r>
    </w:p>
    <w:p>
      <w:pPr>
        <w:spacing w:after="0" w:line="1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elevated interest rates implemented to curb inflation may reduce the demand for credit, which could in turn lead to lower usage of our services by customers in the banking, financial services, and adjacent industries.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net cash provided by operating activities was $29.3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$13.2 million;</w:t>
      </w:r>
    </w:p>
    <w:p>
      <w:pPr>
        <w:spacing w:after="0" w:line="117"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$19.4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$3.2 million, primarily due to an increase in accounts receivable, and prepaid expenses and other current assets, and a decrease in operating lease liabilities, partially offset by the increase in accrued expenses and other current liabilities and deferred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$24.0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$7.0 million;</w:t>
      </w:r>
    </w:p>
    <w:p>
      <w:pPr>
        <w:spacing w:after="0" w:line="117"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adjustments totaling $18.5 million, including share-based compensation expense, depreciation and amortization, write-off of long-lived assets, provision for bad debts, noncash lease expenses, and deferred income tax expense; and</w:t>
      </w:r>
    </w:p>
    <w:p>
      <w:pPr>
        <w:spacing w:after="0" w:line="53"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resulted in a net use of cash of $1.6 million, primarily due to an increase in accounts receivable, prepaid expenses and other current assets, and other noncurrent assets, and a decrease in operating lease liabilities, partially offset by the increase in accounts payable, and accrued expenses and other current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net cash used in investing activities was $11.2 million and $9.6 million, respectively, primarily as a result of capitalized costs included in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net cash used in financing activities was $11.1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totaling $4.2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$6.0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$0.9 million, conducted pursuant to our Stock Repurchase Program.</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3, 2024, we declared the Dividend of $0.30 per share on our common stock to shareholders of record as of January 31, 2025. The Dividend, totaling $4.2 million, was paid on February 14,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9" w:name="page40"/>
    <w:bookmarkEnd w:id="39"/>
    <w:p>
      <w:pPr>
        <w:ind w:right="120"/>
        <w:spacing w:after="0" w:line="266" w:lineRule="auto"/>
        <w:rPr>
          <w:sz w:val="20"/>
          <w:szCs w:val="20"/>
          <w:color w:val="auto"/>
        </w:rPr>
      </w:pPr>
      <w:r>
        <w:rPr>
          <w:rFonts w:ascii="Times New Roman" w:cs="Times New Roman" w:eastAsia="Times New Roman" w:hAnsi="Times New Roman"/>
          <w:sz w:val="18"/>
          <w:szCs w:val="18"/>
          <w:color w:val="auto"/>
        </w:rPr>
        <w:t>The Stock Repurchase Program was originally authorized by the Board of Directors on May 2, 2022, permitting repurchases of our common stock from time to time, which was subsequently amended on each of December 19, 2023 and March 28, 2024. On November 3, 2025, the Board of Directors further authorized the repurchase of an additional $15.0 million under the Stock Repurchase Program, bringing the total authorization to $30.0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$9.9 million. This was primarily driven by:</w:t>
      </w:r>
    </w:p>
    <w:p>
      <w:pPr>
        <w:spacing w:after="0" w:line="117"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in connection with the net share settlement of vesting RSUs totaling $4.1 million;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repurchases totaling $5.9 million, conducted pursuant to our Stock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material commitments under data licensing agreements and a cloud service agreement totaling $42.0 million.</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to fund these commitments, as well as our ongoing operating and capital requirements, using available cash on hand and cash flows generated from operations over the next twelve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reported net income of $13.2 million and $7.0 million for the years ended December 31, 2025 and 2024, respectively. As of December 31, 2025, we had total shareholders’ equity of $100.9 million and cash and cash equivalents of $43.6 million.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our projected growth in revenue and operating results over the next twelve months, and the available cash on hand, we believe that our existing resources will be sufficient to fund operations and expected capital expenditures for at least the next twelve months.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While we anticipate continuing to fund our business through internally generated cash flows, future capital needs may arise based on the pace of revenue growth, investment in technology, or strategic initiatives. In such cases, we may seek to raise additional capital through the issuance of equity and/or debt securities. However, any such financing, if available, could result in dilution to existing stockholders and may involve terms that are not favorable to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2025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Many factors could cause our actual activities or results to differ materially from the activities and results anticipated in forward-looking statements. These factors include the following:</w:t>
      </w:r>
    </w:p>
    <w:p>
      <w:pPr>
        <w:spacing w:after="0" w:line="121" w:lineRule="exact"/>
        <w:rPr>
          <w:sz w:val="20"/>
          <w:szCs w:val="20"/>
          <w:color w:val="auto"/>
        </w:rPr>
      </w:pPr>
    </w:p>
    <w:p>
      <w:pPr>
        <w:ind w:left="560" w:right="160" w:hanging="507"/>
        <w:spacing w:after="0" w:line="282"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21"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in the data and analytics sector, we may lose customers and/or our products and/or services may become obsolete.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40" w:name="page41"/>
    <w:bookmarkEnd w:id="40"/>
    <w:p>
      <w:pPr>
        <w:ind w:left="507" w:right="20" w:hanging="507"/>
        <w:spacing w:after="0" w:line="266"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48" w:lineRule="exact"/>
        <w:rPr>
          <w:rFonts w:ascii="Times New Roman" w:cs="Times New Roman" w:eastAsia="Times New Roman" w:hAnsi="Times New Roman"/>
          <w:sz w:val="18"/>
          <w:szCs w:val="18"/>
          <w:color w:val="auto"/>
        </w:rPr>
      </w:pPr>
    </w:p>
    <w:p>
      <w:pPr>
        <w:ind w:left="507" w:right="260" w:hanging="507"/>
        <w:spacing w:after="0" w:line="266"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integrity are critically important to our business, and breaches of security, unauthorized access to or disclosure of confidential information, disruption, including DDoS attacks or the perception that confidential information is not secure, could result in a material loss of business, substantial legal liability or significant harm to our reputation.</w:t>
      </w:r>
    </w:p>
    <w:p>
      <w:pPr>
        <w:spacing w:after="0" w:line="135" w:lineRule="exact"/>
        <w:rPr>
          <w:rFonts w:ascii="Times New Roman" w:cs="Times New Roman" w:eastAsia="Times New Roman" w:hAnsi="Times New Roman"/>
          <w:sz w:val="18"/>
          <w:szCs w:val="18"/>
          <w:color w:val="auto"/>
        </w:rPr>
      </w:pPr>
    </w:p>
    <w:p>
      <w:pPr>
        <w:ind w:left="507" w:right="400"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our systems, our certifications, our technology, and our interfaces with data and customers, demand for our services could be adversely affected.</w:t>
      </w:r>
    </w:p>
    <w:p>
      <w:pPr>
        <w:spacing w:after="0" w:line="121" w:lineRule="exact"/>
        <w:rPr>
          <w:rFonts w:ascii="Times New Roman" w:cs="Times New Roman" w:eastAsia="Times New Roman" w:hAnsi="Times New Roman"/>
          <w:sz w:val="18"/>
          <w:szCs w:val="18"/>
          <w:color w:val="auto"/>
        </w:rPr>
      </w:pPr>
    </w:p>
    <w:p>
      <w:pPr>
        <w:ind w:left="507" w:right="180"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artificial intelligence and generative artificial intelligence may result in reputational harm, liability, or other adverse consequences to our business.</w:t>
      </w:r>
    </w:p>
    <w:p>
      <w:pPr>
        <w:spacing w:after="0" w:line="134" w:lineRule="exact"/>
        <w:rPr>
          <w:rFonts w:ascii="Times New Roman" w:cs="Times New Roman" w:eastAsia="Times New Roman" w:hAnsi="Times New Roman"/>
          <w:sz w:val="18"/>
          <w:szCs w:val="18"/>
          <w:color w:val="auto"/>
        </w:rPr>
      </w:pPr>
    </w:p>
    <w:p>
      <w:pPr>
        <w:jc w:val="both"/>
        <w:ind w:left="507" w:hanging="507"/>
        <w:spacing w:after="0" w:line="266"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5" w:lineRule="exact"/>
        <w:rPr>
          <w:rFonts w:ascii="Times New Roman" w:cs="Times New Roman" w:eastAsia="Times New Roman" w:hAnsi="Times New Roman"/>
          <w:sz w:val="18"/>
          <w:szCs w:val="18"/>
          <w:color w:val="auto"/>
        </w:rPr>
      </w:pPr>
    </w:p>
    <w:p>
      <w:pPr>
        <w:jc w:val="both"/>
        <w:ind w:left="507" w:right="120" w:hanging="507"/>
        <w:spacing w:after="0" w:line="266"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35" w:lineRule="exact"/>
        <w:rPr>
          <w:rFonts w:ascii="Times New Roman" w:cs="Times New Roman" w:eastAsia="Times New Roman" w:hAnsi="Times New Roman"/>
          <w:sz w:val="18"/>
          <w:szCs w:val="18"/>
          <w:color w:val="auto"/>
        </w:rPr>
      </w:pPr>
    </w:p>
    <w:p>
      <w:pPr>
        <w:ind w:left="507" w:right="180" w:hanging="507"/>
        <w:spacing w:after="0" w:line="266"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remain uncertain.</w:t>
      </w:r>
    </w:p>
    <w:p>
      <w:pPr>
        <w:spacing w:after="0" w:line="184" w:lineRule="exact"/>
        <w:rPr>
          <w:rFonts w:ascii="Times New Roman" w:cs="Times New Roman" w:eastAsia="Times New Roman" w:hAnsi="Times New Roman"/>
          <w:sz w:val="18"/>
          <w:szCs w:val="18"/>
          <w:color w:val="auto"/>
        </w:rPr>
      </w:pPr>
    </w:p>
    <w:p>
      <w:pPr>
        <w:ind w:left="507"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strategic alliances and joint ventures to grow our business. If we are unable to develop and maintain these strategic alliances and joint ventures, our growth may be adversely affected.</w:t>
      </w:r>
    </w:p>
    <w:p>
      <w:pPr>
        <w:spacing w:after="0" w:line="121" w:lineRule="exact"/>
        <w:rPr>
          <w:rFonts w:ascii="Times New Roman" w:cs="Times New Roman" w:eastAsia="Times New Roman" w:hAnsi="Times New Roman"/>
          <w:sz w:val="18"/>
          <w:szCs w:val="18"/>
          <w:color w:val="auto"/>
        </w:rPr>
      </w:pPr>
    </w:p>
    <w:p>
      <w:pPr>
        <w:ind w:left="507" w:right="600"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any future acquisitions, we will be subject to the risks inherent in identifying, acquiring, and operating a newly acquired business.</w:t>
      </w:r>
    </w:p>
    <w:p>
      <w:pPr>
        <w:spacing w:after="0" w:line="134" w:lineRule="exact"/>
        <w:rPr>
          <w:rFonts w:ascii="Times New Roman" w:cs="Times New Roman" w:eastAsia="Times New Roman" w:hAnsi="Times New Roman"/>
          <w:sz w:val="18"/>
          <w:szCs w:val="18"/>
          <w:color w:val="auto"/>
        </w:rPr>
      </w:pPr>
    </w:p>
    <w:p>
      <w:pPr>
        <w:ind w:left="507" w:right="140"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key customers may be materially diminished or terminated, which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the services of key personnel, it could adversely affect our business.</w:t>
      </w:r>
    </w:p>
    <w:p>
      <w:pPr>
        <w:spacing w:after="0" w:line="184" w:lineRule="exact"/>
        <w:rPr>
          <w:rFonts w:ascii="Times New Roman" w:cs="Times New Roman" w:eastAsia="Times New Roman" w:hAnsi="Times New Roman"/>
          <w:sz w:val="18"/>
          <w:szCs w:val="18"/>
          <w:color w:val="auto"/>
        </w:rPr>
      </w:pPr>
    </w:p>
    <w:p>
      <w:pPr>
        <w:ind w:left="507" w:right="760"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access to data sources which could prevent us from providing our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adequately protect our intellectual property in order to prevent loss of valuable proprietary information.</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both start-up and established companies that may have significant advantages over us and our products.</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further consolidation in our end-customer markets, which may adversely affect our revenue.</w:t>
      </w:r>
    </w:p>
    <w:p>
      <w:pPr>
        <w:spacing w:after="0" w:line="184" w:lineRule="exact"/>
        <w:rPr>
          <w:rFonts w:ascii="Times New Roman" w:cs="Times New Roman" w:eastAsia="Times New Roman" w:hAnsi="Times New Roman"/>
          <w:sz w:val="18"/>
          <w:szCs w:val="18"/>
          <w:color w:val="auto"/>
        </w:rPr>
      </w:pPr>
    </w:p>
    <w:p>
      <w:pPr>
        <w:ind w:left="507" w:hanging="507"/>
        <w:spacing w:after="0" w:line="282" w:lineRule="auto"/>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availability of free or relatively inexpensive consumer and/or business information increases, the demand for some of our services may decrease.</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newer products do not achieve market acceptance, revenue growth may suffer.</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621665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373" w:top="1377" w:right="399" w:bottom="1440" w:gutter="0" w:footer="0" w:header="0"/>
        </w:sectPr>
      </w:pPr>
    </w:p>
    <w:bookmarkStart w:id="41" w:name="page42"/>
    <w:bookmarkEnd w:id="41"/>
    <w:p>
      <w:pPr>
        <w:ind w:left="560" w:right="60" w:hanging="507"/>
        <w:spacing w:after="0" w:line="282"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can have long sales and implementation cycles, which may result in substantial expenses before realizing any associated revenue.</w:t>
      </w:r>
    </w:p>
    <w:p>
      <w:pPr>
        <w:spacing w:after="0" w:line="134" w:lineRule="exact"/>
        <w:rPr>
          <w:rFonts w:ascii="Times New Roman" w:cs="Times New Roman" w:eastAsia="Times New Roman" w:hAnsi="Times New Roman"/>
          <w:sz w:val="18"/>
          <w:szCs w:val="18"/>
          <w:color w:val="auto"/>
        </w:rPr>
      </w:pPr>
    </w:p>
    <w:p>
      <w:pPr>
        <w:ind w:left="560" w:right="80" w:hanging="507"/>
        <w:spacing w:after="0" w:line="282"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outside service providers and key vendors are not able to or do not fulfill their service obligations, our operations could be disrupted and our operating results could be harmed.</w:t>
      </w:r>
    </w:p>
    <w:p>
      <w:pPr>
        <w:spacing w:after="0" w:line="121"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data and analytics sector may limit market acceptance of our products and services.</w:t>
      </w:r>
    </w:p>
    <w:p>
      <w:pPr>
        <w:spacing w:after="0" w:line="184"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defending against claims of infringement.</w:t>
      </w:r>
    </w:p>
    <w:p>
      <w:pPr>
        <w:spacing w:after="0" w:line="198" w:lineRule="exact"/>
        <w:rPr>
          <w:rFonts w:ascii="Times New Roman" w:cs="Times New Roman" w:eastAsia="Times New Roman" w:hAnsi="Times New Roman"/>
          <w:sz w:val="18"/>
          <w:szCs w:val="18"/>
          <w:color w:val="auto"/>
        </w:rPr>
      </w:pPr>
    </w:p>
    <w:p>
      <w:pPr>
        <w:ind w:left="560" w:right="140" w:hanging="507"/>
        <w:spacing w:after="0" w:line="282"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any future reporting obligations in connection with environmental issues, may adversely impact our business and operations.</w:t>
      </w:r>
    </w:p>
    <w:p>
      <w:pPr>
        <w:spacing w:after="0" w:line="121"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and the value of an investment in our common stock may decline.</w:t>
      </w:r>
    </w:p>
    <w:p>
      <w:pPr>
        <w:spacing w:after="0" w:line="184" w:lineRule="exact"/>
        <w:rPr>
          <w:rFonts w:ascii="Times New Roman" w:cs="Times New Roman" w:eastAsia="Times New Roman" w:hAnsi="Times New Roman"/>
          <w:sz w:val="18"/>
          <w:szCs w:val="18"/>
          <w:color w:val="auto"/>
        </w:rPr>
      </w:pPr>
    </w:p>
    <w:p>
      <w:pPr>
        <w:ind w:left="560" w:right="60" w:hanging="507"/>
        <w:spacing w:after="0" w:line="282"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in connection with acquisitions or pursuant to our stock incentive plan could have a dilutive effect on your investment.</w:t>
      </w:r>
    </w:p>
    <w:p>
      <w:pPr>
        <w:spacing w:after="0" w:line="134"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stock ownership may limit individual stockholder ability to influence corporate matters.</w:t>
      </w:r>
    </w:p>
    <w:p>
      <w:pPr>
        <w:spacing w:after="0" w:line="184" w:lineRule="exact"/>
        <w:rPr>
          <w:rFonts w:ascii="Times New Roman" w:cs="Times New Roman" w:eastAsia="Times New Roman" w:hAnsi="Times New Roman"/>
          <w:sz w:val="18"/>
          <w:szCs w:val="18"/>
          <w:color w:val="auto"/>
        </w:rPr>
      </w:pPr>
    </w:p>
    <w:p>
      <w:pPr>
        <w:ind w:left="560" w:right="60" w:hanging="507"/>
        <w:spacing w:after="0" w:line="282"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the reduced disclosure requirements applicable to smaller reporting companies may make our common stock less attractive to investors.</w:t>
      </w:r>
    </w:p>
    <w:p>
      <w:pPr>
        <w:spacing w:after="0" w:line="121" w:lineRule="exact"/>
        <w:rPr>
          <w:rFonts w:ascii="Times New Roman" w:cs="Times New Roman" w:eastAsia="Times New Roman" w:hAnsi="Times New Roman"/>
          <w:sz w:val="18"/>
          <w:szCs w:val="18"/>
          <w:color w:val="auto"/>
        </w:rPr>
      </w:pPr>
    </w:p>
    <w:p>
      <w:pPr>
        <w:ind w:left="560" w:hanging="507"/>
        <w:spacing w:after="0" w:line="266" w:lineRule="auto"/>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48"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continue to declare or pay dividends on our common stock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otherwise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2025.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7" w:right="379" w:bottom="1440" w:gutter="0" w:footer="0" w:header="0"/>
        </w:sectPr>
      </w:pPr>
    </w:p>
    <w:bookmarkStart w:id="42" w:name="page43"/>
    <w:bookmarkEnd w:id="42"/>
    <w:p>
      <w:pPr>
        <w:ind w:right="180"/>
        <w:spacing w:after="0" w:line="282" w:lineRule="auto"/>
        <w:rPr>
          <w:sz w:val="20"/>
          <w:szCs w:val="20"/>
          <w:color w:val="auto"/>
        </w:rPr>
      </w:pPr>
      <w:r>
        <w:rPr>
          <w:rFonts w:ascii="Times New Roman" w:cs="Times New Roman" w:eastAsia="Times New Roman" w:hAnsi="Times New Roman"/>
          <w:sz w:val="18"/>
          <w:szCs w:val="18"/>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(the "COSO") of the Treadway Commission in Internal Control-Integrated Framework (2013).</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Management concluded that the Company’s internal control over financial reporting (as defined in Rules 13a-15(f) and 15d-15(f) of the Exchange Act) was effective as of December 31, 2025, based on criteria in Internal Control-Integrated Framework (2013) issued by the COSO.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last fiscal quarter of 2025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or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3" w:name="page44"/>
    <w:bookmarkEnd w:id="43"/>
    <w:p>
      <w:pPr>
        <w:spacing w:after="0" w:line="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certain information required by Item 401 of Regulation S-K with respect to our executive officers, which is provided under Item 1, “Business” of Part I of this 2025 Form 10-K) is incorporated by reference to the definitive proxy statement for our 2026 Annual Meeting of Stockholders to be filed with the SEC within 120 days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to be filed with the SEC within 120 days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to be filed with the SEC within 120 days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to be filed with the SEC within 120 days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to be filed with the SEC within 120 days of December 31, 2025.</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198"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in Item 8 of this 2025 Form 10-K.</w:t>
      </w:r>
    </w:p>
    <w:p>
      <w:pPr>
        <w:spacing w:after="0" w:line="184"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information required by this item is included in the consolidated financial statements contained in Item 8 of this 2025 Form 10-K.</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2025 Form 10-K.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11"/>
                <w:szCs w:val="11"/>
                <w:color w:val="auto"/>
              </w:rPr>
            </w:pPr>
          </w:p>
        </w:tc>
        <w:tc>
          <w:tcPr>
            <w:tcW w:w="4720" w:type="dxa"/>
            <w:vAlign w:val="bottom"/>
            <w:gridSpan w:val="34"/>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20" w:type="dxa"/>
            <w:vAlign w:val="bottom"/>
          </w:tcPr>
          <w:p>
            <w:pPr>
              <w:spacing w:after="0"/>
              <w:rPr>
                <w:sz w:val="11"/>
                <w:szCs w:val="11"/>
                <w:color w:val="auto"/>
              </w:rPr>
            </w:pPr>
          </w:p>
        </w:tc>
        <w:tc>
          <w:tcPr>
            <w:tcW w:w="100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1"/>
                <w:szCs w:val="11"/>
                <w:color w:val="auto"/>
              </w:rPr>
            </w:pPr>
          </w:p>
        </w:tc>
        <w:tc>
          <w:tcPr>
            <w:tcW w:w="100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1"/>
                <w:szCs w:val="11"/>
                <w:color w:val="auto"/>
              </w:rPr>
            </w:pPr>
          </w:p>
        </w:tc>
        <w:tc>
          <w:tcPr>
            <w:tcW w:w="102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1"/>
                <w:szCs w:val="11"/>
                <w:color w:val="auto"/>
              </w:rPr>
            </w:pPr>
          </w:p>
        </w:tc>
        <w:tc>
          <w:tcPr>
            <w:tcW w:w="12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28"/>
        </w:trPr>
        <w:tc>
          <w:tcPr>
            <w:tcW w:w="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1"/>
                <w:szCs w:val="11"/>
                <w:color w:val="auto"/>
              </w:rPr>
            </w:pPr>
          </w:p>
        </w:tc>
        <w:tc>
          <w:tcPr>
            <w:tcW w:w="4720" w:type="dxa"/>
            <w:vAlign w:val="bottom"/>
            <w:tcBorders>
              <w:top w:val="single" w:sz="8" w:color="auto"/>
            </w:tcBorders>
            <w:gridSpan w:val="34"/>
          </w:tcPr>
          <w:p>
            <w:pPr>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Separation and Distribution Agreement by and between Cogint, Inc. and Red</w:t>
              </w:r>
            </w:hyperlink>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Form 10</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2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February 28, 2018</w:t>
            </w: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w w:val="99"/>
              </w:rPr>
            </w:pPr>
            <w:hyperlink r:id="rId317">
              <w:r>
                <w:rPr>
                  <w:rFonts w:ascii="Times New Roman" w:cs="Times New Roman" w:eastAsia="Times New Roman" w:hAnsi="Times New Roman"/>
                  <w:sz w:val="14"/>
                  <w:szCs w:val="14"/>
                  <w:color w:val="0000FF"/>
                  <w:w w:val="99"/>
                </w:rPr>
                <w:t>Violet, Inc., dated February 27, 2018.</w:t>
              </w:r>
            </w:hyperlink>
          </w:p>
        </w:tc>
        <w:tc>
          <w:tcPr>
            <w:tcW w:w="2300" w:type="dxa"/>
            <w:vAlign w:val="bottom"/>
            <w:tcBorders>
              <w:top w:val="single" w:sz="8" w:color="0000FF"/>
            </w:tcBorders>
            <w:gridSpan w:val="2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1"/>
                <w:szCs w:val="11"/>
                <w:color w:val="auto"/>
              </w:rPr>
            </w:pPr>
          </w:p>
        </w:tc>
        <w:tc>
          <w:tcPr>
            <w:tcW w:w="2140" w:type="dxa"/>
            <w:vAlign w:val="bottom"/>
            <w:gridSpan w:val="9"/>
          </w:tcPr>
          <w:p>
            <w:pPr>
              <w:spacing w:after="0" w:line="12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Amended and Restated Certificate of</w:t>
              </w:r>
            </w:hyperlink>
          </w:p>
        </w:tc>
        <w:tc>
          <w:tcPr>
            <w:tcW w:w="2580" w:type="dxa"/>
            <w:vAlign w:val="bottom"/>
            <w:gridSpan w:val="25"/>
          </w:tcPr>
          <w:p>
            <w:pPr>
              <w:spacing w:after="0" w:line="12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Incorporation of Red Violet, Inc.</w:t>
              </w:r>
            </w:hyperlink>
          </w:p>
        </w:tc>
        <w:tc>
          <w:tcPr>
            <w:tcW w:w="11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3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40" w:type="dxa"/>
            <w:vAlign w:val="bottom"/>
            <w:gridSpan w:val="23"/>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Amended and Restated Bylaws of Red Violet, Inc.</w:t>
              </w:r>
            </w:hyperlink>
          </w:p>
        </w:tc>
        <w:tc>
          <w:tcPr>
            <w:tcW w:w="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12, 2020</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19"/>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Description of Registrant's Securities.</w:t>
              </w:r>
            </w:hyperlink>
          </w:p>
        </w:tc>
        <w:tc>
          <w:tcPr>
            <w:tcW w:w="5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S-3</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333-291649</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November 19, 2025</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10"/>
          </w:tcPr>
          <w:p>
            <w:pPr>
              <w:spacing w:after="0" w:line="12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Specimen Common Stock Certificate</w:t>
              </w:r>
            </w:hyperlink>
            <w:r>
              <w:rPr>
                <w:rFonts w:ascii="Times New Roman" w:cs="Times New Roman" w:eastAsia="Times New Roman" w:hAnsi="Times New Roman"/>
                <w:sz w:val="14"/>
                <w:szCs w:val="14"/>
                <w:color w:val="000000"/>
              </w:rPr>
              <w:t>.</w:t>
            </w:r>
          </w:p>
        </w:tc>
        <w:tc>
          <w:tcPr>
            <w:tcW w:w="2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S-3</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333-291649</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November 19, 2025</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gridSpan w:val="9"/>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Form of Indenture (Senior)</w:t>
              </w:r>
            </w:hyperlink>
            <w:r>
              <w:rPr>
                <w:rFonts w:ascii="Times New Roman" w:cs="Times New Roman" w:eastAsia="Times New Roman" w:hAnsi="Times New Roman"/>
                <w:sz w:val="14"/>
                <w:szCs w:val="14"/>
                <w:color w:val="000000"/>
              </w:rPr>
              <w:t>.</w:t>
            </w:r>
          </w:p>
        </w:tc>
        <w:tc>
          <w:tcPr>
            <w:tcW w:w="2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S-3</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333-291649</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November 19, 2025</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Form of Indenture (Subordinated)</w:t>
              </w:r>
            </w:hyperlink>
            <w:r>
              <w:rPr>
                <w:rFonts w:ascii="Times New Roman" w:cs="Times New Roman" w:eastAsia="Times New Roman" w:hAnsi="Times New Roman"/>
                <w:sz w:val="14"/>
                <w:szCs w:val="14"/>
                <w:color w:val="000000"/>
              </w:rPr>
              <w:t>.</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10</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February 28, 2018</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Form of Restricted Stock Unit Agreement Pursuant to the Red Violet, Inc. 2018</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8"/>
              </w:rPr>
            </w:pPr>
            <w:hyperlink r:id="rId324">
              <w:r>
                <w:rPr>
                  <w:rFonts w:ascii="Times New Roman" w:cs="Times New Roman" w:eastAsia="Times New Roman" w:hAnsi="Times New Roman"/>
                  <w:sz w:val="14"/>
                  <w:szCs w:val="14"/>
                  <w:color w:val="0000FF"/>
                  <w:w w:val="98"/>
                </w:rPr>
                <w:t>Stock Incentive Plan.</w:t>
              </w:r>
            </w:hyperlink>
          </w:p>
        </w:tc>
        <w:tc>
          <w:tcPr>
            <w:tcW w:w="20" w:type="dxa"/>
            <w:vAlign w:val="bottom"/>
            <w:tcBorders>
              <w:top w:val="single" w:sz="8" w:color="0000FF"/>
              <w:bottom w:val="single" w:sz="8" w:color="0000EE"/>
            </w:tcBorders>
          </w:tcPr>
          <w:p>
            <w:pPr>
              <w:spacing w:after="0"/>
              <w:rPr>
                <w:sz w:val="11"/>
                <w:szCs w:val="11"/>
                <w:color w:val="auto"/>
              </w:rPr>
            </w:pPr>
          </w:p>
        </w:tc>
        <w:tc>
          <w:tcPr>
            <w:tcW w:w="3380" w:type="dxa"/>
            <w:vAlign w:val="bottom"/>
            <w:tcBorders>
              <w:top w:val="single" w:sz="8" w:color="0000FF"/>
            </w:tcBorders>
            <w:gridSpan w:val="27"/>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Employment Agreement, dated March 26, 2018, by and between Red Violet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4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Derek Dubner.</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80" w:type="dxa"/>
            <w:vAlign w:val="bottom"/>
            <w:gridSpan w:val="32"/>
            <w:vMerge w:val="restart"/>
          </w:tcPr>
          <w:p>
            <w:pPr>
              <w:jc w:val="right"/>
              <w:ind w:right="120"/>
              <w:spacing w:after="0" w:line="149" w:lineRule="exact"/>
              <w:rPr>
                <w:rFonts w:ascii="Times New Roman" w:cs="Times New Roman" w:eastAsia="Times New Roman" w:hAnsi="Times New Roman"/>
                <w:sz w:val="14"/>
                <w:szCs w:val="14"/>
                <w:color w:val="0000FF"/>
                <w:w w:val="99"/>
              </w:rPr>
            </w:pPr>
            <w:hyperlink r:id="rId326">
              <w:r>
                <w:rPr>
                  <w:rFonts w:ascii="Times New Roman" w:cs="Times New Roman" w:eastAsia="Times New Roman" w:hAnsi="Times New Roman"/>
                  <w:sz w:val="14"/>
                  <w:szCs w:val="14"/>
                  <w:color w:val="0000FF"/>
                  <w:w w:val="99"/>
                </w:rPr>
                <w:t>Agreement, dated March 26, 2018, by and between Red Violet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Employment</w:t>
              </w:r>
            </w:hyperlink>
          </w:p>
        </w:tc>
        <w:tc>
          <w:tcPr>
            <w:tcW w:w="3880" w:type="dxa"/>
            <w:vAlign w:val="bottom"/>
            <w:gridSpan w:val="3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0000FF"/>
              <w:bottom w:val="single" w:sz="8" w:color="0000EE"/>
            </w:tcBorders>
            <w:gridSpan w:val="2"/>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James Reilly.</w:t>
              </w:r>
            </w:hyperlink>
          </w:p>
        </w:tc>
        <w:tc>
          <w:tcPr>
            <w:tcW w:w="3800" w:type="dxa"/>
            <w:vAlign w:val="bottom"/>
            <w:tcBorders>
              <w:top w:val="single" w:sz="8" w:color="0000FF"/>
            </w:tcBorders>
            <w:gridSpan w:val="31"/>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1"/>
                <w:szCs w:val="11"/>
                <w:color w:val="auto"/>
              </w:rPr>
            </w:pPr>
          </w:p>
        </w:tc>
        <w:tc>
          <w:tcPr>
            <w:tcW w:w="840" w:type="dxa"/>
            <w:vAlign w:val="bottom"/>
            <w:gridSpan w:val="2"/>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Employment</w:t>
              </w:r>
            </w:hyperlink>
          </w:p>
        </w:tc>
        <w:tc>
          <w:tcPr>
            <w:tcW w:w="3880" w:type="dxa"/>
            <w:vAlign w:val="bottom"/>
            <w:gridSpan w:val="32"/>
          </w:tcPr>
          <w:p>
            <w:pPr>
              <w:jc w:val="right"/>
              <w:ind w:right="120"/>
              <w:spacing w:after="0" w:line="129" w:lineRule="exact"/>
              <w:rPr>
                <w:rFonts w:ascii="Times New Roman" w:cs="Times New Roman" w:eastAsia="Times New Roman" w:hAnsi="Times New Roman"/>
                <w:sz w:val="14"/>
                <w:szCs w:val="14"/>
                <w:color w:val="0000FF"/>
                <w:w w:val="99"/>
              </w:rPr>
            </w:pPr>
            <w:hyperlink r:id="rId327">
              <w:r>
                <w:rPr>
                  <w:rFonts w:ascii="Times New Roman" w:cs="Times New Roman" w:eastAsia="Times New Roman" w:hAnsi="Times New Roman"/>
                  <w:sz w:val="14"/>
                  <w:szCs w:val="14"/>
                  <w:color w:val="0000FF"/>
                  <w:w w:val="99"/>
                </w:rPr>
                <w:t>Agreement, dated March 26, 2018, by and between Red Violet and</w:t>
              </w:r>
            </w:hyperlink>
          </w:p>
        </w:tc>
        <w:tc>
          <w:tcPr>
            <w:tcW w:w="11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3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1"/>
                <w:szCs w:val="11"/>
                <w:color w:val="auto"/>
              </w:rPr>
            </w:pPr>
          </w:p>
        </w:tc>
        <w:tc>
          <w:tcPr>
            <w:tcW w:w="464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Dan MacLachlan.</w:t>
              </w:r>
            </w:hyperlink>
          </w:p>
        </w:tc>
        <w:tc>
          <w:tcPr>
            <w:tcW w:w="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10.5</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EE"/>
            </w:tcBorders>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Red Violet, Inc. 2018 Stock Incentive Plan.</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4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27, 2018</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13"/>
          </w:tcPr>
          <w:p>
            <w:pPr>
              <w:spacing w:after="0" w:line="129"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Form of Indemnification 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2600" w:type="dxa"/>
            <w:vAlign w:val="bottom"/>
            <w:gridSpan w:val="26"/>
            <w:vMerge w:val="restart"/>
          </w:tcPr>
          <w:p>
            <w:pPr>
              <w:ind w:left="40"/>
              <w:spacing w:after="0" w:line="14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-Based Restricted Stock Unit Award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November 7, 2018</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8"/>
          </w:tcPr>
          <w:p>
            <w:pPr>
              <w:spacing w:after="0" w:line="129" w:lineRule="exact"/>
              <w:rPr>
                <w:rFonts w:ascii="Times New Roman" w:cs="Times New Roman" w:eastAsia="Times New Roman" w:hAnsi="Times New Roman"/>
                <w:sz w:val="14"/>
                <w:szCs w:val="14"/>
                <w:color w:val="0000FF"/>
                <w:w w:val="97"/>
              </w:rPr>
            </w:pPr>
            <w:hyperlink r:id="rId330">
              <w:r>
                <w:rPr>
                  <w:rFonts w:ascii="Times New Roman" w:cs="Times New Roman" w:eastAsia="Times New Roman" w:hAnsi="Times New Roman"/>
                  <w:sz w:val="14"/>
                  <w:szCs w:val="14"/>
                  <w:color w:val="0000FF"/>
                  <w:w w:val="97"/>
                </w:rPr>
                <w:t>Form of 2018 Time- and Performance</w:t>
              </w:r>
            </w:hyperlink>
          </w:p>
        </w:tc>
        <w:tc>
          <w:tcPr>
            <w:tcW w:w="2600" w:type="dxa"/>
            <w:vAlign w:val="bottom"/>
            <w:gridSpan w:val="26"/>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00" w:type="dxa"/>
            <w:vAlign w:val="bottom"/>
            <w:gridSpan w:val="25"/>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Agreement.</w:t>
              </w:r>
            </w:hyperlink>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33"/>
            <w:vMerge w:val="restart"/>
          </w:tcPr>
          <w:p>
            <w:pPr>
              <w:ind w:left="100"/>
              <w:spacing w:after="0" w:line="14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Agreement between Red Violet, Inc. and Jeffrey Dell entered into</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August 5, 2019</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line="129" w:lineRule="exact"/>
              <w:rPr>
                <w:rFonts w:ascii="Times New Roman" w:cs="Times New Roman" w:eastAsia="Times New Roman" w:hAnsi="Times New Roman"/>
                <w:sz w:val="14"/>
                <w:szCs w:val="14"/>
                <w:color w:val="0000FF"/>
                <w:w w:val="85"/>
              </w:rPr>
            </w:pPr>
            <w:hyperlink r:id="rId331">
              <w:r>
                <w:rPr>
                  <w:rFonts w:ascii="Times New Roman" w:cs="Times New Roman" w:eastAsia="Times New Roman" w:hAnsi="Times New Roman"/>
                  <w:sz w:val="14"/>
                  <w:szCs w:val="14"/>
                  <w:color w:val="0000FF"/>
                  <w:w w:val="85"/>
                </w:rPr>
                <w:t>Employment</w:t>
              </w:r>
            </w:hyperlink>
          </w:p>
        </w:tc>
        <w:tc>
          <w:tcPr>
            <w:tcW w:w="4060" w:type="dxa"/>
            <w:vAlign w:val="bottom"/>
            <w:gridSpan w:val="3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1"/>
                <w:szCs w:val="11"/>
                <w:color w:val="auto"/>
              </w:rPr>
            </w:pPr>
          </w:p>
        </w:tc>
        <w:tc>
          <w:tcPr>
            <w:tcW w:w="458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on April 9, 2019.</w:t>
              </w:r>
            </w:hyperlink>
          </w:p>
        </w:tc>
        <w:tc>
          <w:tcPr>
            <w:tcW w:w="140" w:type="dxa"/>
            <w:vAlign w:val="bottom"/>
            <w:gridSpan w:val="3"/>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10.13</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12, 2020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Form of 2019 Time- and Performance-Based Restricted Stock Unit Award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00" w:type="dxa"/>
            <w:vAlign w:val="bottom"/>
            <w:gridSpan w:val="25"/>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Agreement.</w:t>
              </w:r>
            </w:hyperlink>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33"/>
            <w:vMerge w:val="restart"/>
          </w:tcPr>
          <w:p>
            <w:pPr>
              <w:ind w:left="60"/>
              <w:spacing w:after="0" w:line="149" w:lineRule="exact"/>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to Red Violet, Inc. 2018 Stock Incentive Plan.</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June 4, 2020</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line="129" w:lineRule="exact"/>
              <w:rPr>
                <w:rFonts w:ascii="Times New Roman" w:cs="Times New Roman" w:eastAsia="Times New Roman" w:hAnsi="Times New Roman"/>
                <w:sz w:val="14"/>
                <w:szCs w:val="14"/>
                <w:color w:val="0000FF"/>
                <w:w w:val="89"/>
              </w:rPr>
            </w:pPr>
            <w:hyperlink r:id="rId333">
              <w:r>
                <w:rPr>
                  <w:rFonts w:ascii="Times New Roman" w:cs="Times New Roman" w:eastAsia="Times New Roman" w:hAnsi="Times New Roman"/>
                  <w:sz w:val="14"/>
                  <w:szCs w:val="14"/>
                  <w:color w:val="0000FF"/>
                  <w:w w:val="89"/>
                </w:rPr>
                <w:t>Amendment</w:t>
              </w:r>
            </w:hyperlink>
          </w:p>
        </w:tc>
        <w:tc>
          <w:tcPr>
            <w:tcW w:w="4060" w:type="dxa"/>
            <w:vAlign w:val="bottom"/>
            <w:gridSpan w:val="3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10, 2021</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First Amendment to Employment Agreement dated November 9, 2020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between Red Violet, Inc. and Derek Dubner.</w:t>
              </w:r>
            </w:hyperlink>
          </w:p>
        </w:tc>
        <w:tc>
          <w:tcPr>
            <w:tcW w:w="2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160" w:type="dxa"/>
            <w:vAlign w:val="bottom"/>
            <w:gridSpan w:val="18"/>
            <w:vMerge w:val="restart"/>
          </w:tcPr>
          <w:p>
            <w:pPr>
              <w:jc w:val="right"/>
              <w:ind w:right="260"/>
              <w:spacing w:after="0" w:line="149" w:lineRule="exact"/>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dated November 9, 2020 by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10, 2021</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gridSpan w:val="16"/>
          </w:tcPr>
          <w:p>
            <w:pPr>
              <w:spacing w:after="0" w:line="129" w:lineRule="exact"/>
              <w:rPr>
                <w:rFonts w:ascii="Times New Roman" w:cs="Times New Roman" w:eastAsia="Times New Roman" w:hAnsi="Times New Roman"/>
                <w:sz w:val="14"/>
                <w:szCs w:val="14"/>
                <w:color w:val="0000FF"/>
                <w:w w:val="99"/>
              </w:rPr>
            </w:pPr>
            <w:hyperlink r:id="rId335">
              <w:r>
                <w:rPr>
                  <w:rFonts w:ascii="Times New Roman" w:cs="Times New Roman" w:eastAsia="Times New Roman" w:hAnsi="Times New Roman"/>
                  <w:sz w:val="14"/>
                  <w:szCs w:val="14"/>
                  <w:color w:val="0000FF"/>
                  <w:w w:val="99"/>
                </w:rPr>
                <w:t>First Amendment to Employment Agreement</w:t>
              </w:r>
            </w:hyperlink>
          </w:p>
        </w:tc>
        <w:tc>
          <w:tcPr>
            <w:tcW w:w="2160" w:type="dxa"/>
            <w:vAlign w:val="bottom"/>
            <w:gridSpan w:val="18"/>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between Red Violet, Inc. and James Reilly.</w:t>
              </w:r>
            </w:hyperlink>
          </w:p>
        </w:tc>
        <w:tc>
          <w:tcPr>
            <w:tcW w:w="2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20"/>
            <w:vMerge w:val="restart"/>
          </w:tcPr>
          <w:p>
            <w:pPr>
              <w:jc w:val="right"/>
              <w:ind w:right="260"/>
              <w:spacing w:after="0" w:line="149" w:lineRule="exact"/>
              <w:rPr>
                <w:rFonts w:ascii="Times New Roman" w:cs="Times New Roman" w:eastAsia="Times New Roman" w:hAnsi="Times New Roman"/>
                <w:sz w:val="14"/>
                <w:szCs w:val="14"/>
                <w:color w:val="0000FF"/>
              </w:rPr>
            </w:pPr>
            <w:hyperlink r:id="rId336">
              <w:r>
                <w:rPr>
                  <w:rFonts w:ascii="Times New Roman" w:cs="Times New Roman" w:eastAsia="Times New Roman" w:hAnsi="Times New Roman"/>
                  <w:sz w:val="14"/>
                  <w:szCs w:val="14"/>
                  <w:color w:val="0000FF"/>
                </w:rPr>
                <w:t>dated November 9, 2020 by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10, 2021</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13"/>
          </w:tcPr>
          <w:p>
            <w:pPr>
              <w:spacing w:after="0" w:line="129" w:lineRule="exact"/>
              <w:rPr>
                <w:rFonts w:ascii="Times New Roman" w:cs="Times New Roman" w:eastAsia="Times New Roman" w:hAnsi="Times New Roman"/>
                <w:sz w:val="14"/>
                <w:szCs w:val="14"/>
                <w:color w:val="0000FF"/>
                <w:w w:val="96"/>
              </w:rPr>
            </w:pPr>
            <w:hyperlink r:id="rId336">
              <w:r>
                <w:rPr>
                  <w:rFonts w:ascii="Times New Roman" w:cs="Times New Roman" w:eastAsia="Times New Roman" w:hAnsi="Times New Roman"/>
                  <w:sz w:val="14"/>
                  <w:szCs w:val="14"/>
                  <w:color w:val="0000FF"/>
                  <w:w w:val="96"/>
                </w:rPr>
                <w:t>First Amendment to Employment Agreement</w:t>
              </w:r>
            </w:hyperlink>
          </w:p>
        </w:tc>
        <w:tc>
          <w:tcPr>
            <w:tcW w:w="20" w:type="dxa"/>
            <w:vAlign w:val="bottom"/>
            <w:vMerge w:val="continue"/>
          </w:tcPr>
          <w:p>
            <w:pPr>
              <w:spacing w:after="0"/>
              <w:rPr>
                <w:sz w:val="11"/>
                <w:szCs w:val="11"/>
                <w:color w:val="auto"/>
              </w:rPr>
            </w:pPr>
          </w:p>
        </w:tc>
        <w:tc>
          <w:tcPr>
            <w:tcW w:w="2220" w:type="dxa"/>
            <w:vAlign w:val="bottom"/>
            <w:gridSpan w:val="20"/>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336">
              <w:r>
                <w:rPr>
                  <w:rFonts w:ascii="Times New Roman" w:cs="Times New Roman" w:eastAsia="Times New Roman" w:hAnsi="Times New Roman"/>
                  <w:sz w:val="14"/>
                  <w:szCs w:val="14"/>
                  <w:color w:val="0000FF"/>
                </w:rPr>
                <w:t>between Red Violet, Inc. and Daniel MacLachlan.</w:t>
              </w:r>
            </w:hyperlink>
          </w:p>
        </w:tc>
        <w:tc>
          <w:tcPr>
            <w:tcW w:w="2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16"/>
            <w:vMerge w:val="restart"/>
          </w:tcPr>
          <w:p>
            <w:pPr>
              <w:jc w:val="right"/>
              <w:ind w:right="260"/>
              <w:spacing w:after="0" w:line="149" w:lineRule="exact"/>
              <w:rPr>
                <w:rFonts w:ascii="Times New Roman" w:cs="Times New Roman" w:eastAsia="Times New Roman" w:hAnsi="Times New Roman"/>
                <w:sz w:val="14"/>
                <w:szCs w:val="14"/>
                <w:color w:val="0000FF"/>
              </w:rPr>
            </w:pPr>
            <w:hyperlink r:id="rId337">
              <w:r>
                <w:rPr>
                  <w:rFonts w:ascii="Times New Roman" w:cs="Times New Roman" w:eastAsia="Times New Roman" w:hAnsi="Times New Roman"/>
                  <w:sz w:val="14"/>
                  <w:szCs w:val="14"/>
                  <w:color w:val="0000FF"/>
                </w:rPr>
                <w:t>November 9, 2020 by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March 10, 2021</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gridSpan w:val="18"/>
          </w:tcPr>
          <w:p>
            <w:pPr>
              <w:spacing w:after="0" w:line="129" w:lineRule="exact"/>
              <w:rPr>
                <w:rFonts w:ascii="Times New Roman" w:cs="Times New Roman" w:eastAsia="Times New Roman" w:hAnsi="Times New Roman"/>
                <w:sz w:val="14"/>
                <w:szCs w:val="14"/>
                <w:color w:val="0000FF"/>
                <w:w w:val="98"/>
              </w:rPr>
            </w:pPr>
            <w:hyperlink r:id="rId337">
              <w:r>
                <w:rPr>
                  <w:rFonts w:ascii="Times New Roman" w:cs="Times New Roman" w:eastAsia="Times New Roman" w:hAnsi="Times New Roman"/>
                  <w:sz w:val="14"/>
                  <w:szCs w:val="14"/>
                  <w:color w:val="0000FF"/>
                  <w:w w:val="98"/>
                </w:rPr>
                <w:t>First Amendment to Employment Agreement dated</w:t>
              </w:r>
            </w:hyperlink>
          </w:p>
        </w:tc>
        <w:tc>
          <w:tcPr>
            <w:tcW w:w="1860" w:type="dxa"/>
            <w:vAlign w:val="bottom"/>
            <w:gridSpan w:val="16"/>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337">
              <w:r>
                <w:rPr>
                  <w:rFonts w:ascii="Times New Roman" w:cs="Times New Roman" w:eastAsia="Times New Roman" w:hAnsi="Times New Roman"/>
                  <w:sz w:val="14"/>
                  <w:szCs w:val="14"/>
                  <w:color w:val="0000FF"/>
                </w:rPr>
                <w:t>between Red Violet, Inc. and Jeffrey Dell.</w:t>
              </w:r>
            </w:hyperlink>
          </w:p>
        </w:tc>
        <w:tc>
          <w:tcPr>
            <w:tcW w:w="2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gridSpan w:val="11"/>
            <w:shd w:val="clear" w:color="auto" w:fill="0000FF"/>
          </w:tcPr>
          <w:p>
            <w:pPr>
              <w:spacing w:after="0" w:line="20" w:lineRule="exact"/>
              <w:rPr>
                <w:sz w:val="1"/>
                <w:szCs w:val="1"/>
                <w:color w:val="auto"/>
              </w:rPr>
            </w:pPr>
          </w:p>
        </w:tc>
        <w:tc>
          <w:tcPr>
            <w:tcW w:w="2300" w:type="dxa"/>
            <w:vAlign w:val="bottom"/>
            <w:gridSpan w:val="23"/>
            <w:vMerge w:val="restart"/>
          </w:tcPr>
          <w:p>
            <w:pPr>
              <w:spacing w:after="0" w:line="149" w:lineRule="exact"/>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dated as of November 19, 2021.</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November 19, 2021</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11"/>
          </w:tcPr>
          <w:p>
            <w:pPr>
              <w:spacing w:after="0" w:line="129" w:lineRule="exact"/>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Form of Securities Purchase Agreement,</w:t>
              </w:r>
            </w:hyperlink>
          </w:p>
        </w:tc>
        <w:tc>
          <w:tcPr>
            <w:tcW w:w="2300" w:type="dxa"/>
            <w:vAlign w:val="bottom"/>
            <w:gridSpan w:val="2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6"/>
            <w:vMerge w:val="restart"/>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May 26, 2022</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180" w:type="dxa"/>
            <w:vAlign w:val="bottom"/>
            <w:gridSpan w:val="24"/>
          </w:tcPr>
          <w:p>
            <w:pPr>
              <w:spacing w:after="0" w:line="129" w:lineRule="exact"/>
              <w:rPr>
                <w:rFonts w:ascii="Times New Roman" w:cs="Times New Roman" w:eastAsia="Times New Roman" w:hAnsi="Times New Roman"/>
                <w:sz w:val="14"/>
                <w:szCs w:val="14"/>
                <w:color w:val="0000FF"/>
              </w:rPr>
            </w:pPr>
            <w:hyperlink r:id="rId339">
              <w:r>
                <w:rPr>
                  <w:rFonts w:ascii="Times New Roman" w:cs="Times New Roman" w:eastAsia="Times New Roman" w:hAnsi="Times New Roman"/>
                  <w:sz w:val="14"/>
                  <w:szCs w:val="14"/>
                  <w:color w:val="0000FF"/>
                </w:rPr>
                <w:t>Amendment to Red Violet, Inc. 2018 Stock Incentive Plan.</w:t>
              </w:r>
            </w:hyperlink>
          </w:p>
        </w:tc>
        <w:tc>
          <w:tcPr>
            <w:tcW w:w="1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320" w:type="dxa"/>
            <w:vAlign w:val="bottom"/>
            <w:gridSpan w:val="6"/>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13"/>
            <w:vMerge w:val="restart"/>
          </w:tcPr>
          <w:p>
            <w:pPr>
              <w:ind w:left="20"/>
              <w:spacing w:after="0" w:line="149" w:lineRule="exact"/>
              <w:rPr>
                <w:rFonts w:ascii="Times New Roman" w:cs="Times New Roman" w:eastAsia="Times New Roman" w:hAnsi="Times New Roman"/>
                <w:sz w:val="14"/>
                <w:szCs w:val="14"/>
                <w:color w:val="0000FF"/>
              </w:rPr>
            </w:pPr>
            <w:hyperlink r:id="rId340">
              <w:r>
                <w:rPr>
                  <w:rFonts w:ascii="Times New Roman" w:cs="Times New Roman" w:eastAsia="Times New Roman" w:hAnsi="Times New Roman"/>
                  <w:sz w:val="14"/>
                  <w:szCs w:val="14"/>
                  <w:color w:val="0000FF"/>
                </w:rPr>
                <w:t>8, 2023 by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August 7, 2023</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gridSpan w:val="21"/>
          </w:tcPr>
          <w:p>
            <w:pPr>
              <w:spacing w:after="0" w:line="129" w:lineRule="exact"/>
              <w:rPr>
                <w:rFonts w:ascii="Times New Roman" w:cs="Times New Roman" w:eastAsia="Times New Roman" w:hAnsi="Times New Roman"/>
                <w:sz w:val="14"/>
                <w:szCs w:val="14"/>
                <w:color w:val="0000FF"/>
              </w:rPr>
            </w:pPr>
            <w:hyperlink r:id="rId340">
              <w:r>
                <w:rPr>
                  <w:rFonts w:ascii="Times New Roman" w:cs="Times New Roman" w:eastAsia="Times New Roman" w:hAnsi="Times New Roman"/>
                  <w:sz w:val="14"/>
                  <w:szCs w:val="14"/>
                  <w:color w:val="0000FF"/>
                </w:rPr>
                <w:t>Second Amendment to Employment Agreement dated May</w:t>
              </w:r>
            </w:hyperlink>
          </w:p>
        </w:tc>
        <w:tc>
          <w:tcPr>
            <w:tcW w:w="1320" w:type="dxa"/>
            <w:vAlign w:val="bottom"/>
            <w:gridSpan w:val="1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1"/>
                <w:szCs w:val="11"/>
                <w:color w:val="auto"/>
              </w:rPr>
            </w:pPr>
          </w:p>
        </w:tc>
        <w:tc>
          <w:tcPr>
            <w:tcW w:w="43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40">
              <w:r>
                <w:rPr>
                  <w:rFonts w:ascii="Times New Roman" w:cs="Times New Roman" w:eastAsia="Times New Roman" w:hAnsi="Times New Roman"/>
                  <w:sz w:val="14"/>
                  <w:szCs w:val="14"/>
                  <w:color w:val="0000FF"/>
                </w:rPr>
                <w:t>between Red Violet, Inc. and Derek Dubner.</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August 7, 2023</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1">
              <w:r>
                <w:rPr>
                  <w:rFonts w:ascii="Times New Roman" w:cs="Times New Roman" w:eastAsia="Times New Roman" w:hAnsi="Times New Roman"/>
                  <w:sz w:val="14"/>
                  <w:szCs w:val="14"/>
                  <w:color w:val="0000FF"/>
                </w:rPr>
                <w:t>Second Amendment to Employment Agreement dated May 8, 2023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1"/>
                <w:szCs w:val="11"/>
                <w:color w:val="auto"/>
              </w:rPr>
            </w:pPr>
          </w:p>
        </w:tc>
        <w:tc>
          <w:tcPr>
            <w:tcW w:w="43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41">
              <w:r>
                <w:rPr>
                  <w:rFonts w:ascii="Times New Roman" w:cs="Times New Roman" w:eastAsia="Times New Roman" w:hAnsi="Times New Roman"/>
                  <w:sz w:val="14"/>
                  <w:szCs w:val="14"/>
                  <w:color w:val="0000FF"/>
                </w:rPr>
                <w:t>between Red Violet, Inc. and James Reilly.</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10.3</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August 7, 2023</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2">
              <w:r>
                <w:rPr>
                  <w:rFonts w:ascii="Times New Roman" w:cs="Times New Roman" w:eastAsia="Times New Roman" w:hAnsi="Times New Roman"/>
                  <w:sz w:val="14"/>
                  <w:szCs w:val="14"/>
                  <w:color w:val="0000FF"/>
                </w:rPr>
                <w:t>Second Amendment to Employment Agreement dated May 8, 2023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1"/>
                <w:szCs w:val="11"/>
                <w:color w:val="auto"/>
              </w:rPr>
            </w:pPr>
          </w:p>
        </w:tc>
        <w:tc>
          <w:tcPr>
            <w:tcW w:w="43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42">
              <w:r>
                <w:rPr>
                  <w:rFonts w:ascii="Times New Roman" w:cs="Times New Roman" w:eastAsia="Times New Roman" w:hAnsi="Times New Roman"/>
                  <w:sz w:val="14"/>
                  <w:szCs w:val="14"/>
                  <w:color w:val="0000FF"/>
                </w:rPr>
                <w:t>between Red Violet, Inc. and Daniel MacLachlan.</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10.4</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August 7, 2023</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Second Amendment to Employment Agreement dated May 8, 2023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11"/>
                <w:szCs w:val="11"/>
                <w:color w:val="auto"/>
              </w:rPr>
            </w:pPr>
          </w:p>
        </w:tc>
        <w:tc>
          <w:tcPr>
            <w:tcW w:w="43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between Red Violet, Inc. and Jeffrey Dell.</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May 8, 2024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4">
              <w:r>
                <w:rPr>
                  <w:rFonts w:ascii="Times New Roman" w:cs="Times New Roman" w:eastAsia="Times New Roman" w:hAnsi="Times New Roman"/>
                  <w:sz w:val="14"/>
                  <w:szCs w:val="14"/>
                  <w:color w:val="0000FF"/>
                </w:rPr>
                <w:t>Third Amendment to Employment Agreement dated March 5, 2024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11"/>
                <w:szCs w:val="11"/>
                <w:color w:val="auto"/>
              </w:rPr>
            </w:pPr>
          </w:p>
        </w:tc>
        <w:tc>
          <w:tcPr>
            <w:tcW w:w="43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344">
              <w:r>
                <w:rPr>
                  <w:rFonts w:ascii="Times New Roman" w:cs="Times New Roman" w:eastAsia="Times New Roman" w:hAnsi="Times New Roman"/>
                  <w:sz w:val="14"/>
                  <w:szCs w:val="14"/>
                  <w:color w:val="0000FF"/>
                </w:rPr>
                <w:t>between Red Violet, Inc. and Jeffrey Dell.</w:t>
              </w:r>
            </w:hyperlink>
          </w:p>
        </w:tc>
        <w:tc>
          <w:tcPr>
            <w:tcW w:w="60" w:type="dxa"/>
            <w:vAlign w:val="bottom"/>
          </w:tcPr>
          <w:p>
            <w:pPr>
              <w:spacing w:after="0"/>
              <w:rPr>
                <w:sz w:val="11"/>
                <w:szCs w:val="11"/>
                <w:color w:val="auto"/>
              </w:rPr>
            </w:pPr>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June 10, 2025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Amended and Restated Red Violet, Inc. 2018 Stock Incentive Plan</w:t>
              </w:r>
            </w:hyperlink>
            <w:r>
              <w:rPr>
                <w:rFonts w:ascii="Times New Roman" w:cs="Times New Roman" w:eastAsia="Times New Roman" w:hAnsi="Times New Roman"/>
                <w:sz w:val="14"/>
                <w:szCs w:val="14"/>
                <w:color w:val="000000"/>
              </w:rPr>
              <w:t>.</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EE"/>
            </w:tcBorders>
            <w:gridSpan w:val="5"/>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January 13, 2026</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Third Amendment to Employment Agreement dated January 9, 2026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between Red Violet, Inc. and Derek Dubner</w:t>
              </w:r>
              <w:r>
                <w:rPr>
                  <w:rFonts w:ascii="Times New Roman" w:cs="Times New Roman" w:eastAsia="Times New Roman" w:hAnsi="Times New Roman"/>
                  <w:sz w:val="14"/>
                  <w:szCs w:val="14"/>
                  <w:color w:val="000000"/>
                </w:rPr>
                <w:t>.</w:t>
              </w:r>
            </w:hyperlink>
          </w:p>
        </w:tc>
        <w:tc>
          <w:tcPr>
            <w:tcW w:w="320" w:type="dxa"/>
            <w:vAlign w:val="bottom"/>
            <w:gridSpan w:val="6"/>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20" w:type="dxa"/>
            <w:vAlign w:val="bottom"/>
            <w:gridSpan w:val="20"/>
            <w:vMerge w:val="restart"/>
          </w:tcPr>
          <w:p>
            <w:pPr>
              <w:ind w:left="180"/>
              <w:spacing w:after="0" w:line="149" w:lineRule="exact"/>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dated January 9, 2026 by and</w:t>
              </w:r>
            </w:hyperlink>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January 13, 2026</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14"/>
          </w:tcPr>
          <w:p>
            <w:pPr>
              <w:spacing w:after="0" w:line="129" w:lineRule="exact"/>
              <w:rPr>
                <w:rFonts w:ascii="Times New Roman" w:cs="Times New Roman" w:eastAsia="Times New Roman" w:hAnsi="Times New Roman"/>
                <w:sz w:val="14"/>
                <w:szCs w:val="14"/>
                <w:color w:val="0000FF"/>
                <w:w w:val="95"/>
              </w:rPr>
            </w:pPr>
            <w:hyperlink r:id="rId347">
              <w:r>
                <w:rPr>
                  <w:rFonts w:ascii="Times New Roman" w:cs="Times New Roman" w:eastAsia="Times New Roman" w:hAnsi="Times New Roman"/>
                  <w:sz w:val="14"/>
                  <w:szCs w:val="14"/>
                  <w:color w:val="0000FF"/>
                  <w:w w:val="95"/>
                </w:rPr>
                <w:t>Third Amendment to Employment Agreement</w:t>
              </w:r>
            </w:hyperlink>
          </w:p>
        </w:tc>
        <w:tc>
          <w:tcPr>
            <w:tcW w:w="2220" w:type="dxa"/>
            <w:vAlign w:val="bottom"/>
            <w:gridSpan w:val="20"/>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10.25+</w:t>
            </w:r>
          </w:p>
        </w:tc>
        <w:tc>
          <w:tcPr>
            <w:tcW w:w="140" w:type="dxa"/>
            <w:vAlign w:val="bottom"/>
          </w:tcPr>
          <w:p>
            <w:pPr>
              <w:spacing w:after="0"/>
              <w:rPr>
                <w:sz w:val="11"/>
                <w:szCs w:val="11"/>
                <w:color w:val="auto"/>
              </w:rPr>
            </w:pPr>
          </w:p>
        </w:tc>
        <w:tc>
          <w:tcPr>
            <w:tcW w:w="44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between Red Violet, Inc. and James Reilly</w:t>
              </w:r>
              <w:r>
                <w:rPr>
                  <w:rFonts w:ascii="Times New Roman" w:cs="Times New Roman" w:eastAsia="Times New Roman" w:hAnsi="Times New Roman"/>
                  <w:sz w:val="14"/>
                  <w:szCs w:val="14"/>
                  <w:color w:val="000000"/>
                </w:rPr>
                <w:t>.</w:t>
              </w:r>
            </w:hyperlink>
          </w:p>
        </w:tc>
        <w:tc>
          <w:tcPr>
            <w:tcW w:w="320" w:type="dxa"/>
            <w:vAlign w:val="bottom"/>
            <w:gridSpan w:val="6"/>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10.3</w:t>
            </w: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January 13, 2026</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12"/>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80" w:type="dxa"/>
            <w:vAlign w:val="bottom"/>
            <w:gridSpan w:val="17"/>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20" w:type="dxa"/>
            <w:vAlign w:val="bottom"/>
            <w:gridSpan w:val="34"/>
          </w:tcPr>
          <w:p>
            <w:pPr>
              <w:spacing w:after="0" w:line="129" w:lineRule="exact"/>
              <w:rPr>
                <w:rFonts w:ascii="Times New Roman" w:cs="Times New Roman" w:eastAsia="Times New Roman" w:hAnsi="Times New Roman"/>
                <w:sz w:val="14"/>
                <w:szCs w:val="14"/>
                <w:color w:val="0000FF"/>
              </w:rPr>
            </w:pPr>
            <w:hyperlink r:id="rId348">
              <w:r>
                <w:rPr>
                  <w:rFonts w:ascii="Times New Roman" w:cs="Times New Roman" w:eastAsia="Times New Roman" w:hAnsi="Times New Roman"/>
                  <w:sz w:val="14"/>
                  <w:szCs w:val="14"/>
                  <w:color w:val="0000FF"/>
                </w:rPr>
                <w:t>Third Amendment to Employment Agreement dated January 9, 2026 by and</w:t>
              </w:r>
            </w:hyperlink>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348">
              <w:r>
                <w:rPr>
                  <w:rFonts w:ascii="Times New Roman" w:cs="Times New Roman" w:eastAsia="Times New Roman" w:hAnsi="Times New Roman"/>
                  <w:sz w:val="14"/>
                  <w:szCs w:val="14"/>
                  <w:color w:val="0000FF"/>
                </w:rPr>
                <w:t>between Red Violet, Inc. and Daniel MacLachlan</w:t>
              </w:r>
              <w:r>
                <w:rPr>
                  <w:rFonts w:ascii="Times New Roman" w:cs="Times New Roman" w:eastAsia="Times New Roman" w:hAnsi="Times New Roman"/>
                  <w:sz w:val="14"/>
                  <w:szCs w:val="14"/>
                  <w:color w:val="000000"/>
                </w:rPr>
                <w:t>.</w:t>
              </w:r>
            </w:hyperlink>
          </w:p>
        </w:tc>
        <w:tc>
          <w:tcPr>
            <w:tcW w:w="320" w:type="dxa"/>
            <w:vAlign w:val="bottom"/>
            <w:gridSpan w:val="6"/>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4760" w:type="dxa"/>
            <w:vAlign w:val="bottom"/>
            <w:gridSpan w:val="17"/>
          </w:tcPr>
          <w:p>
            <w:pPr>
              <w:spacing w:after="0"/>
              <w:rPr>
                <w:rFonts w:ascii="Times New Roman" w:cs="Times New Roman" w:eastAsia="Times New Roman" w:hAnsi="Times New Roman"/>
                <w:sz w:val="14"/>
                <w:szCs w:val="14"/>
                <w:color w:val="0000FF"/>
              </w:rPr>
            </w:pPr>
            <w:hyperlink r:id="rId350">
              <w:r>
                <w:rPr>
                  <w:rFonts w:ascii="Times New Roman" w:cs="Times New Roman" w:eastAsia="Times New Roman" w:hAnsi="Times New Roman"/>
                  <w:sz w:val="14"/>
                  <w:szCs w:val="14"/>
                  <w:color w:val="0000FF"/>
                </w:rPr>
                <w:t>Fourth Amendment to Employment Agreement dated January 9, 2026 by and</w:t>
              </w:r>
            </w:hyperlink>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001-38407</w:t>
            </w: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10.4</w:t>
            </w:r>
          </w:p>
        </w:tc>
        <w:tc>
          <w:tcPr>
            <w:tcW w:w="22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January 13, 2026</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50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50">
              <w:r>
                <w:rPr>
                  <w:rFonts w:ascii="Times New Roman" w:cs="Times New Roman" w:eastAsia="Times New Roman" w:hAnsi="Times New Roman"/>
                  <w:sz w:val="14"/>
                  <w:szCs w:val="14"/>
                  <w:color w:val="0000FF"/>
                </w:rPr>
                <w:t>between Red Violet, Inc. and Jeffrey Dell</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13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12"/>
            <w:vMerge w:val="restart"/>
          </w:tcPr>
          <w:p>
            <w:pPr>
              <w:spacing w:after="0" w:line="149" w:lineRule="exact"/>
              <w:rPr>
                <w:sz w:val="20"/>
                <w:szCs w:val="20"/>
                <w:color w:val="auto"/>
              </w:rPr>
            </w:pPr>
            <w:r>
              <w:rPr>
                <w:rFonts w:ascii="Times New Roman" w:cs="Times New Roman" w:eastAsia="Times New Roman" w:hAnsi="Times New Roman"/>
                <w:sz w:val="14"/>
                <w:szCs w:val="14"/>
                <w:color w:val="0000FF"/>
              </w:rPr>
              <w:t>Stock Unit Agreement</w:t>
            </w:r>
            <w:r>
              <w:rPr>
                <w:rFonts w:ascii="Times New Roman" w:cs="Times New Roman" w:eastAsia="Times New Roman" w:hAnsi="Times New Roman"/>
                <w:sz w:val="14"/>
                <w:szCs w:val="14"/>
                <w:color w:val="000000"/>
              </w:rPr>
              <w:t>.</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242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Form of Performance-Based Restrictive</w:t>
            </w:r>
          </w:p>
        </w:tc>
        <w:tc>
          <w:tcPr>
            <w:tcW w:w="2340" w:type="dxa"/>
            <w:vAlign w:val="bottom"/>
            <w:gridSpan w:val="12"/>
            <w:vMerge w:val="continue"/>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3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280" w:type="dxa"/>
            <w:vAlign w:val="bottom"/>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920" w:type="dxa"/>
            <w:vAlign w:val="bottom"/>
            <w:vMerge w:val="restart"/>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February 27, 2025</w:t>
            </w: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620" w:type="dxa"/>
            <w:vAlign w:val="bottom"/>
            <w:gridSpan w:val="8"/>
          </w:tcPr>
          <w:p>
            <w:pPr>
              <w:spacing w:after="0" w:line="129" w:lineRule="exact"/>
              <w:rPr>
                <w:rFonts w:ascii="Times New Roman" w:cs="Times New Roman" w:eastAsia="Times New Roman" w:hAnsi="Times New Roman"/>
                <w:sz w:val="14"/>
                <w:szCs w:val="14"/>
                <w:color w:val="0000FF"/>
              </w:rPr>
            </w:pPr>
            <w:hyperlink r:id="rId351">
              <w:r>
                <w:rPr>
                  <w:rFonts w:ascii="Times New Roman" w:cs="Times New Roman" w:eastAsia="Times New Roman" w:hAnsi="Times New Roman"/>
                  <w:sz w:val="14"/>
                  <w:szCs w:val="14"/>
                  <w:color w:val="0000FF"/>
                </w:rPr>
                <w:t>Insider Trading Policy</w:t>
              </w:r>
            </w:hyperlink>
            <w:r>
              <w:rPr>
                <w:rFonts w:ascii="Times New Roman" w:cs="Times New Roman" w:eastAsia="Times New Roman" w:hAnsi="Times New Roman"/>
                <w:sz w:val="14"/>
                <w:szCs w:val="14"/>
                <w:color w:val="000000"/>
              </w:rPr>
              <w:t>.</w:t>
            </w:r>
          </w:p>
        </w:tc>
        <w:tc>
          <w:tcPr>
            <w:tcW w:w="3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3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47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Subsidiaries of Red Violet, Inc.</w:t>
            </w: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8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47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Consent of Grant Thornton LLP.</w:t>
            </w: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9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860" w:type="dxa"/>
            <w:vAlign w:val="bottom"/>
            <w:gridSpan w:val="14"/>
            <w:vMerge w:val="restart"/>
          </w:tcPr>
          <w:p>
            <w:pPr>
              <w:spacing w:after="0" w:line="149" w:lineRule="exact"/>
              <w:rPr>
                <w:sz w:val="20"/>
                <w:szCs w:val="20"/>
                <w:color w:val="auto"/>
              </w:rPr>
            </w:pPr>
            <w:r>
              <w:rPr>
                <w:rFonts w:ascii="Times New Roman" w:cs="Times New Roman" w:eastAsia="Times New Roman" w:hAnsi="Times New Roman"/>
                <w:sz w:val="14"/>
                <w:szCs w:val="14"/>
                <w:color w:val="0000FF"/>
              </w:rPr>
              <w:t>Officer filed pursuant to Exchange Act Rules</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9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Executive</w:t>
            </w:r>
          </w:p>
        </w:tc>
        <w:tc>
          <w:tcPr>
            <w:tcW w:w="2860" w:type="dxa"/>
            <w:vAlign w:val="bottom"/>
            <w:gridSpan w:val="14"/>
            <w:vMerge w:val="continue"/>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6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3440" w:type="dxa"/>
            <w:vAlign w:val="bottom"/>
            <w:tcBorders>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bottom w:val="single" w:sz="8" w:color="0000EE"/>
            </w:tcBorders>
          </w:tcPr>
          <w:p>
            <w:pPr>
              <w:spacing w:after="0"/>
              <w:rPr>
                <w:sz w:val="11"/>
                <w:szCs w:val="11"/>
                <w:color w:val="auto"/>
              </w:rPr>
            </w:pPr>
          </w:p>
        </w:tc>
        <w:tc>
          <w:tcPr>
            <w:tcW w:w="1180" w:type="dxa"/>
            <w:vAlign w:val="bottom"/>
            <w:gridSpan w:val="9"/>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47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48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w w:val="99"/>
              </w:rPr>
              <w:t>13a-14(a) and 15d-14(a) of the Securities and Exchange Act of 1934 as adopted</w:t>
            </w:r>
          </w:p>
        </w:tc>
        <w:tc>
          <w:tcPr>
            <w:tcW w:w="1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344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180" w:type="dxa"/>
            <w:vAlign w:val="bottom"/>
            <w:tcBorders>
              <w:top w:val="single" w:sz="8" w:color="0000FF"/>
            </w:tcBorders>
            <w:gridSpan w:val="9"/>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47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62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920" w:type="dxa"/>
            <w:vAlign w:val="bottom"/>
            <w:tcBorders>
              <w:left w:val="single" w:sz="8" w:color="0000EE"/>
            </w:tcBorders>
            <w:gridSpan w:val="4"/>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7"/>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1350, as</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94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FF"/>
                <w:w w:val="99"/>
              </w:rPr>
              <w:t>Certification by Chief Financial Officer pursuant to 18 U.S.C. Section</w:t>
            </w:r>
          </w:p>
        </w:tc>
        <w:tc>
          <w:tcPr>
            <w:tcW w:w="82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97.1</w:t>
            </w:r>
          </w:p>
        </w:tc>
        <w:tc>
          <w:tcPr>
            <w:tcW w:w="4580" w:type="dxa"/>
            <w:vAlign w:val="bottom"/>
            <w:tcBorders>
              <w:top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80" w:type="dxa"/>
            <w:vAlign w:val="bottom"/>
            <w:gridSpan w:val="3"/>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001-38407</w:t>
            </w: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97.1</w:t>
            </w:r>
          </w:p>
        </w:tc>
        <w:tc>
          <w:tcPr>
            <w:tcW w:w="22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March 7, 2024</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920" w:type="dxa"/>
            <w:vAlign w:val="bottom"/>
            <w:tcBorders>
              <w:left w:val="single" w:sz="8" w:color="0000EE"/>
            </w:tcBorders>
            <w:gridSpan w:val="4"/>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840" w:type="dxa"/>
            <w:vAlign w:val="bottom"/>
            <w:gridSpan w:val="8"/>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920" w:type="dxa"/>
            <w:vAlign w:val="bottom"/>
            <w:gridSpan w:val="9"/>
          </w:tcPr>
          <w:p>
            <w:pPr>
              <w:spacing w:after="0" w:line="129" w:lineRule="exact"/>
              <w:rPr>
                <w:rFonts w:ascii="Times New Roman" w:cs="Times New Roman" w:eastAsia="Times New Roman" w:hAnsi="Times New Roman"/>
                <w:sz w:val="14"/>
                <w:szCs w:val="14"/>
                <w:color w:val="0000FF"/>
              </w:rPr>
            </w:pPr>
            <w:hyperlink r:id="rId352">
              <w:r>
                <w:rPr>
                  <w:rFonts w:ascii="Times New Roman" w:cs="Times New Roman" w:eastAsia="Times New Roman" w:hAnsi="Times New Roman"/>
                  <w:sz w:val="14"/>
                  <w:szCs w:val="14"/>
                  <w:color w:val="0000FF"/>
                </w:rPr>
                <w:t>Red Violet, Inc. Clawback Policy</w:t>
              </w:r>
            </w:hyperlink>
            <w:r>
              <w:rPr>
                <w:rFonts w:ascii="Times New Roman" w:cs="Times New Roman" w:eastAsia="Times New Roman" w:hAnsi="Times New Roman"/>
                <w:sz w:val="14"/>
                <w:szCs w:val="14"/>
                <w:color w:val="000000"/>
              </w:rPr>
              <w:t>.</w:t>
            </w:r>
          </w:p>
        </w:tc>
        <w:tc>
          <w:tcPr>
            <w:tcW w:w="840" w:type="dxa"/>
            <w:vAlign w:val="bottom"/>
            <w:gridSpan w:val="8"/>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39" w:lineRule="exact"/>
              <w:rPr>
                <w:sz w:val="20"/>
                <w:szCs w:val="20"/>
                <w:color w:val="auto"/>
              </w:rPr>
            </w:pPr>
            <w:r>
              <w:rPr>
                <w:rFonts w:ascii="Times New Roman" w:cs="Times New Roman" w:eastAsia="Times New Roman" w:hAnsi="Times New Roman"/>
                <w:sz w:val="14"/>
                <w:szCs w:val="14"/>
                <w:color w:val="auto"/>
              </w:rPr>
              <w:t>101.INS</w:t>
            </w:r>
          </w:p>
        </w:tc>
        <w:tc>
          <w:tcPr>
            <w:tcW w:w="1920" w:type="dxa"/>
            <w:vAlign w:val="bottom"/>
            <w:tcBorders>
              <w:left w:val="single" w:sz="8" w:color="0000EE"/>
            </w:tcBorders>
            <w:gridSpan w:val="4"/>
            <w:shd w:val="clear" w:color="auto" w:fill="0000FF"/>
          </w:tcPr>
          <w:p>
            <w:pPr>
              <w:spacing w:after="0" w:line="20" w:lineRule="exact"/>
              <w:rPr>
                <w:sz w:val="1"/>
                <w:szCs w:val="1"/>
                <w:color w:val="auto"/>
              </w:rPr>
            </w:pPr>
          </w:p>
        </w:tc>
        <w:tc>
          <w:tcPr>
            <w:tcW w:w="2840" w:type="dxa"/>
            <w:vAlign w:val="bottom"/>
            <w:gridSpan w:val="13"/>
            <w:vMerge w:val="restart"/>
          </w:tcPr>
          <w:p>
            <w:pPr>
              <w:ind w:left="20"/>
              <w:spacing w:after="0" w:line="139" w:lineRule="exact"/>
              <w:rPr>
                <w:sz w:val="20"/>
                <w:szCs w:val="20"/>
                <w:color w:val="auto"/>
              </w:rPr>
            </w:pPr>
            <w:r>
              <w:rPr>
                <w:rFonts w:ascii="Times New Roman" w:cs="Times New Roman" w:eastAsia="Times New Roman" w:hAnsi="Times New Roman"/>
                <w:sz w:val="14"/>
                <w:szCs w:val="14"/>
                <w:color w:val="auto"/>
              </w:rPr>
              <w:t>– the instance document does not appear in the</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vMerge w:val="restart"/>
          </w:tcPr>
          <w:p>
            <w:pPr>
              <w:ind w:left="2100"/>
              <w:spacing w:after="0" w:line="13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19"/>
        </w:trPr>
        <w:tc>
          <w:tcPr>
            <w:tcW w:w="1000" w:type="dxa"/>
            <w:vAlign w:val="bottom"/>
            <w:vMerge w:val="continue"/>
          </w:tcPr>
          <w:p>
            <w:pPr>
              <w:spacing w:after="0"/>
              <w:rPr>
                <w:sz w:val="10"/>
                <w:szCs w:val="10"/>
                <w:color w:val="auto"/>
              </w:rPr>
            </w:pPr>
          </w:p>
        </w:tc>
        <w:tc>
          <w:tcPr>
            <w:tcW w:w="192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w:t>
            </w:r>
          </w:p>
        </w:tc>
        <w:tc>
          <w:tcPr>
            <w:tcW w:w="2840" w:type="dxa"/>
            <w:vAlign w:val="bottom"/>
            <w:gridSpan w:val="13"/>
            <w:vMerge w:val="continue"/>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7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47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48"/>
        </w:trPr>
        <w:tc>
          <w:tcPr>
            <w:tcW w:w="1000" w:type="dxa"/>
            <w:vAlign w:val="bottom"/>
            <w:vMerge w:val="continue"/>
          </w:tcPr>
          <w:p>
            <w:pPr>
              <w:spacing w:after="0"/>
              <w:rPr>
                <w:sz w:val="12"/>
                <w:szCs w:val="12"/>
                <w:color w:val="auto"/>
              </w:rPr>
            </w:pPr>
          </w:p>
        </w:tc>
        <w:tc>
          <w:tcPr>
            <w:tcW w:w="47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476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Documents.</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47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firstLine="8"/>
        <w:spacing w:after="0" w:line="261" w:lineRule="auto"/>
        <w:tabs>
          <w:tab w:leader="none" w:pos="10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Certain portions of this exhibit (indicated by “####”) have been redacted pursuant to Regulation S-K, Item 601(a)(6).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this Item 16. The Company has elected not to include such summary information.</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94" w:right="5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March 4, 2026</w:t>
      </w:r>
      <w:r>
        <w:rPr>
          <w:sz w:val="20"/>
          <w:szCs w:val="20"/>
          <w:color w:val="auto"/>
        </w:rPr>
        <w:tab/>
      </w:r>
      <w:r>
        <w:rPr>
          <w:rFonts w:ascii="Times New Roman" w:cs="Times New Roman" w:eastAsia="Times New Roman" w:hAnsi="Times New Roman"/>
          <w:sz w:val="18"/>
          <w:szCs w:val="18"/>
          <w:b w:val="1"/>
          <w:bCs w:val="1"/>
          <w:color w:val="auto"/>
        </w:rPr>
        <w:t>RED VIOLET, INC.</w:t>
      </w:r>
    </w:p>
    <w:p>
      <w:pPr>
        <w:spacing w:after="0" w:line="256"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0" w:type="dxa"/>
            <w:vAlign w:val="bottom"/>
          </w:tcPr>
          <w:p>
            <w:pPr>
              <w:spacing w:after="0"/>
              <w:rPr>
                <w:sz w:val="15"/>
                <w:szCs w:val="15"/>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Derek Dubner</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Derek Dubner</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MacLachlan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Daniel MacLachlan</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Livek</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William Livek</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Steven D. Rubin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Stanton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Lisa Stanton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 Strakosch</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Greg Strakosch</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751"/>
        </w:trPr>
        <w:tc>
          <w:tcPr>
            <w:tcW w:w="3760" w:type="dxa"/>
            <w:vAlign w:val="bottom"/>
          </w:tcPr>
          <w:p>
            <w:pPr>
              <w:spacing w:after="0"/>
              <w:rPr>
                <w:sz w:val="24"/>
                <w:szCs w:val="24"/>
                <w:color w:val="auto"/>
              </w:rPr>
            </w:pPr>
          </w:p>
        </w:tc>
        <w:tc>
          <w:tcPr>
            <w:tcW w:w="530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979"/>
        </w:trPr>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2"/>
        </w:trPr>
        <w:tc>
          <w:tcPr>
            <w:tcW w:w="20" w:type="dxa"/>
            <w:vAlign w:val="bottom"/>
          </w:tcPr>
          <w:p>
            <w:pPr>
              <w:spacing w:after="0"/>
              <w:rPr>
                <w:sz w:val="22"/>
                <w:szCs w:val="22"/>
                <w:color w:val="auto"/>
              </w:rPr>
            </w:pP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number: 248)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20" w:type="dxa"/>
            <w:vAlign w:val="bottom"/>
          </w:tcPr>
          <w:p>
            <w:pPr>
              <w:spacing w:after="0"/>
              <w:rPr>
                <w:sz w:val="17"/>
                <w:szCs w:val="17"/>
                <w:color w:val="auto"/>
              </w:rPr>
            </w:pPr>
          </w:p>
        </w:tc>
        <w:tc>
          <w:tcPr>
            <w:tcW w:w="6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338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and 2024</w:t>
            </w:r>
          </w:p>
        </w:tc>
        <w:tc>
          <w:tcPr>
            <w:tcW w:w="20" w:type="dxa"/>
            <w:vAlign w:val="bottom"/>
            <w:tcBorders>
              <w:bottom w:val="single" w:sz="8" w:color="0000EE"/>
            </w:tcBorders>
          </w:tcPr>
          <w:p>
            <w:pPr>
              <w:spacing w:after="0"/>
              <w:rPr>
                <w:sz w:val="17"/>
                <w:szCs w:val="17"/>
                <w:color w:val="auto"/>
              </w:rPr>
            </w:pPr>
          </w:p>
        </w:tc>
        <w:tc>
          <w:tcPr>
            <w:tcW w:w="302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20" w:type="dxa"/>
            <w:vAlign w:val="bottom"/>
          </w:tcPr>
          <w:p>
            <w:pPr>
              <w:spacing w:after="0"/>
              <w:rPr>
                <w:sz w:val="17"/>
                <w:szCs w:val="17"/>
                <w:color w:val="auto"/>
              </w:rPr>
            </w:pPr>
          </w:p>
        </w:tc>
        <w:tc>
          <w:tcPr>
            <w:tcW w:w="78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2025 and 2024</w:t>
            </w:r>
          </w:p>
        </w:tc>
        <w:tc>
          <w:tcPr>
            <w:tcW w:w="152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0" w:type="dxa"/>
            <w:vAlign w:val="bottom"/>
          </w:tcPr>
          <w:p>
            <w:pPr>
              <w:spacing w:after="0"/>
              <w:rPr>
                <w:sz w:val="17"/>
                <w:szCs w:val="17"/>
                <w:color w:val="auto"/>
              </w:rPr>
            </w:pPr>
          </w:p>
        </w:tc>
        <w:tc>
          <w:tcPr>
            <w:tcW w:w="63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and 2024</w:t>
            </w:r>
          </w:p>
        </w:tc>
        <w:tc>
          <w:tcPr>
            <w:tcW w:w="302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20" w:type="dxa"/>
            <w:vAlign w:val="bottom"/>
          </w:tcPr>
          <w:p>
            <w:pPr>
              <w:spacing w:after="0"/>
              <w:rPr>
                <w:sz w:val="17"/>
                <w:szCs w:val="17"/>
                <w:color w:val="auto"/>
              </w:rPr>
            </w:pPr>
          </w:p>
        </w:tc>
        <w:tc>
          <w:tcPr>
            <w:tcW w:w="9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871"/>
        </w:trPr>
        <w:tc>
          <w:tcPr>
            <w:tcW w:w="20" w:type="dxa"/>
            <w:vAlign w:val="bottom"/>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78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F-1</w:t>
            </w:r>
          </w:p>
        </w:tc>
        <w:tc>
          <w:tcPr>
            <w:tcW w:w="18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Red Violet, Inc. (a Delaware corporation) and subsidiaries (the “Company”) as of December 31, 2025 and 2024, the related consolidated statements of operations, changes in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period ended December 31, 2025,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9"/>
        </w:trPr>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20" w:type="dxa"/>
            <w:vAlign w:val="bottom"/>
            <w:tcBorders>
              <w:bottom w:val="single" w:sz="8" w:color="CFF0FC"/>
            </w:tcBorders>
            <w:gridSpan w:val="2"/>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shd w:val="clear" w:color="auto" w:fill="CFF0FC"/>
          </w:tcPr>
          <w:p>
            <w:pPr>
              <w:spacing w:after="0"/>
              <w:rPr>
                <w:sz w:val="18"/>
                <w:szCs w:val="18"/>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$231 and $188 as of</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Pr>
          <w:p>
            <w:pPr>
              <w:spacing w:after="0"/>
              <w:rPr>
                <w:sz w:val="20"/>
                <w:szCs w:val="20"/>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8"/>
                <w:szCs w:val="18"/>
                <w:color w:val="auto"/>
              </w:rPr>
            </w:pPr>
          </w:p>
        </w:tc>
      </w:tr>
      <w:tr>
        <w:trPr>
          <w:trHeight w:val="25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20" w:type="dxa"/>
            <w:vAlign w:val="bottom"/>
            <w:shd w:val="clear" w:color="auto" w:fill="CFF0FC"/>
          </w:tcPr>
          <w:p>
            <w:pPr>
              <w:spacing w:after="0"/>
              <w:rPr>
                <w:sz w:val="21"/>
                <w:szCs w:val="21"/>
                <w:color w:val="auto"/>
              </w:rPr>
            </w:pPr>
          </w:p>
        </w:tc>
      </w:tr>
      <w:tr>
        <w:trPr>
          <w:trHeight w:val="156"/>
        </w:trPr>
        <w:tc>
          <w:tcPr>
            <w:tcW w:w="776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r>
      <w:tr>
        <w:trPr>
          <w:trHeight w:val="210"/>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2025 and 2024</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198"/>
        </w:trPr>
        <w:tc>
          <w:tcPr>
            <w:tcW w:w="77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14,151,350 and</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13,936,329 shares issued and outstanding, as of December 31, 2025 and 2024</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0"/>
                <w:szCs w:val="20"/>
                <w:color w:val="auto"/>
              </w:rPr>
            </w:pPr>
          </w:p>
        </w:tc>
      </w:tr>
      <w:tr>
        <w:trPr>
          <w:trHeight w:val="216"/>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20" w:type="dxa"/>
            <w:vAlign w:val="bottom"/>
          </w:tcPr>
          <w:p>
            <w:pPr>
              <w:spacing w:after="0"/>
              <w:rPr>
                <w:sz w:val="18"/>
                <w:szCs w:val="18"/>
                <w:color w:val="auto"/>
              </w:rPr>
            </w:pPr>
          </w:p>
        </w:tc>
      </w:tr>
      <w:tr>
        <w:trPr>
          <w:trHeight w:val="216"/>
        </w:trPr>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r>
      <w:tr>
        <w:trPr>
          <w:trHeight w:val="209"/>
        </w:trPr>
        <w:tc>
          <w:tcPr>
            <w:tcW w:w="77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2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-3942715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-3942715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90,252</w:t>
            </w:r>
          </w:p>
        </w:tc>
        <w:tc>
          <w:tcPr>
            <w:tcW w:w="9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75,189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13,997</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17,835</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25,875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77,114</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7,920</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9,320</w:t>
            </w: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7,003</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960" w:type="dxa"/>
            <w:vAlign w:val="bottom"/>
            <w:gridSpan w:val="2"/>
            <w:shd w:val="clear" w:color="auto" w:fill="CFF0FC"/>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0.50</w:t>
            </w:r>
          </w:p>
        </w:tc>
      </w:tr>
      <w:tr>
        <w:trPr>
          <w:trHeight w:val="197"/>
        </w:trPr>
        <w:tc>
          <w:tcPr>
            <w:tcW w:w="7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14,036,920</w:t>
            </w:r>
          </w:p>
        </w:tc>
        <w:tc>
          <w:tcPr>
            <w:tcW w:w="3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13,864,797</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14,398,047</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14,125,825</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-1662430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-1379220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-1096645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-487680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-471170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-487680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ectPr>
          <w:pgSz w:w="11900" w:h="16838" w:orient="portrait"/>
          <w:cols w:equalWidth="0" w:num="1">
            <w:col w:w="11240"/>
          </w:cols>
          <w:pgMar w:left="320" w:top="981" w:right="33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12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91"/>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260" w:type="dxa"/>
            <w:vAlign w:val="bottom"/>
            <w:vMerge w:val="continue"/>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13,980,274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on common</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$0.30 per share</w:t>
            </w: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13,936,329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0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(9,428)</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94,159</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86,112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(137,463)</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(292,744)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191"/>
        </w:trPr>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87,488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86,632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(115,773)</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(20,437)</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-2604135</wp:posOffset>
            </wp:positionV>
            <wp:extent cx="71323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-2329815</wp:posOffset>
            </wp:positionV>
            <wp:extent cx="7132320" cy="4114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-1781175</wp:posOffset>
            </wp:positionV>
            <wp:extent cx="71323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-1506855</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-1095375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-821055</wp:posOffset>
            </wp:positionV>
            <wp:extent cx="7132320" cy="4114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-272415</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380" w:space="220"/>
            <w:col w:w="56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14,151,350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88,628</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100,926</w:t>
            </w:r>
          </w:p>
        </w:tc>
        <w:tc>
          <w:tcPr>
            <w:tcW w:w="12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(3,396)</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r>
      <w:tr>
        <w:trPr>
          <w:trHeight w:val="209"/>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20" w:type="dxa"/>
            <w:vAlign w:val="bottom"/>
            <w:tcBorders>
              <w:top w:val="single" w:sz="8" w:color="CFF0FC"/>
            </w:tcBorders>
          </w:tcPr>
          <w:p>
            <w:pPr>
              <w:spacing w:after="0"/>
              <w:rPr>
                <w:sz w:val="18"/>
                <w:szCs w:val="18"/>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(10,593)</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(9,398)</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(9,567)</w:t>
            </w: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(5,853)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(11,140)</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(9,921)</w:t>
            </w: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Borders>
              <w:top w:val="single" w:sz="8" w:color="CFF0FC"/>
            </w:tcBorders>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9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9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liabilities</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declared not yet paid</w:t>
            </w:r>
          </w:p>
        </w:tc>
        <w:tc>
          <w:tcPr>
            <w:tcW w:w="19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Principal activities</w:t>
      </w:r>
    </w:p>
    <w:p>
      <w:pPr>
        <w:spacing w:after="0" w:line="18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Red Violet, Inc. (“red violet,” or the “Company”), a Delaware corporation, is an analytics and information solutions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The Company’s cloud-native, AI-enabled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The Company drives workflow efficiency and enables organizations to make better data-driven decisions.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CORE is a cloud-native, proprietary technology platform architected from inception with artificial intelligence, machine learning, and advanced analytics embedded into its core data processing and analytical frameworks. The platform integrates extensive public-record, proprietary, and publicly-available data assets to deliver high-confidence identity intelligence through scalable user-focused analytical interfaces. The Company's solutions provide intelligence across key identity dimensions, including entities, relationships, affiliations, interactions, and events, and support mission-critical and regulated operational, risk management, and compliance functions for public and private sector organizations. The Company's solutions are used to enable frictionless commerce, enhance safety, and mitigate fraud and the related financial losses across the markets it serves.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liquidity</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red violet in accordance with accounting principles generally accepted in the United States (“US GAAP”).</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reported net income of $13,154 and $7,003 for the years ended December 31, 2025 and 2024, respectively. Net cash provided by operating activities was $29,349 and $23,960 for the years ended December 31, 2025 and 2024, respectively. As of December 31, 2025, the Company had a retained earnings of $12,284.</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available cash and cash equivalents of $43,557, an increase of $7,053 from $36,504 as of December 31, 2024.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revenue recognition,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bank deposits with original maturities of three months or less, which are unrestricted as to withdrawal and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$43,557 and $36,504 as of December 31, 2025 and 2024, respectively.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Accounts receivable are due from customers and are generally unsecured, which consist of amounts earned but not yet collected. None of the Company’s accounts receivable bear interest. In some arrangements, a right to consideration for the Company's performance under the customer contract may occur before invoicing to the customer, resulting in an unbilled accounts receivable. As of December 31, 2025, the current and noncurrent portion unbilled accounts receivable of $1,137 and $880, respectively, were included within accounts receivable and other noncurrent assets, respectively, on the consolidated balance sheets. As of December 31, 2024, the current and noncurrent portion unbilled accounts receivable of $937 and $1,080, respectively, were included within accounts receivable and other noncurrent assets, respectively, on the consolidated balance sheets.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management’s best estimate of the amount of probable credit losses in the Company’s existing accounts receivable. Management determines the allowance based on reviews of various factors, including historical experience, the age of the accounts receivable balance, customer-specific facts, economic conditions, and other factors that may affect the Company's ability to collect from customers.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$231 and $188 as of December 31, 2025 and 2024, respectively, which was included within accounts receivable, net,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items of property and equipment are retired or otherwise disposed of, loss/income is charged or credited for the difference between the net book value and proceeds received thereon.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 other than goodwill</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include software developed for internal use and acquired intangible assets. Intangible assets have estimated useful lives of 5-10 years.</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350-40, </w:t>
      </w:r>
      <w:r>
        <w:rPr>
          <w:rFonts w:ascii="Times New Roman" w:cs="Times New Roman" w:eastAsia="Times New Roman" w:hAnsi="Times New Roman"/>
          <w:sz w:val="18"/>
          <w:szCs w:val="18"/>
          <w:i w:val="1"/>
          <w:iCs w:val="1"/>
          <w:color w:val="auto"/>
        </w:rPr>
        <w:t>“Software — Internal use software,”</w:t>
      </w:r>
      <w:r>
        <w:rPr>
          <w:rFonts w:ascii="Times New Roman" w:cs="Times New Roman" w:eastAsia="Times New Roman" w:hAnsi="Times New Roman"/>
          <w:sz w:val="18"/>
          <w:szCs w:val="18"/>
          <w:color w:val="auto"/>
        </w:rPr>
        <w:t xml:space="preserve"> the Company capitalizes eligible costs, including personnel-related expenses, share-based compensation, and travel expenses incurred by relevant employees, and other directly attributable costs incurred during the application development stage. Once the software developed for internal use is ready for its intended use, it is amortized on a straight-line basis over its useful life. The acquired intangible assets reflect the acquisition cost of certain data assets for which the Company has obtained perpetual usage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Goodwill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December 31, 2025 and 2024, the balance of goodwill of $5,227 was as a result of the acquisition of Interactive Data, LLC (“Interactive Data”), a wholly-owned subsidiary of red violet, effective on October 2, 2014.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 The Company has assessed that it has one operating segment and one reporting unit, and the consolidated net assets, including existing goodwill and other intangible assets, are considered to be the carrying value of the reporting unit.</w:t>
      </w:r>
    </w:p>
    <w:p>
      <w:pPr>
        <w:spacing w:after="0" w:line="15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measurement date of the Company’s annual goodwill impairment test is October 1. On October 1, 2025 and 2024, the Company performed qualitative assessments on the reporting unit and, based on this assessment, no events have occurred to indicate that it is more likely than not that the fair value of the reporting unit is less than its carry amount. The Company did not record a goodwill impairment loss during the years ended December 31, 2025 and 2024, and as of December 31, 2025, there was no accumulated goodwill impairment loss.</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Impairment of long-lived assets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 impairment loss of long-lived assets during the years ended December 31,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Fair value of financial instruments</w:t>
      </w:r>
    </w:p>
    <w:p>
      <w:pPr>
        <w:spacing w:after="0" w:line="18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tiers include:</w:t>
      </w:r>
    </w:p>
    <w:p>
      <w:pPr>
        <w:spacing w:after="0" w:line="117"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and cash equivalents, receivables, and payables approximate their carrying amount because of the short-term nature of these instruments. The fair value of the noncurrent portion of unbilled accounts receivable included in other noncurrent assets approximates its carrying amount.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extensive data repository. The pricing for the customer contracts is based on usage, a monthly fee, or a combination of both.</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The Company’s revenue is recorded net of applicable sales taxes billed to customers.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The Company's revenue arrangements do not contain significant financing components.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76% and 77% of total revenue was attributable to customers with pricing contracts, respectively, versus 24% and 23% attributable to transactional customers, respectively. Pricing contracts are generally annual contracts or longer, with auto renewal.</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If a customer pays consideration before the Company transfers services to the customer, those amounts are classified as deferred revenue. As of December 31, 2025, 2024 and 2023, the balance of deferred revenue was $1,028, $712 and $690, respectively, all of which is expected to be realized in the next 12 months. In relation to the deferred revenue balance as of December 31, 2024, $712 was recognized into revenue during the year ended December 31, 2025.</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$23,778 of revenue is expected to be recognized in the future for performance obligations that are unsatisfied or partially unsatisfied, related to pricing contracts that have a term of more than 12 months, of which $12,667 of revenue will be recognized in 2026, $7,951 in 2027, $2,407 in 2028, $652 in 2029, and $103 in 2030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Cost of revenue (exclusive of depreciation and amortization)</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(l) Advertising and promotion costs</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charged to operations as incurred. Advertising and promotion costs, included in sales and marketing expenses amounted to $1,082 and $761 for the years ended December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The Company accounts for forfeitures as they occur.</w:t>
      </w:r>
    </w:p>
    <w:p>
      <w:pPr>
        <w:spacing w:after="0" w:line="1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2025, no share-based compensation expense has been recognized for 70,000 RSUs subject to the 2024 Performance Criteria, as defined in Note 10.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187"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December 31, 2025 was more likely than not.</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Under ASC 740, the effects of changes in tax laws and rates on deferred tax balances are recognized in the period in which the legislation is enacted. The Company evaluated the impact of the OBBBA on its consolidated financial statements and concluded that it did not have a material impact. For additional information, see Note 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periods. Diluted earnings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 Contingencies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35" w:lineRule="exact"/>
        <w:rPr>
          <w:sz w:val="20"/>
          <w:szCs w:val="20"/>
          <w:color w:val="auto"/>
        </w:rPr>
      </w:pPr>
    </w:p>
    <w:p>
      <w:pPr>
        <w:ind w:right="8260" w:firstLine="8"/>
        <w:spacing w:after="0" w:line="464" w:lineRule="auto"/>
        <w:tabs>
          <w:tab w:leader="none" w:pos="255"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concentrations and risks Concentration of credit risk</w:t>
      </w:r>
    </w:p>
    <w:p>
      <w:pPr>
        <w:ind w:right="320"/>
        <w:spacing w:after="0" w:line="258"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concentration of credit risk primarily consist of cash and cash equivalents, and accounts receivable. As of December 31, 2025 and 2024,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no individual customer accounted for more than 10% of the total revenue.</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One individual customer accounted for approximately 10% of the Company’s accounts receivable, net, as of December 31, 2025. No individual customer accounted for more than 10% of the Company’s accounts receivable, net,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45% of the Company’s total data acquisition costs for the years ended December 31, 2025 and 2024. Effective on May 1, 2025, we entered into an amendment with our largest data supplier, extending the term of the agreement through April 30, 2031. We may elect to extend the term for an additional twelve months upon written notice to this supplier at least 30 days prior to the end of the amended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the Company and the Company may terminate this agreement by providing not less than 24 months’ advance written notice to this supplier. As of December 31, 2025, the remaining payment obligations through the end of the amended and renewed term is $23.2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7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excluding the largest data supplier, one additional data supplier accounted for approximately 11% of the Company's total data acquisition costs.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Two data suppliers accounted for approximately 23% and 14%, respectively, of the Company’s total accounts payable as of December 31, 2025. One data supplier accounted for approximately 37% of the Company’s total accounts payable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In December 2023, the Financial Accounting Standard Board (the “FASB”) issued Accounting Standard Updates (“ASU”) No. 2023-09, "</w:t>
      </w:r>
      <w:r>
        <w:rPr>
          <w:rFonts w:ascii="Times New Roman" w:cs="Times New Roman" w:eastAsia="Times New Roman" w:hAnsi="Times New Roman"/>
          <w:sz w:val="18"/>
          <w:szCs w:val="18"/>
          <w:i w:val="1"/>
          <w:iCs w:val="1"/>
          <w:color w:val="231F20"/>
        </w:rPr>
        <w:t>Income Taxes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(Topic 740): Improvements to Income Tax Disclosures</w:t>
      </w:r>
      <w:r>
        <w:rPr>
          <w:rFonts w:ascii="Times New Roman" w:cs="Times New Roman" w:eastAsia="Times New Roman" w:hAnsi="Times New Roman"/>
          <w:sz w:val="18"/>
          <w:szCs w:val="18"/>
          <w:color w:val="231F20"/>
        </w:rPr>
        <w:t>," which improves the transparency of income tax disclosures by requiring consistent categories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has assessed the impact of this guidance and concluded that it would not have a material impact on its consolidated financial statement and disclosure requirements. The Company has adopted this guidance as of December 31, 2025 on a retrospective basis, as presented in Note 8.</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59" w:name="page60"/>
    <w:bookmarkEnd w:id="59"/>
    <w:p>
      <w:pPr>
        <w:ind w:right="80"/>
        <w:spacing w:after="0" w:line="256" w:lineRule="auto"/>
        <w:rPr>
          <w:sz w:val="20"/>
          <w:szCs w:val="20"/>
          <w:color w:val="auto"/>
        </w:rPr>
      </w:pPr>
      <w:r>
        <w:rPr>
          <w:rFonts w:ascii="Times New Roman" w:cs="Times New Roman" w:eastAsia="Times New Roman" w:hAnsi="Times New Roman"/>
          <w:sz w:val="18"/>
          <w:szCs w:val="18"/>
          <w:color w:val="231F20"/>
        </w:rPr>
        <w:t>In November 2024, the FASB issued ASU No. 2024-03, "</w:t>
      </w:r>
      <w:r>
        <w:rPr>
          <w:rFonts w:ascii="Times New Roman" w:cs="Times New Roman" w:eastAsia="Times New Roman" w:hAnsi="Times New Roman"/>
          <w:sz w:val="18"/>
          <w:szCs w:val="18"/>
          <w:i w:val="1"/>
          <w:iCs w:val="1"/>
          <w:color w:val="231F20"/>
        </w:rPr>
        <w:t>Income Statement - Reporting Comprehensive Income - Expense Disaggregation Disclosures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(Subtopic 220-04), Disaggregation of Income Statement Expenses," </w:t>
      </w:r>
      <w:r>
        <w:rPr>
          <w:rFonts w:ascii="Times New Roman" w:cs="Times New Roman" w:eastAsia="Times New Roman" w:hAnsi="Times New Roman"/>
          <w:sz w:val="18"/>
          <w:szCs w:val="18"/>
          <w:color w:val="231F20"/>
        </w:rPr>
        <w:t>which requires disclosure within the notes to financial statements of specific</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assessing the impact that adopting this ASU may have on its consolidated financial statements.</w:t>
      </w:r>
    </w:p>
    <w:p>
      <w:pPr>
        <w:spacing w:after="0" w:line="1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2025, the FASB issued ASU No.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This ASU removes all references to prescriptive and sequential software development stages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(referred to as “project stages”) and instead requires an entity to start capitalizing software costs when management has authorized and committed to funding the software project and it is probable that the project will be completed and the software will be used to perform the function intended. Additional updates include changes to accounting for website development costs and certain disclosure requirements. This ASU will be effective for annual reporting periods beginning after December 15, 2027, and interim reporting periods within those annual reporting periods. Early adoption is permitted as of the beginning of an annual reporting period.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assessing the impact that adopting this ASU may have on its consolidated financial statements.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2025, the FASB issued ASU No. 2025-11, </w:t>
      </w:r>
      <w:r>
        <w:rPr>
          <w:rFonts w:ascii="Times New Roman" w:cs="Times New Roman" w:eastAsia="Times New Roman" w:hAnsi="Times New Roman"/>
          <w:sz w:val="18"/>
          <w:szCs w:val="18"/>
          <w:i w:val="1"/>
          <w:iCs w:val="1"/>
          <w:color w:val="231F20"/>
        </w:rPr>
        <w:t>"Interim Reporting (Topic 270): Narrow-Scope Improvements."</w:t>
      </w:r>
      <w:r>
        <w:rPr>
          <w:rFonts w:ascii="Times New Roman" w:cs="Times New Roman" w:eastAsia="Times New Roman" w:hAnsi="Times New Roman"/>
          <w:sz w:val="18"/>
          <w:szCs w:val="18"/>
          <w:color w:val="231F20"/>
        </w:rPr>
        <w:t xml:space="preserve">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The Company is currently evaluating the impact of this ASU may have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basic and diluted earnings per share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13,154</w:t>
            </w: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14,036,920</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13,864,797</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14,398,047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14,125,825</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0.94</w:t>
            </w: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diluted weighted average shares outstanding are calculated by the inclusion of unvested restricted stock units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10,928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8,249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4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10,697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8,061</w:t>
            </w:r>
          </w:p>
        </w:tc>
      </w:tr>
      <w:tr>
        <w:trPr>
          <w:trHeight w:val="629"/>
        </w:trPr>
        <w:tc>
          <w:tcPr>
            <w:tcW w:w="412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ind w:left="1340"/>
              <w:spacing w:after="0"/>
              <w:rPr>
                <w:sz w:val="20"/>
                <w:szCs w:val="20"/>
                <w:color w:val="auto"/>
              </w:rPr>
            </w:pPr>
            <w:r>
              <w:rPr>
                <w:rFonts w:ascii="Times New Roman" w:cs="Times New Roman" w:eastAsia="Times New Roman" w:hAnsi="Times New Roman"/>
                <w:sz w:val="18"/>
                <w:szCs w:val="18"/>
                <w:color w:val="auto"/>
              </w:rPr>
              <w:t>F-13</w:t>
            </w: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-933450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-916305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movement of allowance for doubtful accounts is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gridSpan w:val="6"/>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8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8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Charges to expenses</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1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Borders>
              <w:top w:val="single" w:sz="8" w:color="CFF0FC"/>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-1799590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-453390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of $223 and $213 was recorded for the years ended December 31,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0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5-10 years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(48,704)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(48,861)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gross carrying amount of software developed for internal use includes capitalized costs related to the design, development, and testing of internal-use software. These costs primarily consist of eligible personnel-related expenses, share-based compensation, and travel expenses incurred by relevant employees, and other directly attributable costs incurred during the application development stage. The gross carrying amount of acquired intangible assets reflects the acquisition cost of certain data assets for which the Company has obtained perpetual usage rights.</w:t>
      </w:r>
    </w:p>
    <w:p>
      <w:pPr>
        <w:spacing w:after="0" w:line="13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Amortization expenses of $10,449 and $9,349 were included in depreciation and amortization expense for the years ended December 31, 2025 and 2024, respectively. As of December 31, 2025, intangible assets of $5,685, included in the gross carrying amounts of intangible assets, have not yet commenced amortization, as they are not ready for their intended 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intangible asset costs of $13,716 and $11,025 during the years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As of December 31, 2025, estimated amortization expense related to the Company’s intangible assets for 2026 through 2031 and thereafter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gridSpan w:val="2"/>
          </w:tcPr>
          <w:p>
            <w:pPr>
              <w:spacing w:after="0"/>
              <w:rPr>
                <w:sz w:val="16"/>
                <w:szCs w:val="16"/>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39,264</w:t>
            </w:r>
          </w:p>
        </w:tc>
        <w:tc>
          <w:tcPr>
            <w:tcW w:w="100" w:type="dxa"/>
            <w:vAlign w:val="bottom"/>
            <w:shd w:val="clear" w:color="auto" w:fill="CFF0FC"/>
          </w:tcPr>
          <w:p>
            <w:pPr>
              <w:spacing w:after="0"/>
              <w:rPr>
                <w:sz w:val="21"/>
                <w:szCs w:val="21"/>
                <w:color w:val="auto"/>
              </w:rPr>
            </w:pPr>
          </w:p>
        </w:tc>
      </w:tr>
      <w:tr>
        <w:trPr>
          <w:trHeight w:val="413"/>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158"/>
        </w:trPr>
        <w:tc>
          <w:tcPr>
            <w:tcW w:w="72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tcPr>
          <w:p>
            <w:pPr>
              <w:jc w:val="right"/>
              <w:ind w:right="3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3,320</w:t>
            </w:r>
          </w:p>
        </w:tc>
        <w:tc>
          <w:tcPr>
            <w:tcW w:w="50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152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3"/>
                <w:szCs w:val="13"/>
                <w:color w:val="auto"/>
              </w:rPr>
            </w:pPr>
          </w:p>
        </w:tc>
      </w:tr>
      <w:tr>
        <w:trPr>
          <w:trHeight w:val="268"/>
        </w:trPr>
        <w:tc>
          <w:tcPr>
            <w:tcW w:w="72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Current portion of payables related to acquired intangible assets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data acquisition costs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payables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-1654175</wp:posOffset>
            </wp:positionV>
            <wp:extent cx="774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80" w:hanging="372"/>
        <w:spacing w:after="0" w:line="282" w:lineRule="auto"/>
        <w:tabs>
          <w:tab w:leader="none" w:pos="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noncurrent portion of payables related to acquired intangible assets of $820 were included in other noncurrent liabilities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income taxes on income before income taxes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E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640" w:type="dxa"/>
            <w:vAlign w:val="bottom"/>
            <w:shd w:val="clear" w:color="auto" w:fill="CEF0FC"/>
          </w:tcPr>
          <w:p>
            <w:pPr>
              <w:spacing w:after="0"/>
              <w:rPr>
                <w:sz w:val="18"/>
                <w:szCs w:val="18"/>
                <w:color w:val="auto"/>
              </w:rPr>
            </w:pPr>
          </w:p>
        </w:tc>
        <w:tc>
          <w:tcPr>
            <w:tcW w:w="480" w:type="dxa"/>
            <w:vAlign w:val="bottom"/>
            <w:shd w:val="clear" w:color="auto" w:fill="CEF0FC"/>
          </w:tcPr>
          <w:p>
            <w:pPr>
              <w:spacing w:after="0"/>
              <w:rPr>
                <w:sz w:val="18"/>
                <w:szCs w:val="18"/>
                <w:color w:val="auto"/>
              </w:rPr>
            </w:pPr>
          </w:p>
        </w:tc>
        <w:tc>
          <w:tcPr>
            <w:tcW w:w="1560" w:type="dxa"/>
            <w:vAlign w:val="bottom"/>
            <w:shd w:val="clear" w:color="auto" w:fill="CEF0FC"/>
          </w:tcPr>
          <w:p>
            <w:pPr>
              <w:spacing w:after="0"/>
              <w:rPr>
                <w:sz w:val="18"/>
                <w:szCs w:val="18"/>
                <w:color w:val="auto"/>
              </w:rPr>
            </w:pPr>
          </w:p>
        </w:tc>
        <w:tc>
          <w:tcPr>
            <w:tcW w:w="32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EF0FC"/>
            </w:tcBorders>
            <w:shd w:val="clear" w:color="auto" w:fill="CE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640" w:type="dxa"/>
            <w:vAlign w:val="bottom"/>
            <w:tcBorders>
              <w:bottom w:val="single" w:sz="8" w:color="CEF0FC"/>
            </w:tcBorders>
            <w:shd w:val="clear" w:color="auto" w:fill="CEF0FC"/>
          </w:tcPr>
          <w:p>
            <w:pPr>
              <w:spacing w:after="0"/>
              <w:rPr>
                <w:sz w:val="18"/>
                <w:szCs w:val="18"/>
                <w:color w:val="auto"/>
              </w:rPr>
            </w:pPr>
          </w:p>
        </w:tc>
        <w:tc>
          <w:tcPr>
            <w:tcW w:w="480" w:type="dxa"/>
            <w:vAlign w:val="bottom"/>
            <w:tcBorders>
              <w:bottom w:val="single" w:sz="8" w:color="auto"/>
            </w:tcBorders>
            <w:shd w:val="clear" w:color="auto" w:fill="CEF0FC"/>
          </w:tcPr>
          <w:p>
            <w:pPr>
              <w:spacing w:after="0"/>
              <w:rPr>
                <w:sz w:val="18"/>
                <w:szCs w:val="18"/>
                <w:color w:val="auto"/>
              </w:rPr>
            </w:pPr>
          </w:p>
        </w:tc>
        <w:tc>
          <w:tcPr>
            <w:tcW w:w="156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tcBorders>
              <w:bottom w:val="single" w:sz="8" w:color="CEF0FC"/>
            </w:tcBorders>
            <w:shd w:val="clear" w:color="auto" w:fill="CEF0FC"/>
          </w:tcPr>
          <w:p>
            <w:pPr>
              <w:spacing w:after="0"/>
              <w:rPr>
                <w:sz w:val="18"/>
                <w:szCs w:val="18"/>
                <w:color w:val="auto"/>
              </w:rPr>
            </w:pPr>
          </w:p>
        </w:tc>
        <w:tc>
          <w:tcPr>
            <w:tcW w:w="760" w:type="dxa"/>
            <w:vAlign w:val="bottom"/>
            <w:tcBorders>
              <w:bottom w:val="single" w:sz="8" w:color="auto"/>
            </w:tcBorders>
            <w:shd w:val="clear" w:color="auto" w:fill="CEF0FC"/>
          </w:tcPr>
          <w:p>
            <w:pPr>
              <w:spacing w:after="0"/>
              <w:rPr>
                <w:sz w:val="18"/>
                <w:szCs w:val="18"/>
                <w:color w:val="auto"/>
              </w:rPr>
            </w:pPr>
          </w:p>
        </w:tc>
        <w:tc>
          <w:tcPr>
            <w:tcW w:w="12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EF0FC"/>
            </w:tcBorders>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E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640" w:type="dxa"/>
            <w:vAlign w:val="bottom"/>
            <w:shd w:val="clear" w:color="auto" w:fill="CEF0FC"/>
          </w:tcPr>
          <w:p>
            <w:pPr>
              <w:spacing w:after="0"/>
              <w:rPr>
                <w:sz w:val="18"/>
                <w:szCs w:val="18"/>
                <w:color w:val="auto"/>
              </w:rPr>
            </w:pPr>
          </w:p>
        </w:tc>
        <w:tc>
          <w:tcPr>
            <w:tcW w:w="480" w:type="dxa"/>
            <w:vAlign w:val="bottom"/>
            <w:shd w:val="clear" w:color="auto" w:fill="CEF0FC"/>
          </w:tcPr>
          <w:p>
            <w:pPr>
              <w:spacing w:after="0"/>
              <w:rPr>
                <w:sz w:val="18"/>
                <w:szCs w:val="18"/>
                <w:color w:val="auto"/>
              </w:rPr>
            </w:pPr>
          </w:p>
        </w:tc>
        <w:tc>
          <w:tcPr>
            <w:tcW w:w="1560" w:type="dxa"/>
            <w:vAlign w:val="bottom"/>
            <w:shd w:val="clear" w:color="auto" w:fill="CEF0FC"/>
          </w:tcPr>
          <w:p>
            <w:pPr>
              <w:spacing w:after="0"/>
              <w:rPr>
                <w:sz w:val="18"/>
                <w:szCs w:val="18"/>
                <w:color w:val="auto"/>
              </w:rPr>
            </w:pPr>
          </w:p>
        </w:tc>
        <w:tc>
          <w:tcPr>
            <w:tcW w:w="32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E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640" w:type="dxa"/>
            <w:vAlign w:val="bottom"/>
            <w:shd w:val="clear" w:color="auto" w:fill="CEF0FC"/>
          </w:tcPr>
          <w:p>
            <w:pPr>
              <w:spacing w:after="0"/>
              <w:rPr>
                <w:sz w:val="18"/>
                <w:szCs w:val="18"/>
                <w:color w:val="auto"/>
              </w:rPr>
            </w:pPr>
          </w:p>
        </w:tc>
        <w:tc>
          <w:tcPr>
            <w:tcW w:w="480" w:type="dxa"/>
            <w:vAlign w:val="bottom"/>
            <w:shd w:val="clear" w:color="auto" w:fill="CEF0FC"/>
          </w:tcPr>
          <w:p>
            <w:pPr>
              <w:spacing w:after="0"/>
              <w:rPr>
                <w:sz w:val="18"/>
                <w:szCs w:val="18"/>
                <w:color w:val="auto"/>
              </w:rPr>
            </w:pPr>
          </w:p>
        </w:tc>
        <w:tc>
          <w:tcPr>
            <w:tcW w:w="1880" w:type="dxa"/>
            <w:vAlign w:val="bottom"/>
            <w:gridSpan w:val="2"/>
            <w:shd w:val="clear" w:color="auto" w:fill="CEF0FC"/>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EF0FC"/>
            </w:tcBorders>
          </w:tcPr>
          <w:p>
            <w:pPr>
              <w:spacing w:after="0"/>
              <w:rPr>
                <w:sz w:val="18"/>
                <w:szCs w:val="18"/>
                <w:color w:val="auto"/>
              </w:rPr>
            </w:pPr>
          </w:p>
        </w:tc>
        <w:tc>
          <w:tcPr>
            <w:tcW w:w="2640" w:type="dxa"/>
            <w:vAlign w:val="bottom"/>
            <w:tcBorders>
              <w:top w:val="single" w:sz="8" w:color="CE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tcBorders>
              <w:top w:val="single" w:sz="8" w:color="CEF0FC"/>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top w:val="single" w:sz="8" w:color="CE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EF0FC"/>
            </w:tcBorders>
            <w:shd w:val="clear" w:color="auto" w:fill="CE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40" w:type="dxa"/>
            <w:vAlign w:val="bottom"/>
            <w:tcBorders>
              <w:bottom w:val="single" w:sz="8" w:color="CEF0FC"/>
            </w:tcBorders>
            <w:shd w:val="clear" w:color="auto" w:fill="CEF0FC"/>
          </w:tcPr>
          <w:p>
            <w:pPr>
              <w:spacing w:after="0"/>
              <w:rPr>
                <w:sz w:val="21"/>
                <w:szCs w:val="21"/>
                <w:color w:val="auto"/>
              </w:rPr>
            </w:pPr>
          </w:p>
        </w:tc>
        <w:tc>
          <w:tcPr>
            <w:tcW w:w="480" w:type="dxa"/>
            <w:vAlign w:val="bottom"/>
            <w:tcBorders>
              <w:bottom w:val="single" w:sz="8" w:color="auto"/>
            </w:tcBorders>
            <w:shd w:val="clear" w:color="auto" w:fill="CE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20" w:type="dxa"/>
            <w:vAlign w:val="bottom"/>
            <w:tcBorders>
              <w:bottom w:val="single" w:sz="8" w:color="CEF0FC"/>
            </w:tcBorders>
            <w:shd w:val="clear" w:color="auto" w:fill="CEF0FC"/>
          </w:tcPr>
          <w:p>
            <w:pPr>
              <w:spacing w:after="0"/>
              <w:rPr>
                <w:sz w:val="21"/>
                <w:szCs w:val="21"/>
                <w:color w:val="auto"/>
              </w:rPr>
            </w:pPr>
          </w:p>
        </w:tc>
        <w:tc>
          <w:tcPr>
            <w:tcW w:w="760" w:type="dxa"/>
            <w:vAlign w:val="bottom"/>
            <w:tcBorders>
              <w:bottom w:val="single" w:sz="8" w:color="auto"/>
            </w:tcBorders>
            <w:shd w:val="clear" w:color="auto" w:fill="CE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EF0FC"/>
            </w:tcBorders>
            <w:shd w:val="clear" w:color="auto" w:fill="CE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-873760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of ASU No. 2023-09, as described in Note 2(r) above, the Company has elected to retrospectively adopt the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differed from the U.S. statutory corporate federal income tax rate of 21% for the years ended December 31, 2025 and 2024. A reconciliation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Tax on income before income taxes</w:t>
            </w:r>
          </w:p>
        </w:tc>
        <w:tc>
          <w:tcPr>
            <w:tcW w:w="980" w:type="dxa"/>
            <w:vAlign w:val="bottom"/>
            <w:gridSpan w:val="2"/>
          </w:tcPr>
          <w:p>
            <w:pPr>
              <w:jc w:val="right"/>
              <w:ind w:right="380"/>
              <w:spacing w:after="0" w:line="15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3,057</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tcPr>
          <w:p>
            <w:pPr>
              <w:jc w:val="right"/>
              <w:ind w:right="660"/>
              <w:spacing w:after="0" w:line="157"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1,957</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8"/>
        </w:trPr>
        <w:tc>
          <w:tcPr>
            <w:tcW w:w="4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Effect of state taxes (net of federal income tax effect)</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(1,053)</w:t>
            </w:r>
          </w:p>
        </w:tc>
        <w:tc>
          <w:tcPr>
            <w:tcW w:w="3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6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(2,304)</w:t>
            </w:r>
          </w:p>
        </w:tc>
        <w:tc>
          <w:tcPr>
            <w:tcW w:w="3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6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111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111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920" w:firstLine="8"/>
        <w:spacing w:after="0" w:line="497"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Florida and California made up the majority (greater than 50%) of the tax effect in this category. Components of deferred tax assets and liabilities consist of the following:</w:t>
      </w:r>
    </w:p>
    <w:tbl>
      <w:tblPr>
        <w:tblLayout w:type="fixed"/>
        <w:tblInd w:w="0" w:type="dxa"/>
        <w:tblCellMar>
          <w:top w:w="0" w:type="dxa"/>
          <w:left w:w="0" w:type="dxa"/>
          <w:bottom w:w="0" w:type="dxa"/>
          <w:right w:w="0" w:type="dxa"/>
        </w:tblCellMar>
      </w:tblPr>
      <w:tr>
        <w:trPr>
          <w:trHeight w:val="173"/>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9"/>
        </w:trPr>
        <w:tc>
          <w:tcPr>
            <w:tcW w:w="55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and others</w:t>
            </w:r>
          </w:p>
        </w:tc>
        <w:tc>
          <w:tcPr>
            <w:tcW w:w="1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Deferred tax liabilities:</w:t>
            </w:r>
          </w:p>
        </w:tc>
        <w:tc>
          <w:tcPr>
            <w:tcW w:w="38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taxes paid (net of refunds) consist of the following:</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6"/>
          </w:tcPr>
          <w:p>
            <w:pPr>
              <w:ind w:lef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gridSpan w:val="3"/>
            <w:shd w:val="clear" w:color="auto" w:fill="CE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shd w:val="clear" w:color="auto" w:fill="CE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Florida</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E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1220" w:type="dxa"/>
            <w:vAlign w:val="bottom"/>
            <w:shd w:val="clear" w:color="auto" w:fill="CE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states</w:t>
            </w: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EF0FC"/>
            </w:tcBorders>
            <w:gridSpan w:val="3"/>
            <w:shd w:val="clear" w:color="auto" w:fill="CE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EF0FC"/>
            </w:tcBorders>
            <w:shd w:val="clear" w:color="auto" w:fill="CEF0FC"/>
          </w:tcPr>
          <w:p>
            <w:pPr>
              <w:spacing w:after="0"/>
              <w:rPr>
                <w:sz w:val="21"/>
                <w:szCs w:val="21"/>
                <w:color w:val="auto"/>
              </w:rPr>
            </w:pPr>
          </w:p>
        </w:tc>
        <w:tc>
          <w:tcPr>
            <w:tcW w:w="260" w:type="dxa"/>
            <w:vAlign w:val="bottom"/>
            <w:tcBorders>
              <w:bottom w:val="single" w:sz="8" w:color="auto"/>
            </w:tcBorders>
            <w:shd w:val="clear" w:color="auto" w:fill="CE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tcBorders>
              <w:bottom w:val="single" w:sz="8" w:color="CEF0FC"/>
            </w:tcBorders>
            <w:gridSpan w:val="2"/>
            <w:shd w:val="clear" w:color="auto" w:fill="CEF0FC"/>
          </w:tcPr>
          <w:p>
            <w:pPr>
              <w:spacing w:after="0"/>
              <w:rPr>
                <w:sz w:val="21"/>
                <w:szCs w:val="21"/>
                <w:color w:val="auto"/>
              </w:rPr>
            </w:pPr>
          </w:p>
        </w:tc>
        <w:tc>
          <w:tcPr>
            <w:tcW w:w="260" w:type="dxa"/>
            <w:vAlign w:val="bottom"/>
            <w:tcBorders>
              <w:bottom w:val="single" w:sz="8" w:color="auto"/>
            </w:tcBorders>
            <w:shd w:val="clear" w:color="auto" w:fill="CE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EF0FC"/>
            </w:tcBorders>
            <w:shd w:val="clear" w:color="auto" w:fill="CE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-2348230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-1508125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gross federal and state net operating loss carryforwards of $14,371 and $12,249, respectively. Federal net operating losses have an indefinite life and do not expire. Certain state net operating losses of approximately $5,685 expire beginning in 2036 and the remaining could be carried forward indefinitely. As of December 31, 2025, the Company has $3,891 of research and development tax credits which begin to expire in 2041. The Company’s federal and state net operating losses, and research and development tax credits, are not subject to annual Section 382 limitations due to ownership changes that could impact the future realization.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December 31, 2025 was more likely than not.</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2025 and 2024.</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4, 2025, the OBBBA was enacted into law. The OBBBA makes permanent key elements of the Tax Cuts and Jobs Act, including the election for full expensing of domestic research and experimentation expenditures. Under ASC 740, the effects of changes in tax laws and rates on deferred tax balances are recognized in the period in which the legislation is enacted. The Company evaluated the impact of the OBBBA on its consolidated financial statements and concluded that it did not have a material impact.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20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number of authorized shares of common stock was 200,000,000, with a par value of $0.001 per share, of which, 14,151,350 and 13,936,329 shares of common stock were issued, respectively. The Company held no shares of treasury stock as of either date.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changes in the number of issued shares of common stock and treasury stock was due to the following factors:</w:t>
      </w:r>
    </w:p>
    <w:p>
      <w:pPr>
        <w:spacing w:after="0" w:line="121" w:lineRule="exact"/>
        <w:rPr>
          <w:sz w:val="20"/>
          <w:szCs w:val="20"/>
          <w:color w:val="auto"/>
        </w:rPr>
      </w:pPr>
    </w:p>
    <w:p>
      <w:pPr>
        <w:ind w:left="380" w:right="120" w:hanging="372"/>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395,690 shares of common stock were issued as a result of the vesting of RSUs, of which, 137,463 shares of common stock were withheld to pay withholding taxes upon such vesting, which were reflected in treasury stock, with a cost of $4,068. Related treasury stock of 137,463 shares was then retired during the year ended December 31, 2024.</w:t>
      </w:r>
    </w:p>
    <w:p>
      <w:pPr>
        <w:spacing w:after="0" w:line="148" w:lineRule="exact"/>
        <w:rPr>
          <w:rFonts w:ascii="Times New Roman" w:cs="Times New Roman" w:eastAsia="Times New Roman" w:hAnsi="Times New Roman"/>
          <w:sz w:val="18"/>
          <w:szCs w:val="18"/>
          <w:color w:val="auto"/>
        </w:rPr>
      </w:pPr>
    </w:p>
    <w:p>
      <w:pPr>
        <w:ind w:left="380" w:right="40" w:hanging="372"/>
        <w:spacing w:after="0" w:line="258"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repurchased 292,744 shares of common stock under the Stock Repurchase Program, as defined below, which was reflected in treasury stock, with a cost of $5,809. Related treasury stock of 302,172 shares, with a cost of $5,997, was retired during the year ended December 31, 2024, resulting in no treasury stock balance as of December 31, 2024. Among the total 292,744 shares of common stock repurchased, there were 200,000 shares of common stock repurchase by the Company from the Greater Miami Jewish Federation, Inc., a greater than 5% stockholder of the Company, at a price of $20.50 per share.</w:t>
      </w:r>
    </w:p>
    <w:p>
      <w:pPr>
        <w:spacing w:after="0" w:line="14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Stock Repurchase Program to repurchase the Company's common stock from time to time through open market purchases, privately negotiated transactions or other means, including through Rule 10b5-1 trading plans,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 On November 3, 2025, the Board of Directors further authorized the repurchase of an additional $15.0 million under the Stock Repurchase Program, bringing the total authorization to $30.0 million.</w:t>
      </w:r>
    </w:p>
    <w:p>
      <w:pPr>
        <w:spacing w:after="0" w:line="14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changes in the number of issued shares of common stock and treasury stock was due to the following factors:</w:t>
      </w:r>
    </w:p>
    <w:p>
      <w:pPr>
        <w:spacing w:after="0" w:line="135" w:lineRule="exact"/>
        <w:rPr>
          <w:sz w:val="20"/>
          <w:szCs w:val="20"/>
          <w:color w:val="auto"/>
        </w:rPr>
      </w:pPr>
    </w:p>
    <w:p>
      <w:pPr>
        <w:jc w:val="both"/>
        <w:ind w:left="380" w:right="360" w:hanging="372"/>
        <w:spacing w:after="0" w:line="266"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351,231 shares of common stock were issued as a result of the vesting of RSUs, of which, 115,773 shares of common stock were withheld to pay withholding taxes upon such vesting, which were reflected in treasury stock, with a cost of $6,044. All 115,773 shares of treasury stock were retired during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ind w:left="380" w:right="24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 repurchased 20,437 shares of common stock under the Stock Repurchase Program, which was reflected in treasury stock, with a cost of $915. All 20,437 shares of treasury stock were retired during the year ended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10,000,000 shares of preferred stock with par value of $0.001 per share authorized, and there were no shares of preferred stock issued or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3, 2024 (the "Declaration Date"), the Company declared a special cash dividend on its common stock of $0.30 per share (the “Dividend”) to shareholders of record as of January 31, 2025, and the aggregate amount of approximately $4.2 million was paid on February 14, 2025. Because the Company had an accumulated deficit as of the Declaration Date, the dividend was charged to additional paid-in capital, on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the sole stockholder of the Company prior to the Company’s spin-off from cogint on March 26, 2018 (the “Spin-off”), approved the Red Violet, Inc. 2018 Stock Incentive Plan, which became effective immediately prior to the Spin-off and was subsequently amended and restated (the “2018 Plan”). Initially, 3,000,000 shares of the Company's common stock were authorized for issuance under the 2018 Plan. On June 3, 2020 and May 25, 2022, the Company’s stockholders approved amendments to the 2018 Plan to increase the number of shares authorized for issuance to 4,500,000 shares and 6,500,000 shares, respectively. On June 10, 2025, the Company's stockholders approved an amendment and restatement of the 2018 Plan to, among other things, further increase the number of shares authorized for issuance from 6,500,000 shares to 7,500,000 shares.</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is to attract, retain, reward and motivate certain individuals by providing them with an opportunity to acquire or increase a proprietary interest in the Company and to incentivize them to contribute to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2,484,342 shares of common stock available for future issuance under the 2018 Plan.</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vest and settle upon the satisfaction of a time-based conditions or with both time- and performance-based conditions. Time-based conditions are generally satisfied over three or four years with annual vesting. Details of unvested RSU activity for the years ended December 31, 2025 and 2024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4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1,017,718</w:t>
            </w: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453,184</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(258,227)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(137,463)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(7,950)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(179,994)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887,268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(235,458)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(6,733)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769,227</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380" w:right="40" w:hanging="372"/>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Company granted 130,000 RSUs to one non-executive employee, subject to the 2024 Performance Criteria, as detailed below. In addition to these 130,000 RSUs, during the year ended December 31, 2024, the Company granted an aggregate of 323,184 RSUs to certain employees and directors at grant date fair values ranging from $17.00 to $37.97 per share, with vesting periods ranging from one to four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ind w:left="380" w:right="4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granted an aggregate of 293,530 RSUs to certain employees and directors at grant date fair values ranging from $34.18 to $55.20 per share, with a vesting period ranging from three to four years.</w:t>
      </w:r>
    </w:p>
    <w:p>
      <w:pPr>
        <w:spacing w:after="0" w:line="135"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9 for details.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not delivered represents RSUs that have been vested but the delivery of the common stock underlying such RSUs were deferred.</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March 18, 2024, the Company granted 130,000 RSUs to one non-executive employee, subject to performance-based vesting conditions, with a grant date fair value of $18.30 per share. The RSUs will vest only upon the achievement of specified revenue targets for a portion of the Company's business on or prior to December 31, 2030, the last achievement date deadline (the "2024 Performance Criteria"). Share-based compensation expense related to this grant of $426 and $252 was recognized for the years ended December 31, 2025 and 2024, respectively. No amortization of share-based compensation expense has been recognized for 70,000 RSUs from this grant because, as of December 31, 2025, the Company determined that it is not probable the 2024 Performance Criteria will be met in the future.</w:t>
      </w:r>
    </w:p>
    <w:p>
      <w:pPr>
        <w:spacing w:after="0" w:line="1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share-based compensation expense associated with the granted RSUs amounted to $21,263, which is expected to be recognized over a remaining weighted average period of 2.6 years.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consolidated financial statements for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764</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5,736</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6,500</w:t>
            </w: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1,599</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8,099</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leases an additional office space of 6,003 rentable square feet for its Seattle office in accordance with a non-cancellable operating lease agreement entered into in April 2017, which expired in March 2025. The extension options of such agreements were not included in the determination of the lease terms.</w:t>
      </w:r>
    </w:p>
    <w:p>
      <w:pPr>
        <w:spacing w:after="0" w:line="1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December 20, 2024, the Company entered into a new non-cancellable 80-month operating lease agreement for its new Seattle office space of 6,709 rentable square feet (the "New Seattle Lease Agreement"), with the lease commence date on May 1, 2025 (the "Commencement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a summary of the Company’s lease information is shown below:</w:t>
      </w:r>
    </w:p>
    <w:p>
      <w:pPr>
        <w:sectPr>
          <w:pgSz w:w="11900" w:h="16838" w:orient="portrait"/>
          <w:cols w:equalWidth="0" w:num="1">
            <w:col w:w="11240"/>
          </w:cols>
          <w:pgMar w:left="320" w:top="1161" w:right="339" w:bottom="1440" w:gutter="0" w:footer="0" w:header="0"/>
        </w:sect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new</w:t>
      </w:r>
    </w:p>
    <w:p>
      <w:pPr>
        <w:ind w:left="100"/>
        <w:spacing w:after="0" w:line="213" w:lineRule="auto"/>
        <w:rPr>
          <w:sz w:val="20"/>
          <w:szCs w:val="20"/>
          <w:color w:val="auto"/>
        </w:rPr>
      </w:pPr>
      <w:r>
        <w:rPr>
          <w:rFonts w:ascii="Times New Roman" w:cs="Times New Roman" w:eastAsia="Times New Roman" w:hAnsi="Times New Roman"/>
          <w:sz w:val="18"/>
          <w:szCs w:val="18"/>
          <w:color w:val="auto"/>
        </w:rPr>
        <w:t>operating lease liabilities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426"/>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432"/>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324"/>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-753745</wp:posOffset>
            </wp:positionV>
            <wp:extent cx="71323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-479425</wp:posOffset>
            </wp:positionV>
            <wp:extent cx="713232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-205105</wp:posOffset>
            </wp:positionV>
            <wp:extent cx="7132320" cy="2743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6420" w:space="720"/>
            <w:col w:w="4100"/>
          </w:cols>
          <w:pgMar w:left="320" w:top="1161" w:right="339" w:bottom="1440" w:gutter="0" w:footer="0" w:header="0"/>
          <w:type w:val="continuous"/>
        </w:sectPr>
      </w:pPr>
    </w:p>
    <w:p>
      <w:pPr>
        <w:jc w:val="both"/>
        <w:ind w:left="380" w:right="40" w:hanging="372"/>
        <w:spacing w:after="0" w:line="261"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Seattle Lease Agreement resulted in the recognition of $1,153 in right-of-use assets obtained in exchange for operating lease liabilities as of May 1, 2025. The Company applied a 6.0% discount rate, its estimated incremental borrowing rate for similar secured assets, to determine the present value of the lease payments, as the implicit rate in the lease is not readily determinable. The discount rate was based on information available as of the Commencement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6" w:name="page67"/>
    <w:bookmarkEnd w:id="66"/>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weighted average remaining operating lease term of the Company's operating leases was 4.6 years and 4.3 years, respectively, and the weighted average discount rate used to measure the operating lease liabilities was 8.23% and 9.94%,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scheduled future maturities and present value of the operating lease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95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maturities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Present value included in condensed consolidated balance sheet:</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Difference between the maturities and related present value of operating lease liabilities</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currently has one single operating and reporting segment, identity and information solutions, as defined by ASC 280, “Segment Reporting.” The Company adopted ASU 2023-07 as of December 31, 2024. The Company builds proprietary technologies and applies analytical capabilities to deliver identity intelligence. The solutions enable the real-time identification and location of people, businesses, assets, and their interrelationships, and are used for purposes including identity verification, risk mitigation, due diligence, fraud detection and prevention, regulatory compliance, and customer acquisition. The Company’s cloud-native, AI-enabled identity intelligence platform, CORE, is purpose-built for the enterprise, yet flexible enough for organizations of all sizes, bringing clarity to massive datasets by transforming data into intelligence. The Company generates substantially all of its revenue from licensing its solutions. Customers access the Company’s solutions through a hosted environment using an online interface, batch processing, API, and custom integrations. Revenue is generally recognized on (a) a transactional basis determined by the customers’ usage, (b) a monthly fee, or (c) a combination of both. The Company derives revenue all in the United States and manages the business activities on a consolidated basis. The technology used in the customer arrangements is based on a single software platform that is deployed to and implemented by customers in a similar manner.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(the “CODM”) is a group consisting of its Chief Executive Officer, President, and Chief Financial Officer.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of the identity and information solutions segment are the same as those described in the Summary of Significant Accounting Policies in Note 2. The CODM assesses performance for the identity and information solutions segment and decides how to allocate resources based on net income that also is reported on the statements of operations as consolidated net income. The measure of segment assets is reported on the balance sheet as total consolidated assets.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entity, to pursue acquisitions, or to pay dividends. Net income is used to monitor budget versus actual results. The monitoring of budgeted versus actual results is also used in assessing performance of the segment.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net income as the measure of segment profit, the CODM evaluates the financial performance of its business on a variety of key indicators, including non-GAAP metrics of adjusted EBITDA. Adjusted EBITDA is a non-GAAP financial measure equal to net income, the most directly comparable financial measure based on US GAAP, excluding interest income, income tax expense, depreciation and amortization, share-based compensation expense, litigation costs, and write-off of long-lived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segment net income, and significant segment expenses is shown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90,252</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8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marketing and agency expenses</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Professional fees</w:t>
            </w:r>
            <w:r>
              <w:rPr>
                <w:rFonts w:ascii="Times New Roman" w:cs="Times New Roman" w:eastAsia="Times New Roman" w:hAnsi="Times New Roman"/>
                <w:sz w:val="24"/>
                <w:szCs w:val="24"/>
                <w:color w:val="auto"/>
                <w:vertAlign w:val="superscript"/>
              </w:rPr>
              <w:t>(1)</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(1,420)</w:t>
            </w:r>
          </w:p>
        </w:tc>
        <w:tc>
          <w:tcPr>
            <w:tcW w:w="7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2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30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8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13,154</w:t>
            </w:r>
          </w:p>
        </w:tc>
        <w:tc>
          <w:tcPr>
            <w:tcW w:w="3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-334010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340" w:hanging="372"/>
        <w:spacing w:after="0" w:line="282" w:lineRule="auto"/>
        <w:tabs>
          <w:tab w:leader="none" w:pos="3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for the year ended December 31, 2025, include $358 of acquisition-related costs incurred in connection with the due diligence of potential strategic targets. Comparable acquisition-related costs were $7 for the year ended December 31, 2024.</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primarily travel and entertainments, write-off of long-lived assets, and other selling,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included within cost of revenue (exclusive depreciation and amortization), of $9,824 and $9,649 for the years ended December 31, 2025 and 2024, respectively, under certain data licensing agreements.</w:t>
      </w:r>
    </w:p>
    <w:p>
      <w:pPr>
        <w:spacing w:after="0" w:line="16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w:t>
      </w:r>
    </w:p>
    <w:p>
      <w:pPr>
        <w:spacing w:after="0" w:line="1" w:lineRule="exact"/>
        <w:rPr>
          <w:sz w:val="20"/>
          <w:szCs w:val="20"/>
          <w:color w:val="auto"/>
        </w:rPr>
      </w:pPr>
    </w:p>
    <w:p>
      <w:pPr>
        <w:ind w:right="240" w:firstLine="8"/>
        <w:spacing w:after="0" w:line="260"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as internal-use software costs within intangible assets when consumed in the development or enhancement of the Company’s internal-use software.</w:t>
      </w:r>
    </w:p>
    <w:p>
      <w:pPr>
        <w:spacing w:after="0" w:line="1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material capital commitments under certain data licensing agreements and the cloud service agreement amounted to $42,027, shown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4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Employment agreements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senior officers, mainly including its Chief Executive Officer, President, Chief Financial Officer and Chief Information Officer, which provide for compensation and certain other benefits and for severance payments under certain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 Contingency</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follows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not to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the matter was remanded back to the Superior Court of New Jersey, Law Division, Monmouth County by order dated November 21, 2024, where the Action is pending.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spacing w:after="0" w:line="16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may be involved in litigation from time to time in the ordinary course of business. The Company does not believe that the ultimate resolution of any such matter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January 9, 2026, the Company granted an aggregate of 832,690 RSUs to certain key executive officers under the 2018 Plan, subject to performance-based vesting conditions, with a grant-date fair value of $52.77 per share. The awards vest upon achievement of specified revenue and adjusted EBITDA margin targets over a trailing twelve-month period on or prior to March 31, 2030. Each recipient received three awards of increasing size tied to progressively higher revenue thresholds, subject to a consistent adjusted EBITDA margin requirement. In the event of a change of control, portions of the awards may vest based on enterprise value at the time of the transaction. Compensation expense for these awards will be recognized if and when the performance conditions are determined to be probable of achievement. No share-based compensation expense related to these awards was recognized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RED VIOLET, INC. STOCK INCENTIVE PLAN</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(“Agreement”) is made between Red Violet, Inc. (“Company”), a Delaware corporation and the participant included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1(b) below (the “Participant”). Capitalized terms not defined herein shall have the meaning ascribed thereto in the Amended and Restated 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Incentive Plan, as amended (the “Plan”). This Agreement shall be effective as of the date included in Section 1(a) below (“Effective Date”).</w:t>
      </w:r>
    </w:p>
    <w:p>
      <w:pPr>
        <w:spacing w:after="0" w:line="20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CONFIDENTIALITY: THE TERMS OF THIS AGREEMENT, INCLUDING, BUT NOT LIMITED TO, THE NUMBER OF SHARES AWARDED AND THE VESTING SCHEDULE, ARE CONFIDENTIAL AND SHALL NOT BE DISCLOSED BY THE PARTICIPANT TO ANY COMPANY EMPLOYEE OR CONTRACTOR.</w:t>
      </w:r>
    </w:p>
    <w:p>
      <w:pPr>
        <w:spacing w:after="0" w:line="171"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120" w:hanging="363"/>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January 9, 2026</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right="40" w:firstLine="757"/>
        <w:spacing w:after="0" w:line="261" w:lineRule="auto"/>
        <w:tabs>
          <w:tab w:leader="none" w:pos="11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Plan, the Company hereby grants to the Participant the right to receive the number of shares listed in Section 1(c) (the “Number of Shares Awarded”) of the Company’s Common Stock upon the satisfaction of certain conditions (the “Restricted Stock Units”). Shares of the Company’s Common Stock shall be issued only upon vesting of the Restricted Stock Units and only upon the satisfaction of the terms and conditions set forth herein and in the Plan (such shares shall be referred to hereafter as the “Award Stock”).</w:t>
      </w:r>
    </w:p>
    <w:p>
      <w:pPr>
        <w:spacing w:after="0" w:line="179" w:lineRule="exact"/>
        <w:rPr>
          <w:rFonts w:ascii="Times New Roman" w:cs="Times New Roman" w:eastAsia="Times New Roman" w:hAnsi="Times New Roman"/>
          <w:sz w:val="18"/>
          <w:szCs w:val="18"/>
          <w:color w:val="auto"/>
        </w:rPr>
      </w:pPr>
    </w:p>
    <w:p>
      <w:pPr>
        <w:jc w:val="both"/>
        <w:ind w:right="380" w:firstLine="757"/>
        <w:spacing w:after="0" w:line="266" w:lineRule="auto"/>
        <w:tabs>
          <w:tab w:leader="none" w:pos="11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Incorporated</w:t>
      </w:r>
      <w:r>
        <w:rPr>
          <w:rFonts w:ascii="Times New Roman" w:cs="Times New Roman" w:eastAsia="Times New Roman" w:hAnsi="Times New Roman"/>
          <w:sz w:val="18"/>
          <w:szCs w:val="18"/>
          <w:color w:val="auto"/>
        </w:rPr>
        <w:t>. Participant acknowledges receipt of a copy of the Plan, and agrees that this award of Restricted Stock Units shall be subject to all of the terms and conditions set forth in the Plan, including future amendments thereto, if any, pursuant to the terms thereof, which Plan is incorporated herein by reference as a part of this Agreement.</w:t>
      </w:r>
    </w:p>
    <w:p>
      <w:pPr>
        <w:spacing w:after="0" w:line="172" w:lineRule="exact"/>
        <w:rPr>
          <w:sz w:val="20"/>
          <w:szCs w:val="20"/>
          <w:color w:val="auto"/>
        </w:rPr>
      </w:pPr>
    </w:p>
    <w:p>
      <w:pPr>
        <w:ind w:left="1120" w:hanging="363"/>
        <w:spacing w:after="0"/>
        <w:tabs>
          <w:tab w:leader="none" w:pos="11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Participant hereby accepts the Restricted Stock Units when issued and agrees as follows:</w:t>
      </w:r>
    </w:p>
    <w:p>
      <w:pPr>
        <w:spacing w:after="0" w:line="256" w:lineRule="exact"/>
        <w:rPr>
          <w:sz w:val="20"/>
          <w:szCs w:val="20"/>
          <w:color w:val="auto"/>
        </w:rPr>
      </w:pPr>
    </w:p>
    <w:p>
      <w:pPr>
        <w:ind w:right="100" w:firstLine="757"/>
        <w:spacing w:after="0" w:line="245"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Except as otherwise provided for in the Plan, the Employment Agreement (as hereinafter defined), and this Agreement, the Restricted Stock Units shall not vest unless the Participant continues to provide services to the Company either as an employee, director or consultant on the last date of the month that the Performance Criteria is met, and until the Company has, for any period in which the Restricted Stock Units are outstanding but on or before March 31, 2030, achieved both of the following: (i) "gross revenue" (determined in accordance with GAAP and consistent with the Company's past practice) in excess of $[***] during a rolling 12-month period, and (ii) positive adjusted EBITDA Margin equal to or greater than [***]%, as determined consistent with the Company’s past practice (collectively, (i-ii), the “Performance Criteria”).</w:t>
      </w:r>
    </w:p>
    <w:p>
      <w:pPr>
        <w:spacing w:after="0" w:line="19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Other Service;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80" w:firstLine="1505"/>
        <w:spacing w:after="0" w:line="282" w:lineRule="auto"/>
        <w:tabs>
          <w:tab w:leader="none" w:pos="18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in this Agreement, if Participant’s employment or other service with the Company terminates, all Restricted Stock Units unvested at the time of termination shall expire and be forfeited immediately and returned to the Company.</w:t>
      </w:r>
    </w:p>
    <w:p>
      <w:pPr>
        <w:spacing w:after="0" w:line="161" w:lineRule="exact"/>
        <w:rPr>
          <w:rFonts w:ascii="Times New Roman" w:cs="Times New Roman" w:eastAsia="Times New Roman" w:hAnsi="Times New Roman"/>
          <w:sz w:val="18"/>
          <w:szCs w:val="18"/>
          <w:color w:val="auto"/>
        </w:rPr>
      </w:pPr>
    </w:p>
    <w:p>
      <w:pPr>
        <w:ind w:right="120" w:firstLine="1505"/>
        <w:spacing w:after="0" w:line="282" w:lineRule="auto"/>
        <w:tabs>
          <w:tab w:leader="none" w:pos="18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In the event that the Participant dies while in the employment or other service of the Company, all Restricted Stock Units which have not vested on the date of death shall immediately vest.</w:t>
      </w:r>
    </w:p>
    <w:p>
      <w:pPr>
        <w:spacing w:after="0" w:line="161" w:lineRule="exact"/>
        <w:rPr>
          <w:rFonts w:ascii="Times New Roman" w:cs="Times New Roman" w:eastAsia="Times New Roman" w:hAnsi="Times New Roman"/>
          <w:sz w:val="18"/>
          <w:szCs w:val="18"/>
          <w:color w:val="auto"/>
        </w:rPr>
      </w:pPr>
    </w:p>
    <w:p>
      <w:pPr>
        <w:ind w:right="540" w:firstLine="1505"/>
        <w:spacing w:after="0" w:line="266" w:lineRule="auto"/>
        <w:tabs>
          <w:tab w:leader="none" w:pos="18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that the Participant’s employment or other service with the Company is terminated by reason of Disability, the Committee may, in its sole discretion, provide that Restricted Stock Units which have not vested on the date of such termination shall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0" w:name="page71"/>
    <w:bookmarkEnd w:id="70"/>
    <w:p>
      <w:pPr>
        <w:ind w:left="-40" w:right="360" w:firstLine="1505"/>
        <w:spacing w:after="0" w:line="282" w:lineRule="auto"/>
        <w:tabs>
          <w:tab w:leader="none" w:pos="18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In the event of a Change in Control, all Restricted Stock Units which have not vested on the date of such Change in Control shall vest in accordance with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40" w:right="680" w:firstLine="757"/>
        <w:spacing w:after="0" w:line="282" w:lineRule="auto"/>
        <w:tabs>
          <w:tab w:leader="none" w:pos="10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Restricted Stock Units may not be sold, assigned, pledged, exchanged, hypothecated or otherwise transferred, encumbered or disposed of unless the Plan so provides.</w:t>
      </w:r>
    </w:p>
    <w:p>
      <w:pPr>
        <w:spacing w:after="0" w:line="161" w:lineRule="exact"/>
        <w:rPr>
          <w:rFonts w:ascii="Times New Roman" w:cs="Times New Roman" w:eastAsia="Times New Roman" w:hAnsi="Times New Roman"/>
          <w:sz w:val="18"/>
          <w:szCs w:val="18"/>
          <w:color w:val="auto"/>
        </w:rPr>
      </w:pPr>
    </w:p>
    <w:p>
      <w:pPr>
        <w:ind w:left="-40" w:right="20" w:firstLine="757"/>
        <w:spacing w:after="0" w:line="253" w:lineRule="auto"/>
        <w:tabs>
          <w:tab w:leader="none" w:pos="10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Within 10 business days of the Company determining it has satisfied the Performance Criteria, the Company’s CFO shall provide a certification to the Company’s Compensation Committee (the “CFO Certification") that the Performance Criteria have been met and the name of each employee, director or consultant as of the last day of the prior month who have equity awards subject to the Performance Criteria. The Company shall, deliver a certificate evidencing shares of Award Stock to the Participant, direct its transfer agent to register such shares in book entry form or directly to the Participant consistent with applicable laws. Notwithstanding the foregoing, if some or all of the Restricted Stock Units vest due to: (i) a Change in Control, the certificate evidencing such shares of Award Stock shall be delivered immediately upon the Change in Control, or (ii) a termination of employment due to death or Disability, the certificate evidencing such shares of Award Stock shall be delivered within thirty (30) days following such termination of employment. For the avoidance of doubt, except in the event of an earlier death under Section 2(b)(ii), Disability under 2(b)(iii), or a Change in Control under 2(b)(iv) of this Agreement, the Company must achieve the Performance Criteria no later than March 31, 2030 to vest in the shares of the Award Stock under this Agreement.</w:t>
      </w:r>
    </w:p>
    <w:p>
      <w:pPr>
        <w:spacing w:after="0" w:line="190" w:lineRule="exact"/>
        <w:rPr>
          <w:sz w:val="20"/>
          <w:szCs w:val="20"/>
          <w:color w:val="auto"/>
        </w:rPr>
      </w:pPr>
    </w:p>
    <w:p>
      <w:pPr>
        <w:ind w:left="-40" w:right="80" w:firstLine="757"/>
        <w:spacing w:after="0" w:line="286" w:lineRule="auto"/>
        <w:tabs>
          <w:tab w:leader="none" w:pos="106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To the extent that this Award or the delivery of any Award Stock causes the Participant to be subject to any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the Participant shall meet such obligations as provided for in the Plan.</w:t>
      </w:r>
    </w:p>
    <w:p>
      <w:pPr>
        <w:spacing w:after="0" w:line="154" w:lineRule="exact"/>
        <w:rPr>
          <w:rFonts w:ascii="Times New Roman" w:cs="Times New Roman" w:eastAsia="Times New Roman" w:hAnsi="Times New Roman"/>
          <w:sz w:val="18"/>
          <w:szCs w:val="18"/>
          <w:b w:val="1"/>
          <w:bCs w:val="1"/>
          <w:color w:val="auto"/>
        </w:rPr>
      </w:pPr>
    </w:p>
    <w:p>
      <w:pPr>
        <w:ind w:left="-40" w:right="520" w:firstLine="757"/>
        <w:spacing w:after="0" w:line="286" w:lineRule="auto"/>
        <w:tabs>
          <w:tab w:leader="none" w:pos="106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Status as a Shareholder</w:t>
      </w:r>
      <w:r>
        <w:rPr>
          <w:rFonts w:ascii="Times New Roman" w:cs="Times New Roman" w:eastAsia="Times New Roman" w:hAnsi="Times New Roman"/>
          <w:sz w:val="18"/>
          <w:szCs w:val="18"/>
          <w:color w:val="auto"/>
        </w:rPr>
        <w:t>. Unless otherwise provided in the Plan, Participant shall have no rights of a shareholder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until the Award Stock is issued to him or her pursuant to Section 2 above.</w:t>
      </w:r>
    </w:p>
    <w:p>
      <w:pPr>
        <w:spacing w:after="0" w:line="154" w:lineRule="exact"/>
        <w:rPr>
          <w:rFonts w:ascii="Times New Roman" w:cs="Times New Roman" w:eastAsia="Times New Roman" w:hAnsi="Times New Roman"/>
          <w:sz w:val="18"/>
          <w:szCs w:val="18"/>
          <w:b w:val="1"/>
          <w:bCs w:val="1"/>
          <w:color w:val="auto"/>
        </w:rPr>
      </w:pPr>
    </w:p>
    <w:p>
      <w:pPr>
        <w:ind w:left="-40" w:right="40" w:firstLine="757"/>
        <w:spacing w:after="0" w:line="262" w:lineRule="auto"/>
        <w:tabs>
          <w:tab w:leader="none" w:pos="106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Committee’s Powers</w:t>
      </w:r>
      <w:r>
        <w:rPr>
          <w:rFonts w:ascii="Times New Roman" w:cs="Times New Roman" w:eastAsia="Times New Roman" w:hAnsi="Times New Roman"/>
          <w:sz w:val="18"/>
          <w:szCs w:val="18"/>
          <w:color w:val="auto"/>
        </w:rPr>
        <w:t>. No provision contained in this Agreement shall in any way terminate, modify or alter, or be construed or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terminating, modifying or altering any of the powers, rights or authority vested in the Committee or, to the extent delegated, in its delegate pursuant to the terms of the Plan or resolutions adopted in furtherance of the Plan, including, without limitation, the right to make certain determinations and elections with respect to the Restricted Stock Units.</w:t>
      </w:r>
    </w:p>
    <w:p>
      <w:pPr>
        <w:spacing w:after="0" w:line="176" w:lineRule="exact"/>
        <w:rPr>
          <w:rFonts w:ascii="Times New Roman" w:cs="Times New Roman" w:eastAsia="Times New Roman" w:hAnsi="Times New Roman"/>
          <w:sz w:val="18"/>
          <w:szCs w:val="18"/>
          <w:b w:val="1"/>
          <w:bCs w:val="1"/>
          <w:color w:val="auto"/>
        </w:rPr>
      </w:pPr>
    </w:p>
    <w:p>
      <w:pPr>
        <w:ind w:left="-40" w:right="100" w:firstLine="757"/>
        <w:spacing w:after="0" w:line="286" w:lineRule="auto"/>
        <w:tabs>
          <w:tab w:leader="none" w:pos="106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any successors to the Company and all persons lawfully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claiming under Participant.</w:t>
      </w:r>
    </w:p>
    <w:p>
      <w:pPr>
        <w:spacing w:after="0" w:line="154" w:lineRule="exact"/>
        <w:rPr>
          <w:rFonts w:ascii="Times New Roman" w:cs="Times New Roman" w:eastAsia="Times New Roman" w:hAnsi="Times New Roman"/>
          <w:sz w:val="18"/>
          <w:szCs w:val="18"/>
          <w:b w:val="1"/>
          <w:bCs w:val="1"/>
          <w:color w:val="auto"/>
        </w:rPr>
      </w:pPr>
    </w:p>
    <w:p>
      <w:pPr>
        <w:ind w:left="1080" w:hanging="363"/>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w:t>
      </w:r>
    </w:p>
    <w:p>
      <w:pPr>
        <w:spacing w:after="0" w:line="225" w:lineRule="exact"/>
        <w:rPr>
          <w:rFonts w:ascii="Times New Roman" w:cs="Times New Roman" w:eastAsia="Times New Roman" w:hAnsi="Times New Roman"/>
          <w:sz w:val="18"/>
          <w:szCs w:val="18"/>
          <w:b w:val="1"/>
          <w:bCs w:val="1"/>
          <w:color w:val="auto"/>
        </w:rPr>
      </w:pPr>
    </w:p>
    <w:p>
      <w:pPr>
        <w:ind w:left="1080" w:hanging="363"/>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firstLine="757"/>
        <w:spacing w:after="0" w:line="255" w:lineRule="auto"/>
        <w:tabs>
          <w:tab w:leader="none" w:pos="10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Plan and Other Agreements Control</w:t>
      </w:r>
      <w:r>
        <w:rPr>
          <w:rFonts w:ascii="Times New Roman" w:cs="Times New Roman" w:eastAsia="Times New Roman" w:hAnsi="Times New Roman"/>
          <w:sz w:val="18"/>
          <w:szCs w:val="18"/>
          <w:color w:val="auto"/>
        </w:rPr>
        <w:t>. This Agreement is subject to all the terms, conditions and provisions of the Plan, including, without limitation, the amendment provisions thereof, and to such rules, regulations and interpretations relating to the Plan as may be adopted by the Board and as may be in effect from time to time. The Plan is incorporated herein by reference. If and to the extent that this Agreement conflicts or is inconsistent with the terms, conditions and provisions of the Plan, the Plan shall control, and this Agreement shall be deemed to be modified accordingly. Notwithstanding the foregoing, except with respect to the vesting conditions outlined in Section 2(b)(iv) and Exhibit A of this Agreement, in the event of any conflict between the terms of this Agreement and the terms of the Employment Agreement between the Company and the Participant dated _____, as amended (the “Employment Agreement”), the terms of the Employment Agreement shall prevail.</w:t>
      </w:r>
    </w:p>
    <w:p>
      <w:pPr>
        <w:spacing w:after="0" w:line="147" w:lineRule="exact"/>
        <w:rPr>
          <w:rFonts w:ascii="Times New Roman" w:cs="Times New Roman" w:eastAsia="Times New Roman" w:hAnsi="Times New Roman"/>
          <w:sz w:val="18"/>
          <w:szCs w:val="18"/>
          <w:color w:val="auto"/>
        </w:rPr>
      </w:pPr>
    </w:p>
    <w:p>
      <w:pPr>
        <w:ind w:left="-40" w:right="420" w:firstLine="757"/>
        <w:spacing w:after="0" w:line="245" w:lineRule="exact"/>
        <w:tabs>
          <w:tab w:leader="none" w:pos="10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Party Beneficiaries</w:t>
      </w:r>
      <w:r>
        <w:rPr>
          <w:rFonts w:ascii="Times New Roman" w:cs="Times New Roman" w:eastAsia="Times New Roman" w:hAnsi="Times New Roman"/>
          <w:sz w:val="18"/>
          <w:szCs w:val="18"/>
          <w:color w:val="auto"/>
        </w:rPr>
        <w:t>. This Agreement shall not confer any rights or remedies upon any person other than the parties and their respective successors and permitted assigns.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690245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12" w:right="359" w:bottom="1440" w:gutter="0" w:footer="0" w:header="0"/>
        </w:sectPr>
      </w:pPr>
    </w:p>
    <w:bookmarkStart w:id="71" w:name="page72"/>
    <w:bookmarkEnd w:id="71"/>
    <w:p>
      <w:pPr>
        <w:ind w:left="-40" w:firstLine="757"/>
        <w:spacing w:after="0" w:line="251" w:lineRule="auto"/>
        <w:tabs>
          <w:tab w:leader="none" w:pos="10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It is intended that all compensation payable pursuant to this Agreement are exempt from or, alternatively, comply with Section 409A of the Code (and any legally binding guidance promulgated under Section 409A of the Code, including, without limitation, the Final Treasury Regulations) ("Code Section 409A"), and this Agreement will be interpreted, administered and operated accordingly. In the event that any provision of this Agreement is inconsistent with Code Section 409A or such guidance, then the applicable provisions of Code Section 409A shall supersede such inconsistent provision. Notwithstanding the foregoing, in no event will any of Company, its parent, or their respective subsidiaries, affiliates, or officers, directors, employees, or agents have any liability for failure of the form or operation of this Agreement to be exempt from or comply with Code Section 409A and none of the foregoing guarantees that the form or operation of this Agreement is exempt from or complies with Code Section 409A. For all purposes under Code Section 409A, Participant's right to receive any payments pursuant to this Agreement shall be treated as a right to receive a separate and distinct payment, and any payments to be made in installments shall be deemed to be a series of separate payments. Whenever a payment under this Agreement specifies a payment period with reference to a number of days, the actual date of payment within the specified period shall be within the sole discretion of Company. A termination of employment under this Agreement shall mean a “separation from service” under Code Section 409A. Notwithstanding any provisions of the Agreement to the contrary, to the extent the that Code Section 409A would cause an adverse tax consequence to the Participant, a Change in Control shall not be deemed to occur for purposes of this Agreement unless the Change in Control meets the definition ascribed to the phrase “Change in the Ownership or Effective Control of a Corporation or in the Ownership of a Substantial Portion of the Assets of a Corporation” under Treasury Department Regulation 1.409A-3(i)(5), as revised from time to time in either subsequent regulations or other guidance. Notwithstanding any other provision of this Agreement, if at the time of the Participant's termination of employment or service, the Participant is a "specified employee," determined in accordance with Code Section 409A, any payments and benefits provided under this Agreement that constitute "nonqualified deferred compensation" subject to Code Section 409A that are provided to the Participant on account of a separation from service shall not be paid until the first payroll date to occur following the six-month anniversary of the Participant's termination date ("Specified Employee Payment Date"). The aggregate amount of any payments that would otherwise have been made during such six-month period shall be paid in a lump sum on the Specified Employee Payment Date without interest and thereafter, any remaining payments shall be paid without delay in accordance with their original schedule. If the Participant dies before the Specified Employee Payment Date, any delayed payments shall be paid to the Participant's estate in a lump sum within 30 days of the Participant's death.</w:t>
      </w:r>
    </w:p>
    <w:p>
      <w:pPr>
        <w:spacing w:after="0" w:line="205" w:lineRule="exact"/>
        <w:rPr>
          <w:rFonts w:ascii="Times New Roman" w:cs="Times New Roman" w:eastAsia="Times New Roman" w:hAnsi="Times New Roman"/>
          <w:sz w:val="18"/>
          <w:szCs w:val="18"/>
          <w:color w:val="auto"/>
        </w:rPr>
      </w:pPr>
    </w:p>
    <w:p>
      <w:pPr>
        <w:ind w:left="-40" w:right="160" w:firstLine="757"/>
        <w:spacing w:after="0" w:line="261" w:lineRule="auto"/>
        <w:tabs>
          <w:tab w:leader="none" w:pos="10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(including the documents and exhibits referred to herein) and the Plan constitutes the entire agreement among the parties and supersedes any prior understandings, agreements, or representations by or among the parties, written or oral, that may have related in any way to the subject matter hereof. This Agreement may not be amended, supplemented, or modified in whole or in part except by an instrument in writing signed by the party or parties against whom enforcement of any such amendment, supplement, or modification is sought.</w:t>
      </w:r>
    </w:p>
    <w:p>
      <w:pPr>
        <w:spacing w:after="0" w:line="179" w:lineRule="exact"/>
        <w:rPr>
          <w:rFonts w:ascii="Times New Roman" w:cs="Times New Roman" w:eastAsia="Times New Roman" w:hAnsi="Times New Roman"/>
          <w:sz w:val="18"/>
          <w:szCs w:val="18"/>
          <w:color w:val="auto"/>
        </w:rPr>
      </w:pPr>
    </w:p>
    <w:p>
      <w:pPr>
        <w:ind w:left="-40" w:right="320" w:firstLine="757"/>
        <w:spacing w:after="0" w:line="282" w:lineRule="auto"/>
        <w:tabs>
          <w:tab w:leader="none" w:pos="10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will be deemed an original and all of which together will constitute one and the same instrument.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690245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12" w:right="359" w:bottom="1440" w:gutter="0" w:footer="0" w:header="0"/>
        </w:sectPr>
      </w:pPr>
    </w:p>
    <w:bookmarkStart w:id="72" w:name="page73"/>
    <w:bookmarkEnd w:id="72"/>
    <w:p>
      <w:pPr>
        <w:spacing w:after="0" w:line="136"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Agreement to be duly executed by an officer thereunto duly authorized, and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executed this Agreement, all as of the date first above written.</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-7620</wp:posOffset>
            </wp:positionV>
            <wp:extent cx="9772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January 9,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w:t>
        <w:tab/>
        <w:t>]</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Date: January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 PRSU Agreement Dated 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VESTING ON CHANGE IN CONTROL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Change in Control, all Restricted Stock Units which have not vested on the date of such Change in Control shall vest as follows:</w:t>
      </w:r>
    </w:p>
    <w:p>
      <w:pPr>
        <w:spacing w:after="0" w:line="225" w:lineRule="exact"/>
        <w:rPr>
          <w:sz w:val="20"/>
          <w:szCs w:val="20"/>
          <w:color w:val="auto"/>
        </w:rPr>
      </w:pPr>
    </w:p>
    <w:p>
      <w:pPr>
        <w:ind w:left="840" w:hanging="368"/>
        <w:spacing w:after="0" w:line="266"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 Change in Control and the enterprise value is $[***] or more but less than $[***], [***]% of the Restricted Stock Units which have not vested on the date of the consummation of such Change in Control shall immediately vest (and the remaining unvested Restricted Stock Units shall be automatically forfeited);</w:t>
      </w:r>
    </w:p>
    <w:p>
      <w:pPr>
        <w:spacing w:after="0" w:line="67" w:lineRule="exact"/>
        <w:rPr>
          <w:rFonts w:ascii="Times New Roman" w:cs="Times New Roman" w:eastAsia="Times New Roman" w:hAnsi="Times New Roman"/>
          <w:sz w:val="18"/>
          <w:szCs w:val="18"/>
          <w:color w:val="auto"/>
        </w:rPr>
      </w:pPr>
    </w:p>
    <w:p>
      <w:pPr>
        <w:ind w:left="840" w:hanging="368"/>
        <w:spacing w:after="0" w:line="266"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 Change in Control and the enterprise value is $[***] or more but less than $[***], [***]% of the Restricted Stock Units which have not vested on the date of the consummation of such Change in Control shall immediately vest (and the remaining unvested Restricted Stock Units shall be automatically forfeited);</w:t>
      </w:r>
    </w:p>
    <w:p>
      <w:pPr>
        <w:spacing w:after="0" w:line="67" w:lineRule="exact"/>
        <w:rPr>
          <w:rFonts w:ascii="Times New Roman" w:cs="Times New Roman" w:eastAsia="Times New Roman" w:hAnsi="Times New Roman"/>
          <w:sz w:val="18"/>
          <w:szCs w:val="18"/>
          <w:color w:val="auto"/>
        </w:rPr>
      </w:pPr>
    </w:p>
    <w:p>
      <w:pPr>
        <w:ind w:left="840" w:hanging="368"/>
        <w:spacing w:after="0" w:line="266"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 Change in Control and the enterprise value is $[***] or more but less than $[***], [***]% of the Restricted Stock Units which have not vested on the date of the consummation of such Change in Control shall immediately vest (and the remaining unvested Restricted Stock Units shall be automatically forfeited); or</w:t>
      </w:r>
    </w:p>
    <w:p>
      <w:pPr>
        <w:spacing w:after="0" w:line="67" w:lineRule="exact"/>
        <w:rPr>
          <w:rFonts w:ascii="Times New Roman" w:cs="Times New Roman" w:eastAsia="Times New Roman" w:hAnsi="Times New Roman"/>
          <w:sz w:val="18"/>
          <w:szCs w:val="18"/>
          <w:color w:val="auto"/>
        </w:rPr>
      </w:pPr>
    </w:p>
    <w:p>
      <w:pPr>
        <w:ind w:left="840" w:right="180" w:hanging="368"/>
        <w:spacing w:after="0" w:line="282"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 Change in Control and the enterprise value is $[***] or more, [***]% of the Restricted Stock Units which have not vested on the date of the consummation of such Change in Control shall immediately vest.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68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36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91"/>
        </w:trPr>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IDI Holdings, LLC</w:t>
            </w: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Interactive Data,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Red Violet Technologies,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IDI Verified,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Forewarn,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Red Violet Blockchain and Analytical Solutions,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Whoodle, LLC</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HolSol, LLC</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627"/>
        </w:trPr>
        <w:tc>
          <w:tcPr>
            <w:tcW w:w="4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4, 2026, with respect to the consolidated financial statements included in the Annual Report of Red Violet, Inc. on Form 10-K for the year ended December 31, 2025. We consent to the incorporation by reference of said report in the Registration Statements of Red Violet, Inc. on Form S-3 (File No. 333-291649) and on Form S-8 (File No. 333-224147, File No. 333-238947, File No. 333-265289, and File No. 333-288563).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900" w:hanging="359"/>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14"/>
        <w:spacing w:after="0" w:line="312" w:lineRule="auto"/>
        <w:tabs>
          <w:tab w:leader="none" w:pos="139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73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3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9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900" w:hanging="359"/>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14"/>
        <w:spacing w:after="0" w:line="312" w:lineRule="auto"/>
        <w:tabs>
          <w:tab w:leader="none" w:pos="139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73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9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2025,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20" w:hanging="479"/>
        <w:spacing w:after="0" w:line="282" w:lineRule="auto"/>
        <w:tabs>
          <w:tab w:leader="none" w:pos="8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73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3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29"/>
        </w:trPr>
        <w:tc>
          <w:tcPr>
            <w:tcW w:w="39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6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2025,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20" w:hanging="479"/>
        <w:spacing w:after="0" w:line="282" w:lineRule="auto"/>
        <w:tabs>
          <w:tab w:leader="none" w:pos="8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4, 2026</w:t>
            </w:r>
          </w:p>
        </w:tc>
        <w:tc>
          <w:tcPr>
            <w:tcW w:w="73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3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3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Letter"/>
      <w:start w:val="17"/>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lowerRoman"/>
      <w:start w:val="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lowerLetter"/>
      <w:start w:val="1"/>
    </w:lvl>
    <w:lvl w:ilvl="1">
      <w:lvlJc w:val="left"/>
      <w:lvlText w:val="(%2)"/>
      <w:numFmt w:val="lowerRoman"/>
      <w:start w:val="1"/>
    </w:lvl>
  </w:abstractNum>
  <w:abstractNum w:abstractNumId="50">
    <w:nsid w:val="649BB77C"/>
    <w:multiLevelType w:val="hybridMultilevel"/>
    <w:lvl w:ilvl="0">
      <w:lvlJc w:val="left"/>
      <w:lvlText w:val="%1"/>
      <w:numFmt w:val="lowerLetter"/>
      <w:start w:val="1"/>
    </w:lvl>
    <w:lvl w:ilvl="1">
      <w:lvlJc w:val="left"/>
      <w:lvlText w:val="(%2)"/>
      <w:numFmt w:val="lowerRoman"/>
      <w:start w:val="4"/>
    </w:lvl>
  </w:abstractNum>
  <w:abstractNum w:abstractNumId="51">
    <w:nsid w:val="275AC794"/>
    <w:multiLevelType w:val="hybridMultilevel"/>
    <w:lvl w:ilvl="0">
      <w:lvlJc w:val="left"/>
      <w:lvlText w:val="(%1)"/>
      <w:numFmt w:val="lowerLetter"/>
      <w:start w:val="3"/>
    </w:lvl>
    <w:lvl w:ilvl="1">
      <w:lvlJc w:val="left"/>
      <w:lvlText w:val="%2"/>
      <w:numFmt w:val="lowerRoman"/>
      <w:start w:val="1"/>
    </w:lvl>
  </w:abstractNum>
  <w:abstractNum w:abstractNumId="52">
    <w:nsid w:val="39386575"/>
    <w:multiLevelType w:val="hybridMultilevel"/>
    <w:lvl w:ilvl="0">
      <w:lvlJc w:val="left"/>
      <w:lvlText w:val="%1."/>
      <w:numFmt w:val="decimal"/>
      <w:start w:val="3"/>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3"/>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49"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0" Type="http://schemas.openxmlformats.org/officeDocument/2006/relationships/image" Target="media/image428.png"/><Relationship Id="rId471" Type="http://schemas.openxmlformats.org/officeDocument/2006/relationships/image" Target="media/image429.pn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pn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png"/><Relationship Id="rId479" Type="http://schemas.openxmlformats.org/officeDocument/2006/relationships/image" Target="media/image437.png"/><Relationship Id="rId480"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484" Type="http://schemas.openxmlformats.org/officeDocument/2006/relationships/image" Target="media/image442.png"/><Relationship Id="rId485" Type="http://schemas.openxmlformats.org/officeDocument/2006/relationships/image" Target="media/image443.png"/><Relationship Id="rId486" Type="http://schemas.openxmlformats.org/officeDocument/2006/relationships/image" Target="media/image444.png"/><Relationship Id="rId487" Type="http://schemas.openxmlformats.org/officeDocument/2006/relationships/image" Target="media/image445.png"/><Relationship Id="rId488" Type="http://schemas.openxmlformats.org/officeDocument/2006/relationships/image" Target="media/image446.png"/><Relationship Id="rId489" Type="http://schemas.openxmlformats.org/officeDocument/2006/relationships/image" Target="media/image447.png"/><Relationship Id="rId490" Type="http://schemas.openxmlformats.org/officeDocument/2006/relationships/image" Target="media/image448.png"/><Relationship Id="rId491" Type="http://schemas.openxmlformats.org/officeDocument/2006/relationships/image" Target="media/image449.png"/><Relationship Id="rId492" Type="http://schemas.openxmlformats.org/officeDocument/2006/relationships/image" Target="media/image450.png"/><Relationship Id="rId493" Type="http://schemas.openxmlformats.org/officeDocument/2006/relationships/image" Target="media/image451.png"/><Relationship Id="rId494" Type="http://schemas.openxmlformats.org/officeDocument/2006/relationships/image" Target="media/image452.png"/><Relationship Id="rId495" Type="http://schemas.openxmlformats.org/officeDocument/2006/relationships/image" Target="media/image453.png"/><Relationship Id="rId496" Type="http://schemas.openxmlformats.org/officeDocument/2006/relationships/image" Target="media/image454.png"/><Relationship Id="rId497" Type="http://schemas.openxmlformats.org/officeDocument/2006/relationships/image" Target="media/image455.png"/><Relationship Id="rId498"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2" Type="http://schemas.openxmlformats.org/officeDocument/2006/relationships/image" Target="media/image460.png"/><Relationship Id="rId503" Type="http://schemas.openxmlformats.org/officeDocument/2006/relationships/image" Target="media/image461.png"/><Relationship Id="rId504" Type="http://schemas.openxmlformats.org/officeDocument/2006/relationships/image" Target="media/image462.png"/><Relationship Id="rId505" Type="http://schemas.openxmlformats.org/officeDocument/2006/relationships/image" Target="media/image463.png"/><Relationship Id="rId506" Type="http://schemas.openxmlformats.org/officeDocument/2006/relationships/image" Target="media/image464.png"/><Relationship Id="rId507" Type="http://schemas.openxmlformats.org/officeDocument/2006/relationships/image" Target="media/image465.png"/><Relationship Id="rId508" Type="http://schemas.openxmlformats.org/officeDocument/2006/relationships/image" Target="media/image466.png"/><Relationship Id="rId509" Type="http://schemas.openxmlformats.org/officeDocument/2006/relationships/image" Target="media/image467.png"/><Relationship Id="rId510" Type="http://schemas.openxmlformats.org/officeDocument/2006/relationships/image" Target="media/image468.png"/><Relationship Id="rId511" Type="http://schemas.openxmlformats.org/officeDocument/2006/relationships/image" Target="media/image469.png"/><Relationship Id="rId512" Type="http://schemas.openxmlformats.org/officeDocument/2006/relationships/image" Target="media/image470.png"/><Relationship Id="rId513" Type="http://schemas.openxmlformats.org/officeDocument/2006/relationships/image" Target="media/image471.png"/><Relationship Id="rId514" Type="http://schemas.openxmlformats.org/officeDocument/2006/relationships/image" Target="media/image472.png"/><Relationship Id="rId515" Type="http://schemas.openxmlformats.org/officeDocument/2006/relationships/image" Target="media/image473.png"/><Relationship Id="rId516" Type="http://schemas.openxmlformats.org/officeDocument/2006/relationships/image" Target="media/image474.png"/><Relationship Id="rId517" Type="http://schemas.openxmlformats.org/officeDocument/2006/relationships/image" Target="media/image475.png"/><Relationship Id="rId518" Type="http://schemas.openxmlformats.org/officeDocument/2006/relationships/image" Target="media/image476.png"/><Relationship Id="rId519" Type="http://schemas.openxmlformats.org/officeDocument/2006/relationships/image" Target="media/image477.png"/><Relationship Id="rId520" Type="http://schemas.openxmlformats.org/officeDocument/2006/relationships/image" Target="media/image478.png"/><Relationship Id="rId521" Type="http://schemas.openxmlformats.org/officeDocument/2006/relationships/image" Target="media/image479.png"/><Relationship Id="rId522" Type="http://schemas.openxmlformats.org/officeDocument/2006/relationships/image" Target="media/image480.png"/><Relationship Id="rId523" Type="http://schemas.openxmlformats.org/officeDocument/2006/relationships/image" Target="media/image481.png"/><Relationship Id="rId317" Type="http://schemas.openxmlformats.org/officeDocument/2006/relationships/hyperlink" Target="https://www.sec.gov/Archives/edgar/data/1720116/000119312518062230/d528710dex21.htm" TargetMode="External"/><Relationship Id="rId318" Type="http://schemas.openxmlformats.org/officeDocument/2006/relationships/hyperlink" Target="https://www.sec.gov/Archives/edgar/data/1720116/000119312518097860/d559011dex31.htm" TargetMode="External"/><Relationship Id="rId319" Type="http://schemas.openxmlformats.org/officeDocument/2006/relationships/hyperlink" Target="https://www.sec.gov/Archives/edgar/data/1720116/000119312518097860/d559011dex32.htm" TargetMode="External"/><Relationship Id="rId320" Type="http://schemas.openxmlformats.org/officeDocument/2006/relationships/hyperlink" Target="https://www.sec.gov/Archives/edgar/data/0001720116/000156459020010508/rdvt-ex41_144.htm" TargetMode="External"/><Relationship Id="rId321" Type="http://schemas.openxmlformats.org/officeDocument/2006/relationships/hyperlink" Target="https://www.sec.gov/Archives/edgar/data/1720116/000119312525288209/rdvt-ex4_1.htm" TargetMode="External"/><Relationship Id="rId322" Type="http://schemas.openxmlformats.org/officeDocument/2006/relationships/hyperlink" Target="https://www.sec.gov/Archives/edgar/data/1720116/000119312525288209/rdvt-ex4_4.htm" TargetMode="External"/><Relationship Id="rId323" Type="http://schemas.openxmlformats.org/officeDocument/2006/relationships/hyperlink" Target="https://www.sec.gov/Archives/edgar/data/1720116/000119312525288209/rdvt-ex4_5.htm" TargetMode="External"/><Relationship Id="rId324" Type="http://schemas.openxmlformats.org/officeDocument/2006/relationships/hyperlink" Target="https://www.sec.gov/Archives/edgar/data/1720116/000119312518062230/d528710dex102.htm" TargetMode="External"/><Relationship Id="rId325" Type="http://schemas.openxmlformats.org/officeDocument/2006/relationships/hyperlink" Target="https://www.sec.gov/Archives/edgar/data/1720116/000119312518097860/d559011dex102.htm" TargetMode="External"/><Relationship Id="rId326" Type="http://schemas.openxmlformats.org/officeDocument/2006/relationships/hyperlink" Target="https://www.sec.gov/Archives/edgar/data/1720116/000119312518097860/d559011dex103.htm" TargetMode="External"/><Relationship Id="rId327" Type="http://schemas.openxmlformats.org/officeDocument/2006/relationships/hyperlink" Target="https://www.sec.gov/Archives/edgar/data/1720116/000119312518097860/d559011dex104.htm" TargetMode="External"/><Relationship Id="rId328" Type="http://schemas.openxmlformats.org/officeDocument/2006/relationships/hyperlink" Target="https://www.sec.gov/Archives/edgar/data/1720116/000119312518097860/d559011dex105.htm" TargetMode="External"/><Relationship Id="rId329" Type="http://schemas.openxmlformats.org/officeDocument/2006/relationships/hyperlink" Target="https://www.sec.gov/Archives/edgar/data/1720116/000119312518097860/d559011dex106.htm" TargetMode="External"/><Relationship Id="rId330" Type="http://schemas.openxmlformats.org/officeDocument/2006/relationships/hyperlink" Target="https://www.sec.gov/Archives/edgar/data/1720116/000156459018028035/rdvt-ex102_85.htm" TargetMode="External"/><Relationship Id="rId331" Type="http://schemas.openxmlformats.org/officeDocument/2006/relationships/hyperlink" Target="https://www.sec.gov/Archives/edgar/data/1720116/000156459019028779/rdvt-ex101_12.htm" TargetMode="External"/><Relationship Id="rId332" Type="http://schemas.openxmlformats.org/officeDocument/2006/relationships/hyperlink" Target="https://www.sec.gov/Archives/edgar/data/1720116/000156459020010508/rdvt-ex1013_193.htm" TargetMode="External"/><Relationship Id="rId333" Type="http://schemas.openxmlformats.org/officeDocument/2006/relationships/hyperlink" Target="https://www.sec.gov/Archives/edgar/data/1720116/000156459020028399/rdvt-ex101_6.htm" TargetMode="External"/><Relationship Id="rId334" Type="http://schemas.openxmlformats.org/officeDocument/2006/relationships/hyperlink" Target="https://www.sec.gov/Archives/edgar/data/0001720116/000156459021012098/rdvt-ex1015_19.htm" TargetMode="External"/><Relationship Id="rId335" Type="http://schemas.openxmlformats.org/officeDocument/2006/relationships/hyperlink" Target="https://www.sec.gov/Archives/edgar/data/0001720116/000156459021012098/rdvt-ex1016_18.htm" TargetMode="External"/><Relationship Id="rId336" Type="http://schemas.openxmlformats.org/officeDocument/2006/relationships/hyperlink" Target="https://www.sec.gov/Archives/edgar/data/0001720116/000156459021012098/rdvt-ex1017_16.htm" TargetMode="External"/><Relationship Id="rId337" Type="http://schemas.openxmlformats.org/officeDocument/2006/relationships/hyperlink" Target="https://www.sec.gov/Archives/edgar/data/0001720116/000156459021012098/rdvt-ex1018_17.htm" TargetMode="External"/><Relationship Id="rId338" Type="http://schemas.openxmlformats.org/officeDocument/2006/relationships/hyperlink" Target="https://www.sec.gov/Archives/edgar/data/0001720116/000095017021004778/rdvt-ex10_1.htm" TargetMode="External"/><Relationship Id="rId339" Type="http://schemas.openxmlformats.org/officeDocument/2006/relationships/hyperlink" Target="https://www.sec.gov/Archives/edgar/data/1720116/000095017022010778/rdvt-ex10_1.htm" TargetMode="External"/><Relationship Id="rId340" Type="http://schemas.openxmlformats.org/officeDocument/2006/relationships/hyperlink" Target="https://www.sec.gov/Archives/edgar/data/1720116/000095017023039142/rdvt-ex10_1.htm" TargetMode="External"/><Relationship Id="rId341" Type="http://schemas.openxmlformats.org/officeDocument/2006/relationships/hyperlink" Target="https://www.sec.gov/Archives/edgar/data/1720116/000095017023039142/rdvt-ex10_2.htm" TargetMode="External"/><Relationship Id="rId342" Type="http://schemas.openxmlformats.org/officeDocument/2006/relationships/hyperlink" Target="https://www.sec.gov/Archives/edgar/data/1720116/000095017023039142/rdvt-ex10_3.htm" TargetMode="External"/><Relationship Id="rId343" Type="http://schemas.openxmlformats.org/officeDocument/2006/relationships/hyperlink" Target="https://www.sec.gov/Archives/edgar/data/1720116/000095017023039142/rdvt-ex10_4.htm" TargetMode="External"/><Relationship Id="rId344" Type="http://schemas.openxmlformats.org/officeDocument/2006/relationships/hyperlink" Target="https://www.sec.gov/Archives/edgar/data/1720116/000095017024055855/rdvt-ex10_1.htm" TargetMode="External"/><Relationship Id="rId345" Type="http://schemas.openxmlformats.org/officeDocument/2006/relationships/hyperlink" Target="https://www.sec.gov/Archives/edgar/data/1720116/000095017025084377/rdvt-ex10_1.htm" TargetMode="External"/><Relationship Id="rId346" Type="http://schemas.openxmlformats.org/officeDocument/2006/relationships/hyperlink" Target="https://www.sec.gov/Archives/edgar/data/1720116/000119312526011891/rdvt-ex10_1.htm" TargetMode="External"/><Relationship Id="rId347" Type="http://schemas.openxmlformats.org/officeDocument/2006/relationships/hyperlink" Target="https://www.sec.gov/Archives/edgar/data/1720116/000119312526011891/rdvt-ex10_2.htm" TargetMode="External"/><Relationship Id="rId348" Type="http://schemas.openxmlformats.org/officeDocument/2006/relationships/hyperlink" Target="https://www.sec.gov/Archives/edgar/data/1720116/000119312526011891/rdvt-ex10_3.htm" TargetMode="External"/><Relationship Id="rId350" Type="http://schemas.openxmlformats.org/officeDocument/2006/relationships/hyperlink" Target="https://www.sec.gov/Archives/edgar/data/1720116/000119312526011891/rdvt-ex10_4.htm" TargetMode="External"/><Relationship Id="rId351" Type="http://schemas.openxmlformats.org/officeDocument/2006/relationships/hyperlink" Target="https://www.sec.gov/Archives/edgar/data/1720116/000095017025029184/rdvt-ex19_1.htm" TargetMode="External"/><Relationship Id="rId352" Type="http://schemas.openxmlformats.org/officeDocument/2006/relationships/hyperlink" Target="https://www.sec.gov/Archives/edgar/data/1720116/000095017024028115/rdv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2026-03-04T15:50:13Z</dcterms:created>
  <dcterms:modified xsi:type="dcterms:W3CDTF">2026-03-04T15:50:13Z</dcterms:modified>
</cp:coreProperties>
</file>