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50507.htm"/>
      <w:bookmarkStart w:id="1" w:name="ksrdvt20250507"/>
      <w:bookmarkEnd w:id="0"/>
      <w:bookmarkEnd w:id="1"/>
      <w:r>
        <w:rPr/>
        <w:t> </w:t>
      </w:r>
    </w:p>
    <w:p>
      <w:pPr>
        <w:pStyle w:val="TextBody"/>
        <w:pBdr>
          <w:bottom w:val="double" w:sz="4" w:space="1" w:color="000000"/>
        </w:pBdr>
        <w:bidi w:val="0"/>
        <w:spacing w:before="120" w:after="283"/>
        <w:jc w:val="center"/>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240"/>
        <w:jc w:val="center"/>
        <w:rPr>
          <w:rFonts w:ascii="Times New Roman" w:hAnsi="Times New Roman"/>
          <w:b/>
          <w:color w:val="000000"/>
          <w:sz w:val="23"/>
        </w:rPr>
      </w:pPr>
      <w:r>
        <w:rPr>
          <w:rFonts w:ascii="Times New Roman" w:hAnsi="Times New Roman"/>
          <w:b/>
          <w:color w:val="000000"/>
          <w:sz w:val="23"/>
        </w:rPr>
        <w:t>CURRENT REPORT</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br/>
        <w:t>Date of Report (date of earliest event reported): May 7, 2025</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40"/>
        </w:rPr>
      </w:pPr>
      <w:r>
        <w:rPr>
          <w:rFonts w:ascii="Times New Roman" w:hAnsi="Times New Roman"/>
          <w:b/>
          <w:color w:val="000000"/>
          <w:sz w:val="4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001-38407</w:t>
            </w:r>
          </w:p>
          <w:p>
            <w:pPr>
              <w:pStyle w:val="TableContents"/>
              <w:bidi w:val="0"/>
              <w:jc w:val="left"/>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82-2408531</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2650 North Military Trail, Suite 300, Boca Raton, FL</w:t>
      </w:r>
      <w:r>
        <w:rPr>
          <w:rFonts w:ascii="Times New Roman" w:hAnsi="Times New Roman"/>
          <w:color w:val="000000"/>
          <w:sz w:val="20"/>
        </w:rPr>
        <w:t xml:space="preserve"> </w:t>
      </w:r>
      <w:r>
        <w:rPr>
          <w:rFonts w:ascii="Times New Roman" w:hAnsi="Times New Roman"/>
          <w:b/>
          <w:color w:val="000000"/>
          <w:sz w:val="20"/>
        </w:rPr>
        <w:t>33431</w:t>
        <w:br/>
      </w:r>
      <w:r>
        <w:rPr>
          <w:rFonts w:ascii="Times New Roman" w:hAnsi="Times New Roman"/>
          <w:b/>
          <w:color w:val="000000"/>
          <w:sz w:val="16"/>
        </w:rPr>
        <w:t>(Address of principal executive offices)</w:t>
      </w:r>
    </w:p>
    <w:p>
      <w:pPr>
        <w:pStyle w:val="TextBody"/>
        <w:bidi w:val="0"/>
        <w:spacing w:before="0" w:after="240"/>
        <w:jc w:val="center"/>
        <w:rPr>
          <w:rFonts w:ascii="Times New Roman" w:hAnsi="Times New Roman"/>
          <w:sz w:val="20"/>
        </w:rPr>
      </w:pPr>
      <w:r>
        <w:rPr>
          <w:rFonts w:ascii="Times New Roman" w:hAnsi="Times New Roman"/>
          <w:b/>
          <w:color w:val="000000"/>
          <w:sz w:val="20"/>
        </w:rPr>
        <w:t>561-757-4000</w:t>
      </w:r>
      <w:r>
        <w:rPr>
          <w:rFonts w:ascii="Times New Roman" w:hAnsi="Times New Roman"/>
          <w:color w:val="000000"/>
          <w:sz w:val="20"/>
        </w:rPr>
        <w:br/>
      </w:r>
      <w:r>
        <w:rPr>
          <w:rFonts w:ascii="Times New Roman" w:hAnsi="Times New Roman"/>
          <w:b/>
          <w:color w:val="000000"/>
          <w:sz w:val="16"/>
        </w:rPr>
        <w:t>(Registrant’s telephone number, including area code)</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br/>
      </w:r>
      <w:r>
        <w:rPr>
          <w:rFonts w:ascii="Times New Roman" w:hAnsi="Times New Roman"/>
          <w:b/>
          <w:color w:val="000000"/>
          <w:sz w:val="16"/>
        </w:rPr>
        <w:t>(Former name or former address, if changed since last report)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rPr/>
      </w:pPr>
      <w:r>
        <w:rPr>
          <w:color w:val="000000"/>
        </w:rPr>
        <w:t xml:space="preserve">☐ </w:t>
      </w:r>
      <w:r>
        <w:rPr>
          <w:rFonts w:ascii="Times New Roman" w:hAnsi="Times New Roman"/>
          <w:color w:val="000000"/>
          <w:sz w:val="18"/>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18"/>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13e-4(c) under the Exchange Act (17 CFR 240.13e-4(c))</w:t>
      </w:r>
    </w:p>
    <w:p>
      <w:pPr>
        <w:pStyle w:val="TextBody"/>
        <w:bidi w:val="0"/>
        <w:spacing w:before="60" w:after="6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6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double" w:sz="4" w:space="1" w:color="000000"/>
        </w:pBdr>
        <w:bidi w:val="0"/>
        <w:spacing w:before="0" w:after="60"/>
        <w:jc w:val="left"/>
        <w:rPr/>
      </w:pPr>
      <w:r>
        <w:rPr/>
        <w:t> </w:t>
      </w:r>
    </w:p>
    <w:p>
      <w:pPr>
        <w:pStyle w:val="TextBody"/>
        <w:bidi w:val="0"/>
        <w:jc w:val="left"/>
        <w:rPr/>
      </w:pPr>
      <w:r>
        <w:rPr/>
        <w:t> </w:t>
      </w:r>
    </w:p>
    <w:p>
      <w:pPr>
        <w:pStyle w:val="TextBody"/>
        <w:bidi w:val="0"/>
        <w:spacing w:before="78"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7, 2025, Red Violet, Inc., a Delaware corporation (the “Company”), issued a press release announcing its financial results for the first quarter ended March 31, 2025 (the “Earnings Release”). A copy of the Earnings Release is furnished herewith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Also on May 7, 2025, following the issuance of the Earnings Release, the Company conducted a conference call to discuss the reported financial results for the first quarter ended March 31, 2025. The Company had issued a press release on April 23, 2025 to announce the scheduling of the conference call. A copy of the transcript of the conference call is furnished herewith as Exhibit 99.2.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360" w:after="283"/>
        <w:jc w:val="left"/>
        <w:rPr>
          <w:rFonts w:ascii="Times New Roman" w:hAnsi="Times New Roman"/>
          <w:b/>
          <w:color w:val="000000"/>
          <w:sz w:val="20"/>
        </w:rPr>
      </w:pPr>
      <w:bookmarkStart w:id="2" w:name="s161133122"/>
      <w:bookmarkEnd w:id="2"/>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bookmarkStart w:id="3" w:name="p288483349"/>
      <w:bookmarkEnd w:id="3"/>
      <w:r>
        <w:rPr/>
        <w:t> </w:t>
      </w:r>
    </w:p>
    <w:p>
      <w:pPr>
        <w:pStyle w:val="TextBody"/>
        <w:bidi w:val="0"/>
        <w:jc w:val="left"/>
        <w:rPr/>
      </w:pPr>
      <w:r>
        <w:rPr>
          <w:rFonts w:ascii="Times New Roman" w:hAnsi="Times New Roman"/>
          <w:color w:val="000000"/>
          <w:sz w:val="20"/>
        </w:rPr>
        <w:t xml:space="preserve">99.1 </w:t>
      </w:r>
      <w:hyperlink w:anchor="rdvt-ex99_1.htm">
        <w:r>
          <w:rPr>
            <w:rStyle w:val="InternetLink"/>
            <w:rFonts w:ascii="Times New Roman" w:hAnsi="Times New Roman"/>
            <w:color w:val="0000FF"/>
            <w:sz w:val="20"/>
            <w:u w:val="single"/>
          </w:rPr>
          <w:t>Press Release, dated May 7, 2025</w:t>
        </w:r>
      </w:hyperlink>
    </w:p>
    <w:p>
      <w:pPr>
        <w:pStyle w:val="TextBody"/>
        <w:bidi w:val="0"/>
        <w:jc w:val="left"/>
        <w:rPr/>
      </w:pPr>
      <w:r>
        <w:rPr/>
        <w:t> </w:t>
      </w:r>
    </w:p>
    <w:p>
      <w:pPr>
        <w:pStyle w:val="TextBody"/>
        <w:bidi w:val="0"/>
        <w:jc w:val="left"/>
        <w:rPr/>
      </w:pPr>
      <w:r>
        <w:rPr>
          <w:rFonts w:ascii="Times New Roman" w:hAnsi="Times New Roman"/>
          <w:color w:val="000000"/>
          <w:sz w:val="20"/>
        </w:rPr>
        <w:t xml:space="preserve">99.2 </w:t>
      </w:r>
      <w:hyperlink w:anchor="rdvt-ex99_2.htm">
        <w:r>
          <w:rPr>
            <w:rStyle w:val="InternetLink"/>
            <w:rFonts w:ascii="Times New Roman" w:hAnsi="Times New Roman"/>
            <w:color w:val="0000FF"/>
            <w:sz w:val="20"/>
            <w:u w:val="single"/>
          </w:rPr>
          <w:t>May 7, 2025 conference call transcript</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file).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773" w:type="dxa"/>
        <w:jc w:val="left"/>
        <w:tblInd w:w="0" w:type="dxa"/>
        <w:tblLayout w:type="fixed"/>
        <w:tblCellMar>
          <w:top w:w="28" w:type="dxa"/>
          <w:left w:w="28" w:type="dxa"/>
          <w:bottom w:w="28" w:type="dxa"/>
          <w:right w:w="28" w:type="dxa"/>
        </w:tblCellMar>
      </w:tblPr>
      <w:tblGrid>
        <w:gridCol w:w="1636"/>
        <w:gridCol w:w="146"/>
        <w:gridCol w:w="406"/>
        <w:gridCol w:w="146"/>
        <w:gridCol w:w="1339"/>
        <w:gridCol w:w="1339"/>
        <w:gridCol w:w="176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58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Derek Dubner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 w:name="rdvt-ex99_1.htm"/>
      <w:bookmarkStart w:id="5" w:name="ksrdvtex99_1"/>
      <w:bookmarkEnd w:id="4"/>
      <w:bookmarkEnd w:id="5"/>
      <w:r>
        <w:rPr>
          <w:rFonts w:ascii="Times New Roman" w:hAnsi="Times New Roman"/>
          <w:b/>
          <w:color w:val="000000"/>
          <w:sz w:val="22"/>
        </w:rPr>
        <w:t>Exhibit 99.1</w:t>
      </w:r>
      <w:r>
        <w:br w:type="page"/>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red violet Announces First Quarter 2025 Financial Results</w:t>
      </w:r>
    </w:p>
    <w:p>
      <w:pPr>
        <w:pStyle w:val="TextBody"/>
        <w:bidi w:val="0"/>
        <w:spacing w:before="120" w:after="283"/>
        <w:jc w:val="center"/>
        <w:rPr>
          <w:rFonts w:ascii="Times New Roman" w:hAnsi="Times New Roman"/>
          <w:sz w:val="20"/>
        </w:rPr>
      </w:pPr>
      <w:r>
        <w:rPr>
          <w:rFonts w:ascii="Times New Roman" w:hAnsi="Times New Roman"/>
          <w:b/>
          <w:color w:val="000000"/>
          <w:sz w:val="20"/>
        </w:rPr>
        <w:t>Revenue Increases 26% to a Record $22.0 Million, Generating GAAP EPS of $0.24</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BOCA RATON, Fla. – May 7, 2025 </w:t>
      </w:r>
      <w:r>
        <w:rPr>
          <w:rFonts w:ascii="Times New Roman" w:hAnsi="Times New Roman"/>
          <w:color w:val="000000"/>
          <w:sz w:val="20"/>
        </w:rPr>
        <w:t xml:space="preserve">– Red Violet, Inc. (NASDAQ: RDVT), a leading analytics and information solutions provider, today announced financial results for the quarter ended March 31, 2025. </w:t>
      </w:r>
    </w:p>
    <w:p>
      <w:pPr>
        <w:pStyle w:val="TextBody"/>
        <w:bidi w:val="0"/>
        <w:spacing w:before="0" w:after="160"/>
        <w:jc w:val="left"/>
        <w:rPr/>
      </w:pPr>
      <w:r>
        <w:rPr>
          <w:color w:val="000000"/>
        </w:rPr>
        <w:t>“</w:t>
      </w:r>
      <w:r>
        <w:rPr>
          <w:rFonts w:ascii="Times New Roman" w:hAnsi="Times New Roman"/>
          <w:color w:val="000000"/>
          <w:sz w:val="20"/>
        </w:rPr>
        <w:t xml:space="preserve">We are extremely pleased to report another record-setting quarter, marking a strong start to 2025,” stated Derek Dubner, red violet’s CEO. “Our team continues to execute, achieving new highs across key financial metrics and underscoring the leverage and durability of our business model. We have generated meaningful momentum and are energized by the opportunities ahead to build on this success throughout the year.” </w:t>
      </w:r>
    </w:p>
    <w:p>
      <w:pPr>
        <w:pStyle w:val="TextBody"/>
        <w:bidi w:val="0"/>
        <w:spacing w:before="40" w:after="160"/>
        <w:jc w:val="left"/>
        <w:rPr>
          <w:rFonts w:ascii="Times New Roman" w:hAnsi="Times New Roman"/>
          <w:b/>
          <w:color w:val="000000"/>
          <w:sz w:val="20"/>
        </w:rPr>
      </w:pPr>
      <w:r>
        <w:rPr>
          <w:rFonts w:ascii="Times New Roman" w:hAnsi="Times New Roman"/>
          <w:b/>
          <w:color w:val="000000"/>
          <w:sz w:val="20"/>
        </w:rPr>
        <w:t>First Quarter Financial Results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For the three months ended March 31, 2025 as compared to the three months ended March 31, 2024: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Total revenue increased 26% to $22.0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37% to $15.8 million. Gross margin increased to 72% from 66%.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33% to $18.3 million. Adjusted gross margin increased to 83% from 79%.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increased 93% to $3.4 million, which resulted in earnings of $0.25 and $0.24 per basic and diluted share, respectively. Net income margin increased to 16% from 10%.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increased 47% to $8.4 million. Adjusted EBITDA margin increased to 38% from 32%.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53% to $4.8 million, which resulted in adjusted earnings of $0.35 and $0.33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increased 16% to $5.0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$34.6 million as of March 31, 2025.</w:t>
      </w:r>
    </w:p>
    <w:p>
      <w:pPr>
        <w:pStyle w:val="TextBody"/>
        <w:bidi w:val="0"/>
        <w:spacing w:before="240" w:after="160"/>
        <w:jc w:val="left"/>
        <w:rPr>
          <w:rFonts w:ascii="Times New Roman" w:hAnsi="Times New Roman"/>
          <w:sz w:val="20"/>
        </w:rPr>
      </w:pPr>
      <w:bookmarkStart w:id="6" w:name="gmnh874a1a8db3fe4af2a262b7d6093c0e4f"/>
      <w:bookmarkEnd w:id="6"/>
      <w:r>
        <w:rPr>
          <w:rFonts w:ascii="Times New Roman" w:hAnsi="Times New Roman"/>
          <w:b/>
          <w:color w:val="000000"/>
          <w:sz w:val="20"/>
        </w:rPr>
        <w:t>First Quarter and Recent Business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Added 315 customers to IDI</w:t>
      </w:r>
      <w:r>
        <w:rPr>
          <w:rFonts w:ascii="Times New Roman" w:hAnsi="Times New Roman"/>
          <w:color w:val="000000"/>
          <w:sz w:val="13"/>
        </w:rPr>
        <w:t></w:t>
      </w:r>
      <w:r>
        <w:rPr>
          <w:color w:val="000000"/>
        </w:rPr>
        <w:t xml:space="preserve"> </w:t>
      </w:r>
      <w:r>
        <w:rPr>
          <w:rFonts w:ascii="Times New Roman" w:hAnsi="Times New Roman"/>
          <w:color w:val="000000"/>
          <w:sz w:val="20"/>
        </w:rPr>
        <w:t xml:space="preserve">during the first quarter, ending the quarter with 9,241 customers.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21,918 users to FOREWARN</w:t>
      </w:r>
      <w:r>
        <w:rPr>
          <w:rFonts w:ascii="Times New Roman" w:hAnsi="Times New Roman"/>
          <w:color w:val="000000"/>
          <w:sz w:val="13"/>
        </w:rPr>
        <w:t>®</w:t>
      </w:r>
      <w:r>
        <w:rPr>
          <w:color w:val="000000"/>
        </w:rPr>
        <w:t xml:space="preserve"> </w:t>
      </w:r>
      <w:r>
        <w:rPr>
          <w:rFonts w:ascii="Times New Roman" w:hAnsi="Times New Roman"/>
          <w:color w:val="000000"/>
          <w:sz w:val="20"/>
        </w:rPr>
        <w:t>during the first quarter, ending the quarter with 325,336 users. Over 545 REALTOR</w:t>
      </w:r>
      <w:r>
        <w:rPr>
          <w:rFonts w:ascii="Times New Roman" w:hAnsi="Times New Roman"/>
          <w:color w:val="000000"/>
          <w:sz w:val="13"/>
        </w:rPr>
        <w:t>®</w:t>
      </w:r>
      <w:r>
        <w:rPr>
          <w:color w:val="000000"/>
        </w:rPr>
        <w:t xml:space="preserve"> </w:t>
      </w:r>
      <w:r>
        <w:rPr>
          <w:rFonts w:ascii="Times New Roman" w:hAnsi="Times New Roman"/>
          <w:color w:val="000000"/>
          <w:sz w:val="20"/>
        </w:rPr>
        <w:t>Associations throughout the U.S. are now contracted to use FOREWARN.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Paid out a special cash dividend of $0.30 per share on the Company’s common stock to shareholders of record as of January 31, 2025. The dividend, totaling $4.2 million, was paid on February 14, 2025.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conjunction with this release, red violet will host a conference call and webcast today at 4:30pm ET to discuss its quarterly results and provide a business update. Please </w:t>
      </w:r>
      <w:r>
        <w:rPr>
          <w:rFonts w:ascii="Times New Roman" w:hAnsi="Times New Roman"/>
          <w:color w:val="0563C1"/>
          <w:sz w:val="20"/>
        </w:rPr>
        <w:t>click here</w:t>
      </w:r>
      <w:r>
        <w:rPr>
          <w:rFonts w:ascii="Times New Roman" w:hAnsi="Times New Roman"/>
          <w:color w:val="000000"/>
          <w:sz w:val="20"/>
        </w:rPr>
        <w:t xml:space="preserve"> to pre-register for the conference call and obtain your dial in number and passcode. To access the live audio webcast, visit the Investors section of the red violet website at </w:t>
      </w:r>
      <w:r>
        <w:rPr>
          <w:rFonts w:ascii="Times New Roman" w:hAnsi="Times New Roman"/>
          <w:color w:val="0563C1"/>
          <w:sz w:val="20"/>
        </w:rPr>
        <w:t>www.redviolet.com</w:t>
      </w:r>
      <w:r>
        <w:rPr>
          <w:rFonts w:ascii="Times New Roman" w:hAnsi="Times New Roman"/>
          <w:color w:val="000000"/>
          <w:sz w:val="20"/>
        </w:rPr>
        <w:t xml:space="preserve">.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t>
      </w:r>
      <w:r>
        <w:rPr>
          <w:rFonts w:ascii="Times New Roman" w:hAnsi="Times New Roman"/>
          <w:color w:val="0563C1"/>
          <w:sz w:val="20"/>
        </w:rPr>
        <w:t>www.redviolet.com</w:t>
      </w:r>
      <w:r>
        <w:rPr>
          <w:rFonts w:ascii="Times New Roman" w:hAnsi="Times New Roman"/>
          <w:color w:val="000000"/>
          <w:sz w:val="20"/>
        </w:rPr>
        <w:t>.</w:t>
      </w:r>
    </w:p>
    <w:p>
      <w:pPr>
        <w:pStyle w:val="TextBody"/>
        <w:bidi w:val="0"/>
        <w:spacing w:before="0" w:after="160"/>
        <w:jc w:val="left"/>
        <w:rPr>
          <w:rFonts w:ascii="Times New Roman" w:hAnsi="Times New Roman"/>
          <w:sz w:val="20"/>
        </w:rPr>
      </w:pPr>
      <w:r>
        <w:rPr>
          <w:rFonts w:ascii="Times New Roman" w:hAnsi="Times New Roman"/>
          <w:b/>
          <w:color w:val="000000"/>
          <w:sz w:val="20"/>
        </w:rPr>
        <w:t>About red violet</w:t>
      </w:r>
      <w:r>
        <w:rPr>
          <w:rFonts w:ascii="Times New Roman" w:hAnsi="Times New Roman"/>
          <w:b/>
          <w:color w:val="000000"/>
          <w:sz w:val="13"/>
        </w:rPr>
        <w:t>®</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t>
      </w:r>
      <w:r>
        <w:rPr>
          <w:rFonts w:ascii="Times New Roman" w:hAnsi="Times New Roman"/>
          <w:color w:val="0563C1"/>
          <w:sz w:val="20"/>
        </w:rPr>
        <w:t>www.redviolet.com</w:t>
      </w:r>
      <w:r>
        <w:rPr>
          <w:rFonts w:ascii="Times New Roman" w:hAnsi="Times New Roman"/>
          <w:color w:val="000000"/>
          <w:sz w:val="20"/>
        </w:rPr>
        <w:t>.</w:t>
      </w:r>
    </w:p>
    <w:p>
      <w:pPr>
        <w:pStyle w:val="TextBody"/>
        <w:bidi w:val="0"/>
        <w:jc w:val="center"/>
        <w:rPr>
          <w:rFonts w:ascii="Times New Roman" w:hAnsi="Times New Roman"/>
          <w:caps/>
          <w:color w:val="000000"/>
          <w:sz w:val="20"/>
        </w:rPr>
      </w:pPr>
      <w:r>
        <w:rPr>
          <w:rFonts w:ascii="Times New Roman" w:hAnsi="Times New Roman"/>
          <w:caps/>
          <w:color w:val="000000"/>
          <w:sz w:val="20"/>
        </w:rPr>
        <w:t>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Company Contact:</w:t>
      </w:r>
      <w:r>
        <w:rPr>
          <w:rFonts w:ascii="Times New Roman" w:hAnsi="Times New Roman"/>
          <w:color w:val="404040"/>
          <w:sz w:val="20"/>
        </w:rPr>
        <w:br/>
      </w:r>
      <w:r>
        <w:rPr>
          <w:rFonts w:ascii="Times New Roman" w:hAnsi="Times New Roman"/>
          <w:color w:val="000000"/>
          <w:sz w:val="20"/>
        </w:rPr>
        <w:t>Camilo Ramirez</w:t>
        <w:br/>
        <w:t>Red Violet, Inc.</w:t>
        <w:br/>
        <w:t>561-757-4500</w:t>
        <w:br/>
        <w:t>ir@redviolet.com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left"/>
        <w:rPr>
          <w:rFonts w:ascii="Times New Roman" w:hAnsi="Times New Roman"/>
          <w:color w:val="000000"/>
          <w:sz w:val="20"/>
        </w:rPr>
      </w:pPr>
      <w:r>
        <w:rPr>
          <w:rFonts w:ascii="Times New Roman" w:hAnsi="Times New Roman"/>
          <w:color w:val="000000"/>
          <w:sz w:val="20"/>
        </w:rPr>
        <w:t xml:space="preserve">Steven Hooser </w:t>
        <w:br/>
        <w:t>Three Part Advisors</w:t>
        <w:br/>
        <w:t>214-872-2710</w:t>
        <w:br/>
        <w:t>ir@redviolet.com</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the most directly comparable financial measure based on US GAAP, excluding interest income, income tax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adjusted to exclude share-based compensation expense and amortization of share-based compensation capitalized in intangible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80" w:after="16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our strong start to 2025 and the meaningful momentum and opportunities that have been generated will allow us to build on that success throughout the year.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2024, filed on February 27, 2025, as may be supplemented or amended by the Company's other SEC filings. We undertake no obligation to publicly update or revise any forward-looking statement, whether as a result of new information, future events or otherwise, except as required by law.</w:t>
      </w:r>
    </w:p>
    <w:p>
      <w:pPr>
        <w:pStyle w:val="TextBody"/>
        <w:bidi w:val="0"/>
        <w:jc w:val="center"/>
        <w:rPr>
          <w:rFonts w:ascii="Times New Roman" w:hAnsi="Times New Roman"/>
          <w:caps/>
          <w:color w:val="000000"/>
          <w:sz w:val="20"/>
        </w:rPr>
      </w:pPr>
      <w:r>
        <w:rPr>
          <w:rFonts w:ascii="Times New Roman" w:hAnsi="Times New Roman"/>
          <w:caps/>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184" w:type="dxa"/>
        <w:jc w:val="left"/>
        <w:tblInd w:w="0" w:type="dxa"/>
        <w:tblLayout w:type="fixed"/>
        <w:tblCellMar>
          <w:top w:w="28" w:type="dxa"/>
          <w:left w:w="28" w:type="dxa"/>
          <w:bottom w:w="28" w:type="dxa"/>
          <w:right w:w="28" w:type="dxa"/>
        </w:tblCellMar>
      </w:tblPr>
      <w:tblGrid>
        <w:gridCol w:w="6886"/>
        <w:gridCol w:w="109"/>
        <w:gridCol w:w="299"/>
        <w:gridCol w:w="961"/>
        <w:gridCol w:w="109"/>
        <w:gridCol w:w="109"/>
        <w:gridCol w:w="357"/>
        <w:gridCol w:w="1143"/>
        <w:gridCol w:w="211"/>
      </w:tblGrid>
      <w:tr>
        <w:trPr/>
        <w:tc>
          <w:tcPr>
            <w:tcW w:w="6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Accounts receivable, net of allowance for doubtful accounts of $166 and $188 as of</w:t>
            </w:r>
          </w:p>
          <w:p>
            <w:pPr>
              <w:pStyle w:val="TableContents"/>
              <w:bidi w:val="0"/>
              <w:spacing w:before="0" w:after="283"/>
              <w:jc w:val="left"/>
              <w:rPr>
                <w:color w:val="000000"/>
              </w:rPr>
            </w:pPr>
            <w:r>
              <w:rPr>
                <w:color w:val="000000"/>
              </w:rPr>
              <w:t>  </w:t>
            </w:r>
            <w:r>
              <w:rPr>
                <w:rFonts w:ascii="Times New Roman" w:hAnsi="Times New Roman"/>
                <w:color w:val="000000"/>
                <w:sz w:val="20"/>
              </w:rPr>
              <w:t>March 31, 2025 and December 31, 2024, respectively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99,089</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Preferred stock—$0.001 par value, 10,000,000 shares authorized, and 0 shares</w:t>
            </w:r>
          </w:p>
          <w:p>
            <w:pPr>
              <w:pStyle w:val="TableContents"/>
              <w:bidi w:val="0"/>
              <w:spacing w:before="0" w:after="283"/>
              <w:jc w:val="left"/>
              <w:rPr>
                <w:color w:val="000000"/>
              </w:rPr>
            </w:pPr>
            <w:r>
              <w:rPr>
                <w:color w:val="000000"/>
              </w:rPr>
              <w:t>  </w:t>
            </w:r>
            <w:r>
              <w:rPr>
                <w:rFonts w:ascii="Times New Roman" w:hAnsi="Times New Roman"/>
                <w:color w:val="000000"/>
                <w:sz w:val="20"/>
              </w:rPr>
              <w:t>issued and outstanding, as of March 31, 2025 and December 31,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Common stock—$0.001 par value, 200,000,000 shares authorized, 13,950,797 and</w:t>
            </w:r>
          </w:p>
          <w:p>
            <w:pPr>
              <w:pStyle w:val="TableContents"/>
              <w:bidi w:val="0"/>
              <w:jc w:val="left"/>
              <w:rPr>
                <w:color w:val="000000"/>
              </w:rPr>
            </w:pPr>
            <w:r>
              <w:rPr>
                <w:color w:val="000000"/>
              </w:rPr>
              <w:t>  </w:t>
            </w:r>
            <w:r>
              <w:rPr>
                <w:rFonts w:ascii="Times New Roman" w:hAnsi="Times New Roman"/>
                <w:color w:val="000000"/>
                <w:sz w:val="20"/>
              </w:rPr>
              <w:t>13,936,329 shares issued and outstanding, as of March 31, 2025 and</w:t>
            </w:r>
          </w:p>
          <w:p>
            <w:pPr>
              <w:pStyle w:val="TableContents"/>
              <w:bidi w:val="0"/>
              <w:spacing w:before="0" w:after="283"/>
              <w:jc w:val="left"/>
              <w:rPr>
                <w:color w:val="000000"/>
              </w:rPr>
            </w:pPr>
            <w:r>
              <w:rPr>
                <w:color w:val="000000"/>
              </w:rPr>
              <w:t>  </w:t>
            </w:r>
            <w:r>
              <w:rPr>
                <w:rFonts w:ascii="Times New Roman" w:hAnsi="Times New Roman"/>
                <w:color w:val="000000"/>
                <w:sz w:val="20"/>
              </w:rPr>
              <w:t>December 31, 2024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 (accumulated deficit)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91,848</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86,632</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99,089</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condensed_consolidated_statements_operat"/>
      <w:bookmarkEnd w:id="8"/>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016" w:type="dxa"/>
        <w:jc w:val="left"/>
        <w:tblInd w:w="0" w:type="dxa"/>
        <w:tblLayout w:type="fixed"/>
        <w:tblCellMar>
          <w:top w:w="28" w:type="dxa"/>
          <w:left w:w="28" w:type="dxa"/>
          <w:bottom w:w="28" w:type="dxa"/>
          <w:right w:w="28" w:type="dxa"/>
        </w:tblCellMar>
      </w:tblPr>
      <w:tblGrid>
        <w:gridCol w:w="5041"/>
        <w:gridCol w:w="109"/>
        <w:gridCol w:w="211"/>
        <w:gridCol w:w="1036"/>
        <w:gridCol w:w="109"/>
        <w:gridCol w:w="109"/>
        <w:gridCol w:w="211"/>
        <w:gridCol w:w="1036"/>
        <w:gridCol w:w="154"/>
      </w:tblGrid>
      <w:tr>
        <w:trPr/>
        <w:tc>
          <w:tcPr>
            <w:tcW w:w="5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Costs and expenses</w:t>
            </w:r>
            <w:r>
              <w:rPr>
                <w:rFonts w:ascii="Times New Roman" w:hAnsi="Times New Roman"/>
                <w:b/>
                <w:color w:val="000000"/>
                <w:sz w:val="13"/>
              </w:rPr>
              <w:t>(1)</w:t>
            </w:r>
            <w:r>
              <w:rPr>
                <w:rFonts w:ascii="Times New Roman" w:hAnsi="Times New Roman"/>
                <w:b/>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17,792</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15,528</w:t>
            </w:r>
          </w:p>
        </w:tc>
        <w:tc>
          <w:tcPr>
            <w:tcW w:w="1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5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13,998,028</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13,997,064</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14,491,713</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14,164,506</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Share-based compensation expense in each category: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1,401</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w:t>
            </w:r>
          </w:p>
        </w:tc>
        <w:tc>
          <w:tcPr>
            <w:tcW w:w="15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440" w:type="dxa"/>
        <w:jc w:val="left"/>
        <w:tblInd w:w="0" w:type="dxa"/>
        <w:tblLayout w:type="fixed"/>
        <w:tblCellMar>
          <w:top w:w="28" w:type="dxa"/>
          <w:left w:w="28" w:type="dxa"/>
          <w:bottom w:w="28" w:type="dxa"/>
          <w:right w:w="28" w:type="dxa"/>
        </w:tblCellMar>
      </w:tblPr>
      <w:tblGrid>
        <w:gridCol w:w="6721"/>
        <w:gridCol w:w="109"/>
        <w:gridCol w:w="247"/>
        <w:gridCol w:w="792"/>
        <w:gridCol w:w="194"/>
        <w:gridCol w:w="127"/>
        <w:gridCol w:w="247"/>
        <w:gridCol w:w="792"/>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9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19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9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9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w:t>
            </w:r>
          </w:p>
        </w:tc>
        <w:tc>
          <w:tcPr>
            <w:tcW w:w="19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19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INFORMATION: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FCF. Adjusted EBITDA is a financial measure equal to net income, the most directly comparable financial measure based on GAAP, excluding interest income, income tax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the most directly comparable financial measure based on US GAAP, adjusted to exclude share-based compensation expense and amortization of share-based compensation capitalized in intangible assets, and to include the tax effect of adjustments. We define adjusted earnings per share as adjusted net income divided by the weighted average shares outstanding. We define adjusted gross profit as gross profit plus depreciation and amortization of certain intangible assets,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EBITDA:</w:t>
      </w:r>
    </w:p>
    <w:p>
      <w:pPr>
        <w:pStyle w:val="TextBody"/>
        <w:bidi w:val="0"/>
        <w:jc w:val="left"/>
        <w:rPr/>
      </w:pPr>
      <w:r>
        <w:rPr/>
        <w:t> </w:t>
      </w:r>
    </w:p>
    <w:tbl>
      <w:tblPr>
        <w:tblW w:w="6185" w:type="dxa"/>
        <w:jc w:val="left"/>
        <w:tblInd w:w="0" w:type="dxa"/>
        <w:tblLayout w:type="fixed"/>
        <w:tblCellMar>
          <w:top w:w="28" w:type="dxa"/>
          <w:left w:w="28" w:type="dxa"/>
          <w:bottom w:w="28" w:type="dxa"/>
          <w:right w:w="28" w:type="dxa"/>
        </w:tblCellMar>
      </w:tblPr>
      <w:tblGrid>
        <w:gridCol w:w="3361"/>
        <w:gridCol w:w="109"/>
        <w:gridCol w:w="235"/>
        <w:gridCol w:w="753"/>
        <w:gridCol w:w="302"/>
        <w:gridCol w:w="121"/>
        <w:gridCol w:w="235"/>
        <w:gridCol w:w="753"/>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 and others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0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8,368</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margin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the most directly comparable US GAAP financial measure, to adjusted net income:</w:t>
      </w:r>
    </w:p>
    <w:p>
      <w:pPr>
        <w:pStyle w:val="TextBody"/>
        <w:bidi w:val="0"/>
        <w:jc w:val="left"/>
        <w:rPr/>
      </w:pPr>
      <w:r>
        <w:rPr/>
        <w:t> </w:t>
      </w:r>
    </w:p>
    <w:tbl>
      <w:tblPr>
        <w:tblW w:w="6675" w:type="dxa"/>
        <w:jc w:val="left"/>
        <w:tblInd w:w="0" w:type="dxa"/>
        <w:tblLayout w:type="fixed"/>
        <w:tblCellMar>
          <w:top w:w="28" w:type="dxa"/>
          <w:left w:w="28" w:type="dxa"/>
          <w:bottom w:w="28" w:type="dxa"/>
          <w:right w:w="28" w:type="dxa"/>
        </w:tblCellMar>
      </w:tblPr>
      <w:tblGrid>
        <w:gridCol w:w="3586"/>
        <w:gridCol w:w="109"/>
        <w:gridCol w:w="211"/>
        <w:gridCol w:w="1036"/>
        <w:gridCol w:w="166"/>
        <w:gridCol w:w="109"/>
        <w:gridCol w:w="211"/>
        <w:gridCol w:w="1036"/>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Amortization of share-based compensation</w:t>
            </w:r>
          </w:p>
          <w:p>
            <w:pPr>
              <w:pStyle w:val="TableContents"/>
              <w:bidi w:val="0"/>
              <w:spacing w:before="0" w:after="283"/>
              <w:jc w:val="left"/>
              <w:rPr>
                <w:color w:val="000000"/>
              </w:rPr>
            </w:pPr>
            <w:r>
              <w:rPr>
                <w:color w:val="000000"/>
              </w:rPr>
              <w:t>  </w:t>
            </w:r>
            <w:r>
              <w:rPr>
                <w:rFonts w:ascii="Times New Roman" w:hAnsi="Times New Roman"/>
                <w:color w:val="000000"/>
                <w:sz w:val="20"/>
              </w:rPr>
              <w:t>capitalized in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13,998,028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13,997,064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14,491,713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14,164,506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tax effect of adjustments is calculated using the expected federal and state statutory tax rate. The expected federal and state income tax rate was approximately 26.00% and 25.75% for the three months ended March 31, 2025 and 2024, respectively.</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p>
      <w:pPr>
        <w:pStyle w:val="TextBody"/>
        <w:bidi w:val="0"/>
        <w:jc w:val="left"/>
        <w:rPr/>
      </w:pPr>
      <w:r>
        <w:rPr/>
        <w:t> </w:t>
      </w:r>
    </w:p>
    <w:tbl>
      <w:tblPr>
        <w:tblW w:w="7865" w:type="dxa"/>
        <w:jc w:val="left"/>
        <w:tblInd w:w="0" w:type="dxa"/>
        <w:tblLayout w:type="fixed"/>
        <w:tblCellMar>
          <w:top w:w="28" w:type="dxa"/>
          <w:left w:w="28" w:type="dxa"/>
          <w:bottom w:w="28" w:type="dxa"/>
          <w:right w:w="28" w:type="dxa"/>
        </w:tblCellMar>
      </w:tblPr>
      <w:tblGrid>
        <w:gridCol w:w="5041"/>
        <w:gridCol w:w="109"/>
        <w:gridCol w:w="235"/>
        <w:gridCol w:w="753"/>
        <w:gridCol w:w="302"/>
        <w:gridCol w:w="121"/>
        <w:gridCol w:w="235"/>
        <w:gridCol w:w="753"/>
        <w:gridCol w:w="316"/>
      </w:tblGrid>
      <w:tr>
        <w:trPr/>
        <w:tc>
          <w:tcPr>
            <w:tcW w:w="5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22,003</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related to cost of 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30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3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Depreciation and amortization of certain intangible assets</w:t>
            </w:r>
            <w:r>
              <w:rPr>
                <w:rFonts w:ascii="Times New Roman" w:hAnsi="Times New Roman"/>
                <w:color w:val="000000"/>
                <w:sz w:val="13"/>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30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3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Depreciation and amortization of certain intangible assets primarily consists of the amortization of capitalized internal-use software development costs, which are included within intangible assets and amortized over their estimated useful lives.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financial measure, to FCF:</w:t>
      </w:r>
    </w:p>
    <w:p>
      <w:pPr>
        <w:pStyle w:val="TextBody"/>
        <w:bidi w:val="0"/>
        <w:jc w:val="left"/>
        <w:rPr/>
      </w:pPr>
      <w:r>
        <w:rPr/>
        <w:t> </w:t>
      </w:r>
    </w:p>
    <w:tbl>
      <w:tblPr>
        <w:tblW w:w="6604" w:type="dxa"/>
        <w:jc w:val="left"/>
        <w:tblInd w:w="0" w:type="dxa"/>
        <w:tblLayout w:type="fixed"/>
        <w:tblCellMar>
          <w:top w:w="28" w:type="dxa"/>
          <w:left w:w="28" w:type="dxa"/>
          <w:bottom w:w="28" w:type="dxa"/>
          <w:right w:w="28" w:type="dxa"/>
        </w:tblCellMar>
      </w:tblPr>
      <w:tblGrid>
        <w:gridCol w:w="3886"/>
        <w:gridCol w:w="109"/>
        <w:gridCol w:w="258"/>
        <w:gridCol w:w="773"/>
        <w:gridCol w:w="203"/>
        <w:gridCol w:w="133"/>
        <w:gridCol w:w="258"/>
        <w:gridCol w:w="773"/>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20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adjusted to exclude share-based compensation expense and amortization of share-based compensation capitalized in intangible assets, and to include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We define adjusted gross profit as gross profit plus depreciation and amortization of certain intangible assets. We believe adjusted gross profit provides useful information to our investors by eliminating the impact of certain non-cash depreciation and amortization, and primarily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SUPPLEMENTAL METRICS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intend to periodically review and refine the definition, methodology and appropriateness of each of these supplemental metrics. As a result, metrics are subject to removal and/or changes, and such changes could be material.</w:t>
      </w:r>
    </w:p>
    <w:p>
      <w:pPr>
        <w:pStyle w:val="TextBody"/>
        <w:bidi w:val="0"/>
        <w:jc w:val="left"/>
        <w:rPr/>
      </w:pPr>
      <w:r>
        <w:rPr/>
        <w:t> </w:t>
      </w:r>
    </w:p>
    <w:tbl>
      <w:tblPr>
        <w:tblW w:w="11144" w:type="dxa"/>
        <w:jc w:val="left"/>
        <w:tblInd w:w="0" w:type="dxa"/>
        <w:tblLayout w:type="fixed"/>
        <w:tblCellMar>
          <w:top w:w="28" w:type="dxa"/>
          <w:left w:w="28" w:type="dxa"/>
          <w:bottom w:w="28" w:type="dxa"/>
          <w:right w:w="28" w:type="dxa"/>
        </w:tblCellMar>
      </w:tblPr>
      <w:tblGrid>
        <w:gridCol w:w="1505"/>
        <w:gridCol w:w="109"/>
        <w:gridCol w:w="109"/>
        <w:gridCol w:w="691"/>
        <w:gridCol w:w="256"/>
        <w:gridCol w:w="109"/>
        <w:gridCol w:w="109"/>
        <w:gridCol w:w="691"/>
        <w:gridCol w:w="256"/>
        <w:gridCol w:w="109"/>
        <w:gridCol w:w="109"/>
        <w:gridCol w:w="691"/>
        <w:gridCol w:w="256"/>
        <w:gridCol w:w="109"/>
        <w:gridCol w:w="109"/>
        <w:gridCol w:w="691"/>
        <w:gridCol w:w="256"/>
        <w:gridCol w:w="109"/>
        <w:gridCol w:w="109"/>
        <w:gridCol w:w="691"/>
        <w:gridCol w:w="256"/>
        <w:gridCol w:w="109"/>
        <w:gridCol w:w="109"/>
        <w:gridCol w:w="691"/>
        <w:gridCol w:w="256"/>
        <w:gridCol w:w="109"/>
        <w:gridCol w:w="109"/>
        <w:gridCol w:w="691"/>
        <w:gridCol w:w="256"/>
        <w:gridCol w:w="109"/>
        <w:gridCol w:w="109"/>
        <w:gridCol w:w="691"/>
        <w:gridCol w:w="575"/>
      </w:tblGrid>
      <w:tr>
        <w:trPr/>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4" w:type="dxa"/>
            <w:gridSpan w:val="31"/>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Q1'24</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Q2'24</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Q3'24</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Q4'24</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Q1'25</w:t>
            </w:r>
          </w:p>
        </w:tc>
        <w:tc>
          <w:tcPr>
            <w:tcW w:w="5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Customer metrics</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18"/>
              </w:rPr>
            </w:pPr>
            <w:r>
              <w:rPr>
                <w:rFonts w:ascii="Times New Roman" w:hAnsi="Times New Roman"/>
                <w:color w:val="000000"/>
                <w:sz w:val="18"/>
              </w:rPr>
              <w:t>IDI - billable customers</w:t>
            </w:r>
            <w:r>
              <w:rPr>
                <w:rFonts w:ascii="Times New Roman" w:hAnsi="Times New Roman"/>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9,241</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18"/>
              </w:rPr>
            </w:pPr>
            <w:r>
              <w:rPr>
                <w:rFonts w:ascii="Times New Roman" w:hAnsi="Times New Roman"/>
                <w:color w:val="000000"/>
                <w:sz w:val="18"/>
              </w:rPr>
              <w:t>FOREWARN - users</w:t>
            </w:r>
            <w:r>
              <w:rPr>
                <w:rFonts w:ascii="Times New Roman" w:hAnsi="Times New Roman"/>
                <w:color w:val="000000"/>
                <w:sz w:val="12"/>
              </w:rPr>
              <w:t>(2)</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146,537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168,356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185,380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236,639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263,876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284,967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303,418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325,336</w:t>
            </w:r>
          </w:p>
        </w:tc>
        <w:tc>
          <w:tcPr>
            <w:tcW w:w="575"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metrics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18"/>
              </w:rPr>
            </w:pPr>
            <w:r>
              <w:rPr>
                <w:rFonts w:ascii="Times New Roman" w:hAnsi="Times New Roman"/>
                <w:color w:val="000000"/>
                <w:sz w:val="18"/>
              </w:rPr>
              <w:t>Contractual revenue %</w:t>
            </w:r>
            <w:r>
              <w:rPr>
                <w:rFonts w:ascii="Times New Roman" w:hAnsi="Times New Roman"/>
                <w:color w:val="000000"/>
                <w:sz w:val="12"/>
              </w:rPr>
              <w:t>(3)</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w:t>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18"/>
              </w:rPr>
            </w:pPr>
            <w:r>
              <w:rPr>
                <w:rFonts w:ascii="Times New Roman" w:hAnsi="Times New Roman"/>
                <w:color w:val="000000"/>
                <w:sz w:val="18"/>
              </w:rPr>
              <w:t>Gross revenue retention %</w:t>
            </w:r>
            <w:r>
              <w:rPr>
                <w:rFonts w:ascii="Times New Roman" w:hAnsi="Times New Roman"/>
                <w:color w:val="000000"/>
                <w:sz w:val="12"/>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metrics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sales and marketing</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support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infrastructure</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engineering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administration</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575"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We define a user of FOREWARN as a unique person that has a subscription to use the FOREWARN service as of the last day of the period. A unique person can only have one user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Contractual revenue % represents revenue generated from customers pursuant to pricing contracts containing a monthly fee and any additional overage divided by total revenue. Pricing contracts are generally annual contracts or longer, with auto renewal.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Our gross revenue retention calculation excludes revenue from idiVERIFIED, which is purely transactional and currently represents less than 3% of total revenue.</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225"/>
        <w:jc w:val="left"/>
        <w:rPr>
          <w:rFonts w:ascii="sans-serif" w:hAnsi="sans-serif"/>
          <w:b/>
          <w:color w:val="000000"/>
          <w:sz w:val="28"/>
        </w:rPr>
      </w:pPr>
      <w:bookmarkStart w:id="10" w:name="rdvt-ex99_2.htm"/>
      <w:bookmarkStart w:id="11" w:name="ksrdvtex99_2"/>
      <w:bookmarkEnd w:id="10"/>
      <w:bookmarkEnd w:id="11"/>
      <w:r>
        <w:rPr>
          <w:rFonts w:ascii="sans-serif" w:hAnsi="sans-serif"/>
          <w:b/>
          <w:color w:val="000000"/>
          <w:sz w:val="28"/>
        </w:rPr>
        <w:t>Exhibit 99.2</w:t>
      </w:r>
      <w:r>
        <w:br w:type="page"/>
      </w:r>
    </w:p>
    <w:p>
      <w:pPr>
        <w:pStyle w:val="TextBody"/>
        <w:bidi w:val="0"/>
        <w:spacing w:before="0" w:after="225"/>
        <w:jc w:val="left"/>
        <w:rPr>
          <w:rFonts w:ascii="sans-serif" w:hAnsi="sans-serif"/>
          <w:b/>
          <w:color w:val="000000"/>
          <w:sz w:val="28"/>
        </w:rPr>
      </w:pPr>
      <w:r>
        <w:rPr>
          <w:rFonts w:ascii="sans-serif" w:hAnsi="sans-serif"/>
          <w:b/>
          <w:color w:val="000000"/>
          <w:sz w:val="28"/>
        </w:rPr>
        <w:t>Red Violet, Inc. (NASDAQ: RDVT)</w:t>
      </w:r>
    </w:p>
    <w:p>
      <w:pPr>
        <w:pStyle w:val="TextBody"/>
        <w:bidi w:val="0"/>
        <w:spacing w:before="0" w:after="225"/>
        <w:jc w:val="left"/>
        <w:rPr>
          <w:rFonts w:ascii="sans-serif" w:hAnsi="sans-serif"/>
          <w:b/>
          <w:color w:val="000000"/>
          <w:sz w:val="28"/>
        </w:rPr>
      </w:pPr>
      <w:r>
        <w:rPr>
          <w:rFonts w:ascii="sans-serif" w:hAnsi="sans-serif"/>
          <w:b/>
          <w:color w:val="000000"/>
          <w:sz w:val="28"/>
        </w:rPr>
        <w:t>First Quarter 2025 Earnings Results Conference Call</w:t>
      </w:r>
    </w:p>
    <w:p>
      <w:pPr>
        <w:pStyle w:val="TextBody"/>
        <w:bidi w:val="0"/>
        <w:spacing w:before="0" w:after="225"/>
        <w:jc w:val="left"/>
        <w:rPr>
          <w:rFonts w:ascii="sans-serif" w:hAnsi="sans-serif"/>
          <w:b/>
          <w:color w:val="000000"/>
          <w:sz w:val="28"/>
        </w:rPr>
      </w:pPr>
      <w:r>
        <w:rPr>
          <w:rFonts w:ascii="sans-serif" w:hAnsi="sans-serif"/>
          <w:b/>
          <w:color w:val="000000"/>
          <w:sz w:val="28"/>
        </w:rPr>
        <w:t>Company Participants:</w:t>
      </w:r>
    </w:p>
    <w:p>
      <w:pPr>
        <w:pStyle w:val="TextBody"/>
        <w:bidi w:val="0"/>
        <w:spacing w:before="0" w:after="225"/>
        <w:jc w:val="left"/>
        <w:rPr>
          <w:rFonts w:ascii="sans-serif" w:hAnsi="sans-serif"/>
          <w:color w:val="000000"/>
          <w:sz w:val="28"/>
        </w:rPr>
      </w:pPr>
      <w:r>
        <w:rPr>
          <w:rFonts w:ascii="sans-serif" w:hAnsi="sans-serif"/>
          <w:color w:val="000000"/>
          <w:sz w:val="28"/>
        </w:rPr>
        <w:t>Camilo Ramirez, Senior Vice President, Finance and Investor Relations</w:t>
      </w:r>
    </w:p>
    <w:p>
      <w:pPr>
        <w:pStyle w:val="TextBody"/>
        <w:bidi w:val="0"/>
        <w:spacing w:before="0" w:after="225"/>
        <w:jc w:val="left"/>
        <w:rPr>
          <w:rFonts w:ascii="sans-serif" w:hAnsi="sans-serif"/>
          <w:color w:val="000000"/>
          <w:sz w:val="28"/>
        </w:rPr>
      </w:pPr>
      <w:r>
        <w:rPr>
          <w:rFonts w:ascii="sans-serif" w:hAnsi="sans-serif"/>
          <w:color w:val="000000"/>
          <w:sz w:val="28"/>
        </w:rPr>
        <w:t>Derek Dubner, Chairman and Chief Executive Officer</w:t>
      </w:r>
    </w:p>
    <w:p>
      <w:pPr>
        <w:pStyle w:val="TextBody"/>
        <w:bidi w:val="0"/>
        <w:spacing w:before="0" w:after="225"/>
        <w:jc w:val="left"/>
        <w:rPr>
          <w:rFonts w:ascii="sans-serif" w:hAnsi="sans-serif"/>
          <w:color w:val="000000"/>
          <w:sz w:val="28"/>
        </w:rPr>
      </w:pPr>
      <w:r>
        <w:rPr>
          <w:rFonts w:ascii="sans-serif" w:hAnsi="sans-serif"/>
          <w:color w:val="000000"/>
          <w:sz w:val="28"/>
        </w:rPr>
        <w:t>Dan MacLachlan, Chief Financial Officer</w:t>
      </w:r>
    </w:p>
    <w:p>
      <w:pPr>
        <w:pStyle w:val="TextBody"/>
        <w:bidi w:val="0"/>
        <w:spacing w:before="0" w:after="225"/>
        <w:jc w:val="left"/>
        <w:rPr>
          <w:rFonts w:ascii="sans-serif" w:hAnsi="sans-serif"/>
          <w:b/>
          <w:color w:val="000000"/>
          <w:sz w:val="28"/>
        </w:rPr>
      </w:pPr>
      <w:r>
        <w:rPr>
          <w:rFonts w:ascii="sans-serif" w:hAnsi="sans-serif"/>
          <w:b/>
          <w:color w:val="000000"/>
          <w:sz w:val="28"/>
        </w:rPr>
        <w:t>Operator:</w:t>
      </w:r>
    </w:p>
    <w:p>
      <w:pPr>
        <w:pStyle w:val="TextBody"/>
        <w:bidi w:val="0"/>
        <w:spacing w:before="0" w:after="160"/>
        <w:jc w:val="left"/>
        <w:rPr>
          <w:rFonts w:ascii="Times New Roman" w:hAnsi="Times New Roman"/>
          <w:sz w:val="20"/>
        </w:rPr>
      </w:pPr>
      <w:r>
        <w:rPr>
          <w:rFonts w:ascii="sans-serif" w:hAnsi="sans-serif"/>
          <w:color w:val="000000"/>
          <w:sz w:val="28"/>
        </w:rPr>
        <w:t>Good day ladies and gentlemen, and welcome to red violet’s first quarter 2025 earnings</w:t>
      </w:r>
      <w:r>
        <w:rPr>
          <w:rFonts w:ascii="Times New Roman" w:hAnsi="Times New Roman"/>
          <w:color w:val="000000"/>
          <w:sz w:val="20"/>
        </w:rPr>
        <w:t xml:space="preserve"> </w:t>
      </w:r>
      <w:r>
        <w:rPr>
          <w:rFonts w:ascii="sans-serif" w:hAnsi="sans-serif"/>
          <w:color w:val="000000"/>
          <w:sz w:val="28"/>
        </w:rPr>
        <w:t>conference call. At this time, all participants are in a listen only mode. Later we will conduct a question and answer session and instructions will follow at that time.</w:t>
      </w:r>
      <w:r>
        <w:rPr>
          <w:rFonts w:ascii="Times New Roman" w:hAnsi="Times New Roman"/>
          <w:color w:val="000000"/>
          <w:sz w:val="20"/>
        </w:rPr>
        <w:t xml:space="preserve"> </w:t>
      </w:r>
    </w:p>
    <w:p>
      <w:pPr>
        <w:pStyle w:val="TextBody"/>
        <w:bidi w:val="0"/>
        <w:spacing w:before="0" w:after="160"/>
        <w:jc w:val="left"/>
        <w:rPr>
          <w:rFonts w:ascii="sans-serif" w:hAnsi="sans-serif"/>
          <w:color w:val="FF0000"/>
          <w:sz w:val="28"/>
        </w:rPr>
      </w:pPr>
      <w:r>
        <w:rPr>
          <w:rFonts w:ascii="sans-serif" w:hAnsi="sans-serif"/>
          <w:color w:val="FF0000"/>
          <w:sz w:val="28"/>
        </w:rPr>
        <w:t>As a reminder this call is being recorded.</w:t>
      </w:r>
    </w:p>
    <w:p>
      <w:pPr>
        <w:pStyle w:val="TextBody"/>
        <w:bidi w:val="0"/>
        <w:spacing w:before="0" w:after="160"/>
        <w:jc w:val="left"/>
        <w:rPr>
          <w:rFonts w:ascii="sans-serif" w:hAnsi="sans-serif"/>
          <w:color w:val="000000"/>
          <w:sz w:val="28"/>
        </w:rPr>
      </w:pPr>
      <w:r>
        <w:rPr>
          <w:rFonts w:ascii="sans-serif" w:hAnsi="sans-serif"/>
          <w:color w:val="000000"/>
          <w:sz w:val="28"/>
        </w:rPr>
        <w:t>I would now like to introduce your host for today’s conference Camilo Ramirez, Senior Vice President, Finance and Investor Relations. Please go ahead.</w:t>
      </w:r>
    </w:p>
    <w:p>
      <w:pPr>
        <w:pStyle w:val="TextBody"/>
        <w:bidi w:val="0"/>
        <w:spacing w:before="0" w:after="225"/>
        <w:jc w:val="left"/>
        <w:rPr>
          <w:rFonts w:ascii="Times New Roman" w:hAnsi="Times New Roman"/>
          <w:sz w:val="20"/>
        </w:rPr>
      </w:pPr>
      <w:r>
        <w:rPr>
          <w:rFonts w:ascii="sans-serif" w:hAnsi="sans-serif"/>
          <w:b/>
          <w:color w:val="000000"/>
          <w:sz w:val="28"/>
        </w:rPr>
        <w:t>Camilo Ramirez:</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Good afternoon and welcome. Thank you for joining us today to discuss our first quarter 2025 financial results.</w:t>
      </w:r>
      <w:r>
        <w:rPr>
          <w:rFonts w:ascii="Times New Roman" w:hAnsi="Times New Roman"/>
          <w:color w:val="000000"/>
          <w:sz w:val="20"/>
        </w:rPr>
        <w:t xml:space="preserve"> </w:t>
      </w:r>
    </w:p>
    <w:p>
      <w:pPr>
        <w:pStyle w:val="TextBody"/>
        <w:bidi w:val="0"/>
        <w:spacing w:before="0" w:after="225"/>
        <w:jc w:val="left"/>
        <w:rPr>
          <w:rFonts w:ascii="sans-serif" w:hAnsi="sans-serif"/>
          <w:color w:val="000000"/>
          <w:sz w:val="28"/>
        </w:rPr>
      </w:pPr>
      <w:r>
        <w:rPr>
          <w:rFonts w:ascii="sans-serif" w:hAnsi="sans-serif"/>
          <w:color w:val="000000"/>
          <w:sz w:val="28"/>
        </w:rPr>
        <w:t>With me today is Derek Dubner, our Chairman and Chief Executive Officer, and Dan MacLachlan, our Chief Financial Officer. Our call today will begin with comments from Derek and Dan, followed by a question and answer session.</w:t>
      </w:r>
    </w:p>
    <w:p>
      <w:pPr>
        <w:pStyle w:val="TextBody"/>
        <w:bidi w:val="0"/>
        <w:spacing w:before="0" w:after="225"/>
        <w:jc w:val="left"/>
        <w:rPr>
          <w:rFonts w:ascii="sans-serif" w:hAnsi="sans-serif"/>
          <w:color w:val="000000"/>
          <w:sz w:val="28"/>
        </w:rPr>
      </w:pPr>
      <w:r>
        <w:rPr>
          <w:rFonts w:ascii="sans-serif" w:hAnsi="sans-serif"/>
          <w:color w:val="000000"/>
          <w:sz w:val="28"/>
        </w:rPr>
        <w:t>I would like to remind you that this call is being webcast live and recorded. A replay of the event will be available following the call on our website. To access the webcast, please visit our Investors page on our website www.redviolet.com.</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sans-serif" w:hAnsi="sans-serif"/>
          <w:color w:val="000000"/>
          <w:sz w:val="28"/>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During the call, we may present certain non-GAAP financial information relating to adjusted gross profit, adjusted gross margin, adjusted EBITDA, adjusted EBITDA margin, adjusted net income, adjusted earnings per share,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r>
        <w:rPr>
          <w:rFonts w:ascii="Times New Roman" w:hAnsi="Times New Roman"/>
          <w:color w:val="000000"/>
          <w:sz w:val="20"/>
        </w:rPr>
        <w:t xml:space="preserve"> </w:t>
      </w:r>
    </w:p>
    <w:p>
      <w:pPr>
        <w:pStyle w:val="TextBody"/>
        <w:bidi w:val="0"/>
        <w:spacing w:before="0" w:after="225"/>
        <w:jc w:val="left"/>
        <w:rPr>
          <w:rFonts w:ascii="sans-serif" w:hAnsi="sans-serif"/>
          <w:color w:val="000000"/>
          <w:sz w:val="28"/>
        </w:rPr>
      </w:pPr>
      <w:r>
        <w:rPr>
          <w:rFonts w:ascii="sans-serif" w:hAnsi="sans-serif"/>
          <w:color w:val="000000"/>
          <w:sz w:val="28"/>
        </w:rPr>
        <w:t>With that, I am pleased to introduce red violet’s Chairman and Chief Executive Officer, Derek Dubner.</w:t>
      </w:r>
    </w:p>
    <w:p>
      <w:pPr>
        <w:pStyle w:val="TextBody"/>
        <w:bidi w:val="0"/>
        <w:spacing w:before="0" w:after="225"/>
        <w:jc w:val="left"/>
        <w:rPr>
          <w:rFonts w:ascii="sans-serif" w:hAnsi="sans-serif"/>
          <w:b/>
          <w:color w:val="000000"/>
          <w:sz w:val="28"/>
        </w:rPr>
      </w:pPr>
      <w:r>
        <w:rPr>
          <w:rFonts w:ascii="sans-serif" w:hAnsi="sans-serif"/>
          <w:b/>
          <w:color w:val="000000"/>
          <w:sz w:val="28"/>
        </w:rPr>
        <w:t>Derek Dubner</w:t>
      </w:r>
    </w:p>
    <w:p>
      <w:pPr>
        <w:pStyle w:val="TextBody"/>
        <w:bidi w:val="0"/>
        <w:spacing w:before="0" w:after="160"/>
        <w:jc w:val="left"/>
        <w:rPr>
          <w:rFonts w:ascii="sans-serif" w:hAnsi="sans-serif"/>
          <w:color w:val="000000"/>
          <w:sz w:val="28"/>
        </w:rPr>
      </w:pPr>
      <w:r>
        <w:rPr>
          <w:rFonts w:ascii="sans-serif" w:hAnsi="sans-serif"/>
          <w:color w:val="000000"/>
          <w:sz w:val="28"/>
        </w:rPr>
        <w:t>Good afternoon, everyone, and thank you for joining us today to discuss our first quarter financial results.</w:t>
      </w:r>
    </w:p>
    <w:p>
      <w:pPr>
        <w:pStyle w:val="TextBody"/>
        <w:bidi w:val="0"/>
        <w:spacing w:before="0" w:after="160"/>
        <w:jc w:val="left"/>
        <w:rPr>
          <w:rFonts w:ascii="sans-serif" w:hAnsi="sans-serif"/>
          <w:color w:val="000000"/>
          <w:sz w:val="28"/>
        </w:rPr>
      </w:pPr>
      <w:r>
        <w:rPr>
          <w:rFonts w:ascii="sans-serif" w:hAnsi="sans-serif"/>
          <w:color w:val="000000"/>
          <w:sz w:val="28"/>
        </w:rPr>
        <w:t>We are pleased to report another strong quarter, marked by solid execution and continued demand across our business. Our results reflect sustained strength across our diversified customer base, with performance driven by both existing relationships and new customer wins. Despite the persistent volatility in the macroeconomic environment, volumes have remained solid, underscoring the durability and relevance of our solutions.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sans-serif" w:hAnsi="sans-serif"/>
          <w:color w:val="000000"/>
          <w:sz w:val="28"/>
        </w:rPr>
        <w:t>Now, let’s briefly run through the numbers. Revenue for the quarter was up 26% to a record $22.0 million, producing a record adjusted gross profit of $18.3 million and a record adjusted gross margin of 83%. Adjusted EBITDA for the quarter was up 47% to a record $8.4 million, producing a record adjusted EBITDA margin of 38%, up 6-percentage points. Adjusted net income increased 53% to a record $4.8 million for the quarter, resulting in record adjusted earnings of 33 cents per diluted share.</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Our IDI billable customer base increased by 315 customers sequentially from the fourth quarter, ending the first quarter at 9,241 customers. Within FOREWARN, we added 21,918 users during the first quarter, ending the quarter with 325,336 users. Over 545 Realtor® Associations are now contracted to use FOREWARN.</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8"/>
        </w:rPr>
      </w:pPr>
      <w:r>
        <w:rPr>
          <w:rFonts w:ascii="sans-serif" w:hAnsi="sans-serif"/>
          <w:color w:val="000000"/>
          <w:sz w:val="28"/>
        </w:rPr>
        <w:t>We continue to experience strong receptivity from prospective customers, which reinforces the value proposition of our platform. Clients are increasingly turning to us not just for innovation, but for cost-effective, scalable solutions that address mission-critical needs. Our ability to simultaneously deliver innovation and efficiency is clearly resonating.</w:t>
      </w:r>
    </w:p>
    <w:p>
      <w:pPr>
        <w:pStyle w:val="TextBody"/>
        <w:bidi w:val="0"/>
        <w:spacing w:before="0" w:after="160"/>
        <w:jc w:val="left"/>
        <w:rPr>
          <w:rFonts w:ascii="sans-serif" w:hAnsi="sans-serif"/>
          <w:color w:val="000000"/>
          <w:sz w:val="28"/>
        </w:rPr>
      </w:pPr>
      <w:r>
        <w:rPr>
          <w:rFonts w:ascii="sans-serif" w:hAnsi="sans-serif"/>
          <w:color w:val="000000"/>
          <w:sz w:val="28"/>
        </w:rPr>
        <w:t>As we look at the broader environment, specifically the economic volatility and uncertainty beginning in the first quarter, it is important to again underscore the durability of our business model, which has consistently proven its strength through multiple economic cycles. From the dotcom bubble, the housing crisis, and the Great Recession, to the unprecedented challenges of the pandemic, this model has proven resilient — and even opportunistic — during times of stress.</w:t>
      </w:r>
    </w:p>
    <w:p>
      <w:pPr>
        <w:pStyle w:val="TextBody"/>
        <w:bidi w:val="0"/>
        <w:spacing w:before="0" w:after="160"/>
        <w:jc w:val="left"/>
        <w:rPr>
          <w:rFonts w:ascii="Times New Roman" w:hAnsi="Times New Roman"/>
          <w:sz w:val="20"/>
        </w:rPr>
      </w:pPr>
      <w:r>
        <w:rPr>
          <w:rFonts w:ascii="sans-serif" w:hAnsi="sans-serif"/>
          <w:color w:val="000000"/>
          <w:sz w:val="28"/>
        </w:rPr>
        <w:t>This resilience is driven by the diversity of the industries we serve and the critical nature of our solutions. In a strong economic environment, many of our customers, particularly within corporate sectors and financial services, rely on our technology and solutions to support front-end growth use cases, such as new account openings, onboarding, and customer engagement.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8"/>
        </w:rPr>
        <w:t>Conversely, in a more challenging economic climate, when financial pressures mount for consumers and businesses alike, other segments of our customer base become more active. In such times, we see heightened demand from clients focused on legal workflows, investigations, collections, process serving, repossession, and related functions. Additionally, in times of uncertainty,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color w:val="000000"/>
          <w:sz w:val="28"/>
        </w:rPr>
      </w:pPr>
      <w:r>
        <w:rPr>
          <w:rFonts w:ascii="sans-serif" w:hAnsi="sans-serif"/>
          <w:color w:val="000000"/>
          <w:sz w:val="28"/>
        </w:rPr>
        <w:t>need for fraud prevention and risk mitigation only increases, and our solutions are essential in helping organizations across the spectrum protect their operations.</w:t>
      </w:r>
    </w:p>
    <w:p>
      <w:pPr>
        <w:pStyle w:val="TextBody"/>
        <w:bidi w:val="0"/>
        <w:spacing w:before="0" w:after="160"/>
        <w:jc w:val="left"/>
        <w:rPr>
          <w:rFonts w:ascii="sans-serif" w:hAnsi="sans-serif"/>
          <w:color w:val="000000"/>
          <w:sz w:val="28"/>
        </w:rPr>
      </w:pPr>
      <w:r>
        <w:rPr>
          <w:rFonts w:ascii="sans-serif" w:hAnsi="sans-serif"/>
          <w:color w:val="000000"/>
          <w:sz w:val="28"/>
        </w:rPr>
        <w:t>This counter-cyclical balance in demand ensures that we remain relevant and mission-critical regardless of market conditions. It also gives us strong confidence in our ability to continue performing through economic fluctuations while supporting our customers' evolving needs.</w:t>
      </w:r>
    </w:p>
    <w:p>
      <w:pPr>
        <w:pStyle w:val="TextBody"/>
        <w:bidi w:val="0"/>
        <w:spacing w:before="0" w:after="160"/>
        <w:jc w:val="left"/>
        <w:rPr>
          <w:rFonts w:ascii="sans-serif" w:hAnsi="sans-serif"/>
          <w:color w:val="000000"/>
          <w:sz w:val="28"/>
        </w:rPr>
      </w:pPr>
      <w:r>
        <w:rPr>
          <w:rFonts w:ascii="sans-serif" w:hAnsi="sans-serif"/>
          <w:color w:val="000000"/>
          <w:sz w:val="28"/>
        </w:rPr>
        <w:t>Over the last few years, we have observed a structural shift in consumer dynamics, where the middle class is no longer anchored in the center, but rather drawn toward the financial extremes that have traditionally defined our core use cases. It is the first time in decades that I’ve seen this level of activity from both ends of the economic spectrum converge to this degree, where a rising tide is lifting nearly all boats with our business positioned right at the intersection of these trends.</w:t>
      </w:r>
    </w:p>
    <w:p>
      <w:pPr>
        <w:pStyle w:val="TextBody"/>
        <w:bidi w:val="0"/>
        <w:spacing w:before="0" w:after="160"/>
        <w:jc w:val="left"/>
        <w:rPr>
          <w:rFonts w:ascii="sans-serif" w:hAnsi="sans-serif"/>
          <w:color w:val="000000"/>
          <w:sz w:val="28"/>
        </w:rPr>
      </w:pPr>
      <w:r>
        <w:rPr>
          <w:rFonts w:ascii="sans-serif" w:hAnsi="sans-serif"/>
          <w:color w:val="000000"/>
          <w:sz w:val="28"/>
        </w:rPr>
        <w:t>Today, our focus remains on a set of strategic priorities, which we have touched on previously, designed to drive long-term value. These include increasing productivity across the organization, analyzing and implementing automation to streamline operations as we scale, and intensifying our efforts around proprietary data generation and aggregation, which includes our continued use of AI to derive insights from our core identity graph.</w:t>
      </w:r>
    </w:p>
    <w:p>
      <w:pPr>
        <w:pStyle w:val="TextBody"/>
        <w:bidi w:val="0"/>
        <w:spacing w:before="0" w:after="160"/>
        <w:jc w:val="left"/>
        <w:rPr>
          <w:rFonts w:ascii="sans-serif" w:hAnsi="sans-serif"/>
          <w:color w:val="000000"/>
          <w:sz w:val="28"/>
        </w:rPr>
      </w:pPr>
      <w:r>
        <w:rPr>
          <w:rFonts w:ascii="sans-serif" w:hAnsi="sans-serif"/>
          <w:color w:val="000000"/>
          <w:sz w:val="28"/>
        </w:rPr>
        <w:t>We believe these initiatives will further leverage our business model, strengthen our competitive position, and support even stronger financial performance in the medium to long term.</w:t>
      </w:r>
    </w:p>
    <w:p>
      <w:pPr>
        <w:pStyle w:val="TextBody"/>
        <w:bidi w:val="0"/>
        <w:spacing w:before="0" w:after="160"/>
        <w:jc w:val="left"/>
        <w:rPr>
          <w:rFonts w:ascii="sans-serif" w:hAnsi="sans-serif"/>
          <w:color w:val="000000"/>
          <w:sz w:val="28"/>
        </w:rPr>
      </w:pPr>
      <w:r>
        <w:rPr>
          <w:rFonts w:ascii="sans-serif" w:hAnsi="sans-serif"/>
          <w:color w:val="000000"/>
          <w:sz w:val="28"/>
        </w:rPr>
        <w:t>Thank you again to our employees, partners, and customers for your continued trust and collaboration. We look forward to building on this momentum in the quarters ahead.</w:t>
      </w:r>
    </w:p>
    <w:p>
      <w:pPr>
        <w:pStyle w:val="TextBody"/>
        <w:bidi w:val="0"/>
        <w:spacing w:before="0" w:after="160"/>
        <w:jc w:val="left"/>
        <w:rPr>
          <w:rFonts w:ascii="sans-serif" w:hAnsi="sans-serif"/>
          <w:color w:val="000000"/>
          <w:sz w:val="28"/>
        </w:rPr>
      </w:pPr>
      <w:r>
        <w:rPr>
          <w:rFonts w:ascii="sans-serif" w:hAnsi="sans-serif"/>
          <w:color w:val="000000"/>
          <w:sz w:val="28"/>
        </w:rPr>
        <w:t>Now, I’ll turn it over to Dan to discuss the financials.</w:t>
      </w:r>
    </w:p>
    <w:p>
      <w:pPr>
        <w:pStyle w:val="TextBody"/>
        <w:bidi w:val="0"/>
        <w:spacing w:before="0" w:after="225"/>
        <w:jc w:val="left"/>
        <w:rPr>
          <w:rFonts w:ascii="sans-serif" w:hAnsi="sans-serif"/>
          <w:b/>
          <w:color w:val="000000"/>
          <w:sz w:val="28"/>
        </w:rPr>
      </w:pPr>
      <w:r>
        <w:rPr>
          <w:rFonts w:ascii="sans-serif" w:hAnsi="sans-serif"/>
          <w:b/>
          <w:color w:val="000000"/>
          <w:sz w:val="28"/>
        </w:rPr>
        <w:t>Dan MacLachlan</w:t>
      </w:r>
    </w:p>
    <w:p>
      <w:pPr>
        <w:pStyle w:val="TextBody"/>
        <w:bidi w:val="0"/>
        <w:spacing w:before="0" w:after="225"/>
        <w:jc w:val="left"/>
        <w:rPr>
          <w:rFonts w:ascii="Times New Roman" w:hAnsi="Times New Roman"/>
          <w:sz w:val="20"/>
        </w:rPr>
      </w:pPr>
      <w:r>
        <w:rPr>
          <w:rFonts w:ascii="sans-serif" w:hAnsi="sans-serif"/>
          <w:color w:val="000000"/>
          <w:sz w:val="28"/>
        </w:rPr>
        <w:t>Thank you, Derek, and good afternoon, everyone. We are excited to kick off 2025 with another record quarter, building on the momentum we established throughout 2024. Our first quarter performance reflects solid execution, broad-based demand across our verticals, and the efficiency of our operating model. 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sans-serif" w:hAnsi="sans-serif"/>
          <w:color w:val="000000"/>
          <w:sz w:val="28"/>
        </w:rPr>
      </w:pPr>
      <w:r>
        <w:rPr>
          <w:rFonts w:ascii="sans-serif" w:hAnsi="sans-serif"/>
          <w:color w:val="000000"/>
          <w:sz w:val="28"/>
        </w:rPr>
        <w:t>we move into the year, we remain focused on our priorities — delivering consistent results, deecpening customer relationships, and continuing to invest where we see the greatest return. With a strong foundation and growing leverage in the business, we are well-positioned to deliver another year of healthy, sustainable growth.</w:t>
      </w:r>
    </w:p>
    <w:p>
      <w:pPr>
        <w:pStyle w:val="TextBody"/>
        <w:bidi w:val="0"/>
        <w:spacing w:before="0" w:after="225"/>
        <w:jc w:val="left"/>
        <w:rPr>
          <w:rFonts w:ascii="Times New Roman" w:hAnsi="Times New Roman"/>
          <w:sz w:val="20"/>
        </w:rPr>
      </w:pPr>
      <w:r>
        <w:rPr>
          <w:rFonts w:ascii="sans-serif" w:hAnsi="sans-serif"/>
          <w:color w:val="000000"/>
          <w:sz w:val="28"/>
        </w:rPr>
        <w:t>Turning now to our first quarter results, for clarity, all the comparisons I will discuss today will be against the first quarter of 2024, unless noted otherwise.</w:t>
      </w:r>
      <w:r>
        <w:rPr>
          <w:rFonts w:ascii="Times New Roman" w:hAnsi="Times New Roman"/>
          <w:color w:val="000000"/>
          <w:sz w:val="20"/>
        </w:rPr>
        <w:t xml:space="preserve"> </w:t>
      </w:r>
    </w:p>
    <w:p>
      <w:pPr>
        <w:pStyle w:val="TextBody"/>
        <w:bidi w:val="0"/>
        <w:spacing w:before="0" w:after="225"/>
        <w:jc w:val="left"/>
        <w:rPr>
          <w:rFonts w:ascii="sans-serif" w:hAnsi="sans-serif"/>
          <w:color w:val="000000"/>
          <w:sz w:val="28"/>
        </w:rPr>
      </w:pPr>
      <w:r>
        <w:rPr>
          <w:rFonts w:ascii="sans-serif" w:hAnsi="sans-serif"/>
          <w:color w:val="000000"/>
          <w:sz w:val="28"/>
        </w:rPr>
        <w:t>Total revenue was a record $22.0 million, representing a 26% increase over the prior year. We generated a record $18.3 million in adjusted gross profit, resulting in a record adjusted gross margin of 83%, up 4-percentage points. Adjusted EBITDA for the quarter was also a record at $8.4 million, an increase of 47% over the prior year. Adjusted EBITDA margin reached a record 38%, up 6-percentage points. Adjusted net income increased 53% to a record $4.8 million, resulting in record adjusted earnings of 33 cents per diluted share.</w:t>
      </w:r>
    </w:p>
    <w:p>
      <w:pPr>
        <w:pStyle w:val="TextBody"/>
        <w:bidi w:val="0"/>
        <w:spacing w:before="0" w:after="225"/>
        <w:jc w:val="left"/>
        <w:rPr>
          <w:rFonts w:ascii="Times New Roman" w:hAnsi="Times New Roman"/>
          <w:sz w:val="20"/>
        </w:rPr>
      </w:pPr>
      <w:r>
        <w:rPr>
          <w:rFonts w:ascii="sans-serif" w:hAnsi="sans-serif"/>
          <w:color w:val="000000"/>
          <w:sz w:val="28"/>
        </w:rPr>
        <w:t>Moving through the details of our P&amp;L, as mentioned, revenue was $22.0 million for the first quarter. This total includes $1.2 million in one-time transactional revenue associated with two significant opportunity wins from two new customers. Excluding this one-time transactional revenue, first quarter revenue growth would have still been a healthy 19%.</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Within IDI, we saw growth across verticals. IDI’s billable customer base increased by over 300 customers sequentially from the fourth quarter, ending the quarter at over 9,200 customers. Our Emerging Markets vertical led all verticals on a percentage basis, delivering strong double-digit revenue growth, inclusive of the $1.2 million in one-time transactional revenue. Our Investigative vertical continues to perform well, driven by Law Enforcement, which has now grown sequentially in every quarter since Q4 of 2021. We also saw strong double-digit revenue growth in our Financial and Corporate Risk vertical, led by the banking and financial industry. The Collections vertical delivered mid-single-digit growth; note that, the prior-year quarter included outsized transactional revenue related to our idiVERIFIED product. Normalizing for that impact, this quarter’s growth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sans-serif" w:hAnsi="sans-serif"/>
          <w:color w:val="000000"/>
          <w:sz w:val="28"/>
        </w:rPr>
      </w:pPr>
      <w:r>
        <w:rPr>
          <w:rFonts w:ascii="sans-serif" w:hAnsi="sans-serif"/>
          <w:color w:val="000000"/>
          <w:sz w:val="28"/>
        </w:rPr>
        <w:t>would have been in the mid-teens—representing the highest year-over-year revenue growth rate in the Collections vertical since 2020. We continue to see healthy trends and improving performance in the Collections industry. IDI’s Real Estate vertical, which excludes FOREWARN, declined by low single digits, still impacted by affordability issues of strong home prices and elevated interest rates.</w:t>
      </w:r>
    </w:p>
    <w:p>
      <w:pPr>
        <w:pStyle w:val="TextBody"/>
        <w:bidi w:val="0"/>
        <w:spacing w:before="0" w:after="225"/>
        <w:jc w:val="left"/>
        <w:rPr>
          <w:rFonts w:ascii="sans-serif" w:hAnsi="sans-serif"/>
          <w:color w:val="000000"/>
          <w:sz w:val="28"/>
        </w:rPr>
      </w:pPr>
      <w:r>
        <w:rPr>
          <w:rFonts w:ascii="sans-serif" w:hAnsi="sans-serif"/>
          <w:color w:val="000000"/>
          <w:sz w:val="28"/>
        </w:rPr>
        <w:t>With over 545 REALTOR® Associations under contract across the U.S., FOREWARN delivered another quarter of strong double-digit revenue growth, adding more than 20,000 users during the quarter. This marks FOREWARN’s twentieth consecutive quarter of sequential revenue growth.</w:t>
      </w:r>
    </w:p>
    <w:p>
      <w:pPr>
        <w:pStyle w:val="TextBody"/>
        <w:bidi w:val="0"/>
        <w:spacing w:before="0" w:after="225"/>
        <w:jc w:val="left"/>
        <w:rPr>
          <w:rFonts w:ascii="sans-serif" w:hAnsi="sans-serif"/>
          <w:color w:val="000000"/>
          <w:sz w:val="28"/>
        </w:rPr>
      </w:pPr>
      <w:r>
        <w:rPr>
          <w:rFonts w:ascii="sans-serif" w:hAnsi="sans-serif"/>
          <w:color w:val="000000"/>
          <w:sz w:val="28"/>
        </w:rPr>
        <w:t>Contractual revenue represented 74% of total revenue for the quarter, down 4-percentage points from the prior year. This decline was attributable to the $1.2 million in one-time transactional revenue referenced earlier. Gross revenue retention was 96% for the quarter, an increase of 3-percentage points over the prior year.</w:t>
      </w:r>
    </w:p>
    <w:p>
      <w:pPr>
        <w:pStyle w:val="TextBody"/>
        <w:bidi w:val="0"/>
        <w:spacing w:before="0" w:after="225"/>
        <w:jc w:val="left"/>
        <w:rPr>
          <w:rFonts w:ascii="sans-serif" w:hAnsi="sans-serif"/>
          <w:color w:val="000000"/>
          <w:sz w:val="28"/>
        </w:rPr>
      </w:pPr>
      <w:r>
        <w:rPr>
          <w:rFonts w:ascii="sans-serif" w:hAnsi="sans-serif"/>
          <w:color w:val="000000"/>
          <w:sz w:val="28"/>
        </w:rPr>
        <w:t>Moving back to the P&amp;L, our cost of revenue (exclusive of depreciation and amortization) decreased $0.1 million, or 3%, to $3.7 million. Adjusted gross profit increased 33% to $18.3 million, resulting in an adjusted gross margin of 83% — a 4-percentage point increase over the prior year.</w:t>
      </w:r>
    </w:p>
    <w:p>
      <w:pPr>
        <w:pStyle w:val="TextBody"/>
        <w:bidi w:val="0"/>
        <w:spacing w:before="0" w:after="225"/>
        <w:jc w:val="left"/>
        <w:rPr>
          <w:rFonts w:ascii="Times New Roman" w:hAnsi="Times New Roman"/>
          <w:sz w:val="20"/>
        </w:rPr>
      </w:pPr>
      <w:r>
        <w:rPr>
          <w:rFonts w:ascii="sans-serif" w:hAnsi="sans-serif"/>
          <w:color w:val="000000"/>
          <w:sz w:val="28"/>
        </w:rPr>
        <w:t>Sales and marketing expenses increased $1.7 million, or 46%, to $5.4 million for the quarter, driven primarily by higher personnel-related expenses.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General and administrative expenses increased $0.4 million, or 7%, to $6.2 million for the quarter, also driven primarily by higher personnel-related expenses.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Depreciation and amortization increased $0.3 million, or 12%, to $2.6 million for the quarter.</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Our net income increased $1.6 million, or 93%, to $3.4 million for the quarter.</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Adjusted net income for the quarter increased $1.6 million, or 53%, to $4.8 million, resulting in adjusted earnings of 33 cents per diluted share.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sans-serif" w:hAnsi="sans-serif"/>
          <w:color w:val="000000"/>
          <w:sz w:val="28"/>
        </w:rPr>
        <w:t>Moving on to the balance sheet. Cash and cash equivalents were $34.6 million at March 31, 2025, compared to $36.5 million at December 31, 2024. Current assets totaled $45.9 million, compared to $46.2 million at year-end, while current liabilities were $5.1 million, compared to $10.3 million.</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We generated $5.0 million in cash from operating activities in the first quarter, compared to $4.3 million for the same period in 2024.</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We generated $2.5 million in free cash flow in the first quarter, compared to $1.9 million for the same period in 2024.</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We did not purchase any shares of Company stock under our stock repurchase program during the first quarter.</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sans-serif" w:hAnsi="sans-serif"/>
          <w:color w:val="000000"/>
          <w:sz w:val="28"/>
        </w:rPr>
        <w:t>We paid out a special cash dividend of $0.30 per share on the Company’s common stock to shareholders of record as of January 31, 2025. The dividend, totaling $4.2 million, was distributed on February 14, 2025.</w:t>
      </w:r>
      <w:r>
        <w:rPr>
          <w:rFonts w:ascii="Times New Roman" w:hAnsi="Times New Roman"/>
          <w:color w:val="000000"/>
          <w:sz w:val="20"/>
        </w:rPr>
        <w:t xml:space="preserve"> </w:t>
      </w:r>
    </w:p>
    <w:p>
      <w:pPr>
        <w:pStyle w:val="TextBody"/>
        <w:bidi w:val="0"/>
        <w:spacing w:before="0" w:after="225"/>
        <w:jc w:val="left"/>
        <w:rPr>
          <w:rFonts w:ascii="sans-serif" w:hAnsi="sans-serif"/>
          <w:color w:val="000000"/>
          <w:sz w:val="28"/>
        </w:rPr>
      </w:pPr>
      <w:r>
        <w:rPr>
          <w:rFonts w:ascii="sans-serif" w:hAnsi="sans-serif"/>
          <w:color w:val="000000"/>
          <w:sz w:val="28"/>
        </w:rPr>
        <w:t>To wrap up, 2025 is off to a great start. This quarter reflects solid execution across the business and reinforces the strength of our model — one that delivers profitable growth, strong cash flow, and high levels of customer retention. We are investing with intention, leaning into the areas of the greatest opportunity, while maintaining the operational discipline that underpins our performance. As we progress through 2025, we remain focused on sustaining our momentum, expanding our reach, and creating long-term value for our shareholders.</w:t>
      </w:r>
    </w:p>
    <w:p>
      <w:pPr>
        <w:pStyle w:val="TextBody"/>
        <w:bidi w:val="0"/>
        <w:spacing w:before="0" w:after="225"/>
        <w:jc w:val="left"/>
        <w:rPr>
          <w:rFonts w:ascii="sans-serif" w:hAnsi="sans-serif"/>
          <w:color w:val="000000"/>
          <w:sz w:val="28"/>
        </w:rPr>
      </w:pPr>
      <w:r>
        <w:rPr>
          <w:rFonts w:ascii="sans-serif" w:hAnsi="sans-serif"/>
          <w:color w:val="000000"/>
          <w:sz w:val="28"/>
        </w:rPr>
        <w:t>With that, our operator will now open the line for Q&amp;A?</w:t>
      </w:r>
    </w:p>
    <w:p>
      <w:pPr>
        <w:pStyle w:val="TextBody"/>
        <w:bidi w:val="0"/>
        <w:spacing w:before="0" w:after="225"/>
        <w:jc w:val="left"/>
        <w:rPr>
          <w:rFonts w:ascii="sans-serif" w:hAnsi="sans-serif"/>
          <w:b/>
          <w:color w:val="000000"/>
          <w:sz w:val="28"/>
        </w:rPr>
      </w:pPr>
      <w:r>
        <w:rPr>
          <w:rFonts w:ascii="sans-serif" w:hAnsi="sans-serif"/>
          <w:b/>
          <w:color w:val="000000"/>
          <w:sz w:val="28"/>
        </w:rPr>
        <w:t>Operator</w:t>
      </w:r>
    </w:p>
    <w:p>
      <w:pPr>
        <w:pStyle w:val="TextBody"/>
        <w:bidi w:val="0"/>
        <w:spacing w:before="0" w:after="225"/>
        <w:jc w:val="left"/>
        <w:rPr>
          <w:rFonts w:ascii="sans-serif" w:hAnsi="sans-serif"/>
          <w:color w:val="000000"/>
          <w:sz w:val="28"/>
        </w:rPr>
      </w:pPr>
      <w:r>
        <w:rPr>
          <w:rFonts w:ascii="sans-serif" w:hAnsi="sans-serif"/>
          <w:color w:val="000000"/>
          <w:sz w:val="28"/>
        </w:rPr>
        <w:t>(Operator Instructions) The first question comes from the line of Josh Nichols of B. Riley. Josh – please go ahead.</w:t>
      </w:r>
    </w:p>
    <w:p>
      <w:pPr>
        <w:pStyle w:val="TextBody"/>
        <w:bidi w:val="0"/>
        <w:spacing w:before="0" w:after="225"/>
        <w:jc w:val="left"/>
        <w:rPr>
          <w:rFonts w:ascii="sans-serif" w:hAnsi="sans-serif"/>
          <w:b/>
          <w:color w:val="000000"/>
          <w:sz w:val="28"/>
        </w:rPr>
      </w:pPr>
      <w:r>
        <w:rPr>
          <w:rFonts w:ascii="sans-serif" w:hAnsi="sans-serif"/>
          <w:b/>
          <w:color w:val="000000"/>
          <w:sz w:val="28"/>
        </w:rPr>
        <w:t>Josh Nichols</w:t>
      </w:r>
    </w:p>
    <w:p>
      <w:pPr>
        <w:pStyle w:val="TextBody"/>
        <w:bidi w:val="0"/>
        <w:spacing w:before="0" w:after="225"/>
        <w:jc w:val="left"/>
        <w:rPr>
          <w:rFonts w:ascii="Times New Roman" w:hAnsi="Times New Roman"/>
          <w:sz w:val="20"/>
        </w:rPr>
      </w:pPr>
      <w:r>
        <w:rPr>
          <w:rFonts w:ascii="sans-serif" w:hAnsi="sans-serif"/>
          <w:color w:val="000000"/>
          <w:sz w:val="28"/>
        </w:rPr>
        <w:t>Thank you for taking my question and great to see another quarter with a lot of records being set yet again. Quick question for me. I mean quite strong growth</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sans-serif" w:hAnsi="sans-serif"/>
          <w:color w:val="000000"/>
          <w:sz w:val="28"/>
        </w:rPr>
      </w:pPr>
      <w:r>
        <w:rPr>
          <w:rFonts w:ascii="sans-serif" w:hAnsi="sans-serif"/>
          <w:color w:val="000000"/>
          <w:sz w:val="28"/>
        </w:rPr>
        <w:t>when you look at like the IDI customers this quarter. Is there any color that you could provide with a little bit more granularity on what's driving that specifically or how you think that those trends are going to play out through the remainder of the year?</w:t>
      </w:r>
    </w:p>
    <w:p>
      <w:pPr>
        <w:pStyle w:val="TextBody"/>
        <w:bidi w:val="0"/>
        <w:spacing w:before="0" w:after="225"/>
        <w:jc w:val="left"/>
        <w:rPr>
          <w:rFonts w:ascii="sans-serif" w:hAnsi="sans-serif"/>
          <w:b/>
          <w:color w:val="000000"/>
          <w:sz w:val="28"/>
        </w:rPr>
      </w:pPr>
      <w:r>
        <w:rPr>
          <w:rFonts w:ascii="sans-serif" w:hAnsi="sans-serif"/>
          <w:b/>
          <w:color w:val="000000"/>
          <w:sz w:val="28"/>
        </w:rPr>
        <w:t>Daniel MacLachlan</w:t>
      </w:r>
    </w:p>
    <w:p>
      <w:pPr>
        <w:pStyle w:val="TextBody"/>
        <w:bidi w:val="0"/>
        <w:spacing w:before="0" w:after="225"/>
        <w:jc w:val="left"/>
        <w:rPr>
          <w:rFonts w:ascii="sans-serif" w:hAnsi="sans-serif"/>
          <w:color w:val="000000"/>
          <w:sz w:val="28"/>
        </w:rPr>
      </w:pPr>
      <w:r>
        <w:rPr>
          <w:rFonts w:ascii="sans-serif" w:hAnsi="sans-serif"/>
          <w:color w:val="000000"/>
          <w:sz w:val="28"/>
        </w:rPr>
        <w:t>Yes, Josh, hi this is Dan, and thanks for the questions. And it kind of just builds on what we talked about last quarter that in the fourth quarter, we saw just strong consistent volume across the customer base and across verticals, whether that be Financial and Corporate Risk, Collections, FOREWARN, Investigative or Emerging Markets. And in the first quarter, we saw the same thing again.</w:t>
      </w:r>
    </w:p>
    <w:p>
      <w:pPr>
        <w:pStyle w:val="TextBody"/>
        <w:bidi w:val="0"/>
        <w:spacing w:before="0" w:after="225"/>
        <w:jc w:val="left"/>
        <w:rPr>
          <w:rFonts w:ascii="sans-serif" w:hAnsi="sans-serif"/>
          <w:color w:val="000000"/>
          <w:sz w:val="28"/>
        </w:rPr>
      </w:pPr>
      <w:r>
        <w:rPr>
          <w:rFonts w:ascii="sans-serif" w:hAnsi="sans-serif"/>
          <w:color w:val="000000"/>
          <w:sz w:val="28"/>
        </w:rPr>
        <w:t>Obviously, there's a bit of uncertainty in the broader economic activity. But from our business' perspective, we didn't see any impact from that whatsoever.</w:t>
      </w:r>
    </w:p>
    <w:p>
      <w:pPr>
        <w:pStyle w:val="TextBody"/>
        <w:bidi w:val="0"/>
        <w:spacing w:before="0" w:after="225"/>
        <w:jc w:val="left"/>
        <w:rPr>
          <w:rFonts w:ascii="sans-serif" w:hAnsi="sans-serif"/>
          <w:color w:val="000000"/>
          <w:sz w:val="28"/>
        </w:rPr>
      </w:pPr>
      <w:r>
        <w:rPr>
          <w:rFonts w:ascii="sans-serif" w:hAnsi="sans-serif"/>
          <w:color w:val="000000"/>
          <w:sz w:val="28"/>
        </w:rPr>
        <w:t>We continue to see good onboarding across customer verticals and customer size including medium and larger enterprise. And so, we expect that to continue over the remainder of the year. And again, just very excited about the opportunity pipeline that is built and our ability to convert that pipeline.</w:t>
      </w:r>
    </w:p>
    <w:p>
      <w:pPr>
        <w:pStyle w:val="TextBody"/>
        <w:bidi w:val="0"/>
        <w:spacing w:before="0" w:after="225"/>
        <w:jc w:val="left"/>
        <w:rPr>
          <w:rFonts w:ascii="sans-serif" w:hAnsi="sans-serif"/>
          <w:b/>
          <w:color w:val="000000"/>
          <w:sz w:val="28"/>
        </w:rPr>
      </w:pPr>
      <w:r>
        <w:rPr>
          <w:rFonts w:ascii="sans-serif" w:hAnsi="sans-serif"/>
          <w:b/>
          <w:color w:val="000000"/>
          <w:sz w:val="28"/>
        </w:rPr>
        <w:t>Josh Nichols</w:t>
      </w:r>
    </w:p>
    <w:p>
      <w:pPr>
        <w:pStyle w:val="TextBody"/>
        <w:bidi w:val="0"/>
        <w:spacing w:before="0" w:after="225"/>
        <w:jc w:val="left"/>
        <w:rPr>
          <w:rFonts w:ascii="sans-serif" w:hAnsi="sans-serif"/>
          <w:color w:val="000000"/>
          <w:sz w:val="28"/>
        </w:rPr>
      </w:pPr>
      <w:r>
        <w:rPr>
          <w:rFonts w:ascii="sans-serif" w:hAnsi="sans-serif"/>
          <w:color w:val="000000"/>
          <w:sz w:val="28"/>
        </w:rPr>
        <w:t>Thanks, and then just to follow up because you mentioned it, just I know the company has been securing a growing number of larger customers. Any data or highlights that you could provide? Are they slowing down? Are they picking up with the macro uncertainty? Or what are you seeing in terms of large customers, whether it's like government or more some of these public sector awards that you're still in the early days of going after?</w:t>
      </w:r>
    </w:p>
    <w:p>
      <w:pPr>
        <w:pStyle w:val="TextBody"/>
        <w:bidi w:val="0"/>
        <w:spacing w:before="0" w:after="225"/>
        <w:jc w:val="left"/>
        <w:rPr>
          <w:rFonts w:ascii="Times New Roman" w:hAnsi="Times New Roman"/>
          <w:sz w:val="20"/>
        </w:rPr>
      </w:pPr>
      <w:r>
        <w:rPr>
          <w:rFonts w:ascii="sans-serif" w:hAnsi="sans-serif"/>
          <w:b/>
          <w:color w:val="000000"/>
          <w:sz w:val="28"/>
        </w:rPr>
        <w:t>Daniel MacLachlan</w:t>
      </w:r>
      <w:r>
        <w:rPr>
          <w:rFonts w:ascii="Times New Roman" w:hAnsi="Times New Roman"/>
          <w:color w:val="000000"/>
          <w:sz w:val="20"/>
        </w:rPr>
        <w:t xml:space="preserve"> </w:t>
      </w:r>
    </w:p>
    <w:p>
      <w:pPr>
        <w:pStyle w:val="TextBody"/>
        <w:bidi w:val="0"/>
        <w:spacing w:before="0" w:after="225"/>
        <w:jc w:val="left"/>
        <w:rPr>
          <w:rFonts w:ascii="sans-serif" w:hAnsi="sans-serif"/>
          <w:color w:val="000000"/>
          <w:sz w:val="28"/>
        </w:rPr>
      </w:pPr>
      <w:r>
        <w:rPr>
          <w:rFonts w:ascii="sans-serif" w:hAnsi="sans-serif"/>
          <w:color w:val="000000"/>
          <w:sz w:val="28"/>
        </w:rPr>
        <w:t>Yes. Look, I mean from a pure kind of metric perspective, we gave some color in fourth quarter of just being right around 96 customers that were generating in excess of $100,000 in revenue a year.</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sans-serif" w:hAnsi="sans-serif"/>
          <w:color w:val="000000"/>
          <w:sz w:val="28"/>
        </w:rPr>
      </w:pPr>
      <w:r>
        <w:rPr>
          <w:rFonts w:ascii="sans-serif" w:hAnsi="sans-serif"/>
          <w:color w:val="000000"/>
          <w:sz w:val="28"/>
        </w:rPr>
        <w:t>I can say after the first quarter, that has grown nicely to well in excess of 100, close to 110 customers today in the trailing 12 months are spending over $100,000. So, we continue to see that dynamic of the medium and larger enterprise customers and our investment to move up tier significantly pay off.</w:t>
      </w:r>
    </w:p>
    <w:p>
      <w:pPr>
        <w:pStyle w:val="TextBody"/>
        <w:bidi w:val="0"/>
        <w:spacing w:before="0" w:after="225"/>
        <w:jc w:val="left"/>
        <w:rPr>
          <w:rFonts w:ascii="sans-serif" w:hAnsi="sans-serif"/>
          <w:b/>
          <w:color w:val="000000"/>
          <w:sz w:val="28"/>
        </w:rPr>
      </w:pPr>
      <w:r>
        <w:rPr>
          <w:rFonts w:ascii="sans-serif" w:hAnsi="sans-serif"/>
          <w:b/>
          <w:color w:val="000000"/>
          <w:sz w:val="28"/>
        </w:rPr>
        <w:t>Josh Nichols</w:t>
      </w:r>
    </w:p>
    <w:p>
      <w:pPr>
        <w:pStyle w:val="TextBody"/>
        <w:bidi w:val="0"/>
        <w:spacing w:before="0" w:after="225"/>
        <w:jc w:val="left"/>
        <w:rPr>
          <w:rFonts w:ascii="sans-serif" w:hAnsi="sans-serif"/>
          <w:color w:val="000000"/>
          <w:sz w:val="28"/>
        </w:rPr>
      </w:pPr>
      <w:r>
        <w:rPr>
          <w:rFonts w:ascii="sans-serif" w:hAnsi="sans-serif"/>
          <w:color w:val="000000"/>
          <w:sz w:val="28"/>
        </w:rPr>
        <w:t>I appreciate the context there. And then last question for me, Derek, maybe you can provide a little bit more color on this since you've talked about it.</w:t>
      </w:r>
    </w:p>
    <w:p>
      <w:pPr>
        <w:pStyle w:val="TextBody"/>
        <w:bidi w:val="0"/>
        <w:spacing w:before="0" w:after="225"/>
        <w:jc w:val="left"/>
        <w:rPr>
          <w:rFonts w:ascii="sans-serif" w:hAnsi="sans-serif"/>
          <w:color w:val="000000"/>
          <w:sz w:val="28"/>
        </w:rPr>
      </w:pPr>
      <w:r>
        <w:rPr>
          <w:rFonts w:ascii="sans-serif" w:hAnsi="sans-serif"/>
          <w:color w:val="000000"/>
          <w:sz w:val="28"/>
        </w:rPr>
        <w:t>Specifically, if you had to touch on one or two of the areas that you think for like internal or external technology investments that you think could really help grow the business longer term beyond just like a quarter or two, what is it that you're most focused on doing as you continue to build out this core identity graph for the consumer?</w:t>
      </w:r>
    </w:p>
    <w:p>
      <w:pPr>
        <w:pStyle w:val="TextBody"/>
        <w:bidi w:val="0"/>
        <w:spacing w:before="0" w:after="225"/>
        <w:jc w:val="left"/>
        <w:rPr>
          <w:rFonts w:ascii="sans-serif" w:hAnsi="sans-serif"/>
          <w:b/>
          <w:color w:val="000000"/>
          <w:sz w:val="28"/>
        </w:rPr>
      </w:pPr>
      <w:r>
        <w:rPr>
          <w:rFonts w:ascii="sans-serif" w:hAnsi="sans-serif"/>
          <w:b/>
          <w:color w:val="000000"/>
          <w:sz w:val="28"/>
        </w:rPr>
        <w:t>Derek Dubner</w:t>
      </w:r>
    </w:p>
    <w:p>
      <w:pPr>
        <w:pStyle w:val="TextBody"/>
        <w:bidi w:val="0"/>
        <w:spacing w:before="0" w:after="225"/>
        <w:jc w:val="left"/>
        <w:rPr>
          <w:rFonts w:ascii="sans-serif" w:hAnsi="sans-serif"/>
          <w:color w:val="000000"/>
          <w:sz w:val="28"/>
        </w:rPr>
      </w:pPr>
      <w:r>
        <w:rPr>
          <w:rFonts w:ascii="sans-serif" w:hAnsi="sans-serif"/>
          <w:color w:val="000000"/>
          <w:sz w:val="28"/>
        </w:rPr>
        <w:t>Yes. Thanks, Josh. Great question. Well, we have a multi-year product roadmap that we're working on. We continue to invest in not only financially but human resource in expanding the moat around the capabilities around our platform.</w:t>
      </w:r>
    </w:p>
    <w:p>
      <w:pPr>
        <w:pStyle w:val="TextBody"/>
        <w:bidi w:val="0"/>
        <w:spacing w:before="0" w:after="225"/>
        <w:jc w:val="left"/>
        <w:rPr>
          <w:rFonts w:ascii="sans-serif" w:hAnsi="sans-serif"/>
          <w:color w:val="000000"/>
          <w:sz w:val="28"/>
        </w:rPr>
      </w:pPr>
      <w:r>
        <w:rPr>
          <w:rFonts w:ascii="sans-serif" w:hAnsi="sans-serif"/>
          <w:color w:val="000000"/>
          <w:sz w:val="28"/>
        </w:rPr>
        <w:t>It's highly differentiated against anything we've created in the past and against competition. And I think that's what you're seeing. It's translating to customer wins and receptivity around what we can bring.</w:t>
      </w:r>
    </w:p>
    <w:p>
      <w:pPr>
        <w:pStyle w:val="TextBody"/>
        <w:bidi w:val="0"/>
        <w:spacing w:before="0" w:after="225"/>
        <w:jc w:val="left"/>
        <w:rPr>
          <w:rFonts w:ascii="sans-serif" w:hAnsi="sans-serif"/>
          <w:color w:val="000000"/>
          <w:sz w:val="28"/>
        </w:rPr>
      </w:pPr>
      <w:r>
        <w:rPr>
          <w:rFonts w:ascii="sans-serif" w:hAnsi="sans-serif"/>
          <w:color w:val="000000"/>
          <w:sz w:val="28"/>
        </w:rPr>
        <w:t>I would remark that in a time of volatility, we're seeing greater receptivity from prospective customers wanting to understand how we can process their workflows, which we can do and we believe better than the competition.</w:t>
      </w:r>
    </w:p>
    <w:p>
      <w:pPr>
        <w:pStyle w:val="TextBody"/>
        <w:bidi w:val="0"/>
        <w:spacing w:before="0" w:after="225"/>
        <w:jc w:val="left"/>
        <w:rPr>
          <w:rFonts w:ascii="sans-serif" w:hAnsi="sans-serif"/>
          <w:color w:val="000000"/>
          <w:sz w:val="28"/>
        </w:rPr>
      </w:pPr>
      <w:r>
        <w:rPr>
          <w:rFonts w:ascii="sans-serif" w:hAnsi="sans-serif"/>
          <w:color w:val="000000"/>
          <w:sz w:val="28"/>
        </w:rPr>
        <w:t>But we can do so because of the construct of our platform, cloud, et cetera, in a much more efficient manner. And, so they are definitely listening and wanting to understand the opportunity there. So we continue to invest in our identity graph. We're looking to enhance, as I mentioned some of the strategic priorities, enhance the proprietary data generation and aggregation internally, and that includes with some of our initiatives around artificial intelligence.</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sans-serif" w:hAnsi="sans-serif"/>
          <w:color w:val="000000"/>
          <w:sz w:val="28"/>
        </w:rPr>
      </w:pPr>
      <w:r>
        <w:rPr>
          <w:rFonts w:ascii="sans-serif" w:hAnsi="sans-serif"/>
          <w:color w:val="000000"/>
          <w:sz w:val="28"/>
        </w:rPr>
        <w:t>We continue to expand our capabilities to be in -- bring new solutions out in the way of know your business, KYB, account monitoring and really driving more risk signals out of the data that we see, which is extremely helpful and informative for our customers -- and we want to be able to teach them what we're seeing. And we believe it's -- those are insights that they are not seeing perhaps at that time.</w:t>
      </w:r>
    </w:p>
    <w:p>
      <w:pPr>
        <w:pStyle w:val="TextBody"/>
        <w:bidi w:val="0"/>
        <w:spacing w:before="0" w:after="225"/>
        <w:jc w:val="left"/>
        <w:rPr>
          <w:rFonts w:ascii="sans-serif" w:hAnsi="sans-serif"/>
          <w:color w:val="000000"/>
          <w:sz w:val="28"/>
        </w:rPr>
      </w:pPr>
      <w:r>
        <w:rPr>
          <w:rFonts w:ascii="sans-serif" w:hAnsi="sans-serif"/>
          <w:color w:val="000000"/>
          <w:sz w:val="28"/>
        </w:rPr>
        <w:t>So really very current risk signals that alert them to risks. And so we're very excited, and we continue to invest also in the strategic priorities I mentioned of enhancing our productivity and really increasing automation across the enterprise so that as we scale in the out years. You're going to see even greater financial performance, even greater than what we're performing today.</w:t>
      </w:r>
    </w:p>
    <w:p>
      <w:pPr>
        <w:pStyle w:val="TextBody"/>
        <w:bidi w:val="0"/>
        <w:spacing w:before="0" w:after="225"/>
        <w:jc w:val="left"/>
        <w:rPr>
          <w:rFonts w:ascii="sans-serif" w:hAnsi="sans-serif"/>
          <w:b/>
          <w:color w:val="000000"/>
          <w:sz w:val="28"/>
        </w:rPr>
      </w:pPr>
      <w:r>
        <w:rPr>
          <w:rFonts w:ascii="sans-serif" w:hAnsi="sans-serif"/>
          <w:b/>
          <w:color w:val="000000"/>
          <w:sz w:val="28"/>
        </w:rPr>
        <w:t>Josh Nichols</w:t>
      </w:r>
    </w:p>
    <w:p>
      <w:pPr>
        <w:pStyle w:val="TextBody"/>
        <w:bidi w:val="0"/>
        <w:spacing w:before="0" w:after="225"/>
        <w:jc w:val="left"/>
        <w:rPr>
          <w:rFonts w:ascii="sans-serif" w:hAnsi="sans-serif"/>
          <w:color w:val="000000"/>
          <w:sz w:val="28"/>
        </w:rPr>
      </w:pPr>
      <w:r>
        <w:rPr>
          <w:rFonts w:ascii="sans-serif" w:hAnsi="sans-serif"/>
          <w:color w:val="000000"/>
          <w:sz w:val="28"/>
        </w:rPr>
        <w:t>Great to hear and I look forward to seeing you guys in a couple of weeks.</w:t>
      </w:r>
    </w:p>
    <w:p>
      <w:pPr>
        <w:pStyle w:val="TextBody"/>
        <w:bidi w:val="0"/>
        <w:spacing w:before="0" w:after="225"/>
        <w:jc w:val="left"/>
        <w:rPr>
          <w:rFonts w:ascii="sans-serif" w:hAnsi="sans-serif"/>
          <w:b/>
          <w:color w:val="000000"/>
          <w:sz w:val="28"/>
        </w:rPr>
      </w:pPr>
      <w:r>
        <w:rPr>
          <w:rFonts w:ascii="sans-serif" w:hAnsi="sans-serif"/>
          <w:b/>
          <w:color w:val="000000"/>
          <w:sz w:val="28"/>
        </w:rPr>
        <w:t>Derek Dubner</w:t>
      </w:r>
    </w:p>
    <w:p>
      <w:pPr>
        <w:pStyle w:val="TextBody"/>
        <w:bidi w:val="0"/>
        <w:spacing w:before="0" w:after="225"/>
        <w:jc w:val="left"/>
        <w:rPr>
          <w:rFonts w:ascii="sans-serif" w:hAnsi="sans-serif"/>
          <w:color w:val="000000"/>
          <w:sz w:val="28"/>
        </w:rPr>
      </w:pPr>
      <w:r>
        <w:rPr>
          <w:rFonts w:ascii="sans-serif" w:hAnsi="sans-serif"/>
          <w:color w:val="000000"/>
          <w:sz w:val="28"/>
        </w:rPr>
        <w:t>Likewise, thanks, Josh.</w:t>
      </w:r>
    </w:p>
    <w:p>
      <w:pPr>
        <w:pStyle w:val="TextBody"/>
        <w:bidi w:val="0"/>
        <w:spacing w:before="0" w:after="225"/>
        <w:jc w:val="left"/>
        <w:rPr>
          <w:rFonts w:ascii="sans-serif" w:hAnsi="sans-serif"/>
          <w:b/>
          <w:color w:val="000000"/>
          <w:sz w:val="28"/>
        </w:rPr>
      </w:pPr>
      <w:r>
        <w:rPr>
          <w:rFonts w:ascii="sans-serif" w:hAnsi="sans-serif"/>
          <w:b/>
          <w:color w:val="000000"/>
          <w:sz w:val="28"/>
        </w:rPr>
        <w:t>Operator</w:t>
      </w:r>
    </w:p>
    <w:p>
      <w:pPr>
        <w:pStyle w:val="TextBody"/>
        <w:bidi w:val="0"/>
        <w:spacing w:before="0" w:after="225"/>
        <w:jc w:val="left"/>
        <w:rPr>
          <w:rFonts w:ascii="sans-serif" w:hAnsi="sans-serif"/>
          <w:color w:val="000000"/>
          <w:sz w:val="28"/>
        </w:rPr>
      </w:pPr>
      <w:r>
        <w:rPr>
          <w:rFonts w:ascii="sans-serif" w:hAnsi="sans-serif"/>
          <w:color w:val="000000"/>
          <w:sz w:val="28"/>
        </w:rPr>
        <w:t>This concludes the question and answer session. I would now like to turn it back over to Derek Dubner for closing remarks.</w:t>
      </w:r>
    </w:p>
    <w:p>
      <w:pPr>
        <w:pStyle w:val="TextBody"/>
        <w:bidi w:val="0"/>
        <w:spacing w:before="0" w:after="225"/>
        <w:jc w:val="left"/>
        <w:rPr>
          <w:rFonts w:ascii="sans-serif" w:hAnsi="sans-serif"/>
          <w:b/>
          <w:color w:val="000000"/>
          <w:sz w:val="28"/>
        </w:rPr>
      </w:pPr>
      <w:r>
        <w:rPr>
          <w:rFonts w:ascii="sans-serif" w:hAnsi="sans-serif"/>
          <w:b/>
          <w:color w:val="000000"/>
          <w:sz w:val="28"/>
        </w:rPr>
        <w:t>Derek Dubner</w:t>
      </w:r>
    </w:p>
    <w:p>
      <w:pPr>
        <w:pStyle w:val="TextBody"/>
        <w:bidi w:val="0"/>
        <w:spacing w:before="0" w:after="225"/>
        <w:jc w:val="left"/>
        <w:rPr>
          <w:rFonts w:ascii="sans-serif" w:hAnsi="sans-serif"/>
          <w:color w:val="000000"/>
          <w:sz w:val="28"/>
        </w:rPr>
      </w:pPr>
      <w:r>
        <w:rPr>
          <w:rFonts w:ascii="sans-serif" w:hAnsi="sans-serif"/>
          <w:color w:val="000000"/>
          <w:sz w:val="28"/>
        </w:rPr>
        <w:t>In closing, we're proud of our performance this quarter and encouraged by the momentum we're seeing across the business. As we continue to execute upon our strategic priorities, we remain focused on delivering long-term value for our customers, our employees, and our shareholders. Thank you for your continued support and for joining us today.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7133</Words>
  <Characters>38950</Characters>
  <CharactersWithSpaces>45412</CharactersWithSpaces>
  <Paragraphs>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