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7, 2022</w:t>
      </w:r>
    </w:p>
    <w:p>
      <w:pPr>
        <w:spacing w:after="0" w:line="2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RED VIOLET,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94" w:lineRule="exact"/>
        <w:rPr>
          <w:sz w:val="24"/>
          <w:szCs w:val="24"/>
          <w:color w:val="auto"/>
        </w:rPr>
      </w:pPr>
    </w:p>
    <w:tbl>
      <w:tblPr>
        <w:tblLayout w:type="fixed"/>
        <w:tblInd w:w="1240" w:type="dxa"/>
        <w:tblCellMar>
          <w:top w:w="0" w:type="dxa"/>
          <w:left w:w="0" w:type="dxa"/>
          <w:bottom w:w="0" w:type="dxa"/>
          <w:right w:w="0" w:type="dxa"/>
        </w:tblCellMar>
      </w:tblPr>
      <w:tr>
        <w:trPr>
          <w:trHeight w:val="207"/>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001-38407</w:t>
            </w:r>
          </w:p>
        </w:tc>
        <w:tc>
          <w:tcPr>
            <w:tcW w:w="242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82-2408531</w:t>
            </w: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2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20" w:type="dxa"/>
            <w:vAlign w:val="bottom"/>
          </w:tcPr>
          <w:p>
            <w:pPr>
              <w:ind w:left="10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2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2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2650 North Military Trail, Suite 300, Boca Raton, FL 33431</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561-757-4000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4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5"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Trading Symbol (s)</w:t>
            </w:r>
          </w:p>
        </w:tc>
        <w:tc>
          <w:tcPr>
            <w:tcW w:w="374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65"/>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r>
        <w:trPr>
          <w:trHeight w:val="19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RDVT</w:t>
            </w:r>
          </w:p>
        </w:tc>
        <w:tc>
          <w:tcPr>
            <w:tcW w:w="37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43"/>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27" w:lineRule="exact"/>
        <w:rPr>
          <w:sz w:val="24"/>
          <w:szCs w:val="24"/>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78"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On November 7, 2022, Red Violet, Inc., a Delaware corporation (the “Company”), issued a press release announcing its financial results for the third quarter ended September 30, 2022 (the “Earnings Release”). A copy of the Earnings Release is furnished herewith as Exhibit 99.1.</w:t>
      </w:r>
    </w:p>
    <w:p>
      <w:pPr>
        <w:spacing w:after="0" w:line="162"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18"/>
          <w:szCs w:val="18"/>
          <w:color w:val="auto"/>
        </w:rPr>
        <w:t>Also on November 7, 2022, following the issuance of the Earnings Release, the Company conducted a conference call to discuss the reported financial results for the third quarter ended September 30, 2022. The Company had issued a press release on October 20, 2022 to announce the scheduling of the conference call. A copy of the transcript of the conference call is furnished herewith as Exhibit 99.2.</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-7620</wp:posOffset>
            </wp:positionV>
            <wp:extent cx="1811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99.2 </w:t>
      </w:r>
      <w:r>
        <w:rPr>
          <w:rFonts w:ascii="Times New Roman" w:cs="Times New Roman" w:eastAsia="Times New Roman" w:hAnsi="Times New Roman"/>
          <w:sz w:val="18"/>
          <w:szCs w:val="18"/>
          <w:u w:val="single" w:color="auto"/>
          <w:color w:val="0000FF"/>
        </w:rPr>
        <w:t>November 7, 2022 conference call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-7620</wp:posOffset>
            </wp:positionV>
            <wp:extent cx="20364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3644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140" w:val="left"/>
          <w:tab w:leader="none" w:pos="564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8890</wp:posOffset>
            </wp:positionV>
            <wp:extent cx="3540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7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Derek Dubner</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red violet Announces Third Quarter 2022 Financial Results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 Revenue of $15.0 Million Drives Record Earnings of $0.16 Per Share</w:t>
      </w:r>
    </w:p>
    <w:p>
      <w:pPr>
        <w:spacing w:after="0" w:line="22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BOCA RATON, Fla. – November 7, 2022 </w:t>
      </w:r>
      <w:r>
        <w:rPr>
          <w:rFonts w:ascii="Times New Roman" w:cs="Times New Roman" w:eastAsia="Times New Roman" w:hAnsi="Times New Roman"/>
          <w:sz w:val="18"/>
          <w:szCs w:val="18"/>
          <w:color w:val="auto"/>
        </w:rPr>
        <w:t>– Red Violet, Inc. (NASDAQ: RDVT), a leading analytics and information solutions provider,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financial results for the quarter ended September 30, 2022.</w:t>
      </w:r>
    </w:p>
    <w:p>
      <w:pPr>
        <w:spacing w:after="0" w:line="9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“We had a strong quarter, setting records for nearly every key financial metric,” stated Derek Dubner, red violet’s CEO. “Revenue increased 29% to a record $15.0 million, net income increased 80% to a record $2.3 million, earnings increased 78% to a record $0.16 per diluted share and adjusted EBITDA increased 43% to a record $5.2 million. Despite the challenging economic environment, we continue to see strong demand for our innovative identity solutions and pipeline expansion from larger enterprise and public sector prospects. As we continue to add talent to our sales, product and technology teams, we are focused on providing best-in-class, customer-centric solutions and driving strong revenue growth.”</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Financial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2022 as compared to the three months ended September 30, 2021:</w:t>
      </w:r>
    </w:p>
    <w:p>
      <w:pPr>
        <w:spacing w:after="0" w:line="185"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29% to $15.0 million. Platform revenue increased 31% to $14.8 million. Services revenue decreased 29% to $0.2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36% to $10.3 million. Gross margin increased to 69% from 65%.</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35% to $12.0 million. Adjusted gross margin increased to 80% from 76%.</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80% to $2.3 million, which resulted in $0.16 per basic and diluted share.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43% to $5.2 million.</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decreased 9% to $3.1 million.</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$31.3 million as of September 30,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and Recent Business Highlights</w:t>
      </w:r>
    </w:p>
    <w:p>
      <w:pPr>
        <w:spacing w:after="0" w:line="162"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56 customers to IDI™ during the third quarter, ending the quarter with 6,873 customers.</w:t>
      </w:r>
    </w:p>
    <w:p>
      <w:pPr>
        <w:spacing w:after="0" w:line="110" w:lineRule="exact"/>
        <w:rPr>
          <w:rFonts w:ascii="Times New Roman" w:cs="Times New Roman" w:eastAsia="Times New Roman" w:hAnsi="Times New Roman"/>
          <w:sz w:val="18"/>
          <w:szCs w:val="18"/>
          <w:color w:val="auto"/>
        </w:rPr>
      </w:pPr>
    </w:p>
    <w:p>
      <w:pPr>
        <w:ind w:left="380" w:right="340" w:hanging="372"/>
        <w:spacing w:after="0" w:line="227"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8,790 users to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during the third quarter, ending the quarter with 110,051 users. Over 225 REALTOR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Associations are now contracted to use FOREWARN.</w:t>
      </w:r>
    </w:p>
    <w:p>
      <w:pPr>
        <w:spacing w:after="0" w:line="89" w:lineRule="exact"/>
        <w:rPr>
          <w:rFonts w:ascii="Times New Roman" w:cs="Times New Roman" w:eastAsia="Times New Roman" w:hAnsi="Times New Roman"/>
          <w:sz w:val="18"/>
          <w:szCs w:val="18"/>
          <w:color w:val="auto"/>
        </w:rPr>
      </w:pPr>
    </w:p>
    <w:p>
      <w:pPr>
        <w:ind w:left="380" w:right="30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enhance our go-to-market capabilities with the expansion of our sales team, including key new hires focused on several strategic areas within fraud and identity where we are seeing strong traction.</w:t>
      </w:r>
    </w:p>
    <w:p>
      <w:pPr>
        <w:spacing w:after="0" w:line="54" w:lineRule="exact"/>
        <w:rPr>
          <w:rFonts w:ascii="Times New Roman" w:cs="Times New Roman" w:eastAsia="Times New Roman" w:hAnsi="Times New Roman"/>
          <w:sz w:val="18"/>
          <w:szCs w:val="18"/>
          <w:color w:val="auto"/>
        </w:rPr>
      </w:pPr>
    </w:p>
    <w:p>
      <w:pPr>
        <w:ind w:left="380" w:right="78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we have purchased a total of 50,000 shares of the Company’s common stock at an average price of $17.52 per share pursuant to the Company’s Stock Repurchase Program authorized by the board of directors on May 4,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income, the most directly comparable financial measure based on US GAAP, excluding interest (income) expense, net, income tax expense, depreciation and amortization, share-based compensation expense, gain on extinguishment of debt, litigation costs, and write-off of long-lived assets and others. We define adjusted EBITDA margin as adjusted EBITDA as a percentage of revenue. We define adjusted gross profit as revenue less cost of revenue (exclusive of depreciation and amortization), and adjusted gross margin as adjusted gross profit as a percentage of revenue</w:t>
      </w:r>
      <w:r>
        <w:rPr>
          <w:rFonts w:ascii="Calibri" w:cs="Calibri" w:eastAsia="Calibri" w:hAnsi="Calibri"/>
          <w:sz w:val="19"/>
          <w:szCs w:val="19"/>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6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conjunction with this release, red violet will host a conference call and webcast today at 4:30pm ET to discuss its quarterly results and provide a business update. Please click here to pre-register for the conference call and obtain your dial in number and passcode. To access the live audio webcast, visit the Investors section of the red violet website at www.redviolet.com. Please login at least 15 minutes prior to the start of the call to ensure adequate time for any downloads that may be required. Following the completion of the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conference call, an archived webcast of the conference call will be available on the Investors section of the red violet website at www.redviolet.com.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red violet</w:t>
      </w:r>
      <w:r>
        <w:rPr>
          <w:rFonts w:ascii="Times New Roman" w:cs="Times New Roman" w:eastAsia="Times New Roman" w:hAnsi="Times New Roman"/>
          <w:sz w:val="24"/>
          <w:szCs w:val="24"/>
          <w:b w:val="1"/>
          <w:bCs w:val="1"/>
          <w:color w:val="auto"/>
          <w:vertAlign w:val="superscript"/>
        </w:rPr>
        <w:t>®</w:t>
      </w:r>
    </w:p>
    <w:p>
      <w:pPr>
        <w:spacing w:after="0" w:line="113"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color w:val="auto"/>
        </w:rPr>
        <w:t>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www.redviolet.com.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we can continue providing best-in-class, customer-centric solutions and driving strong revenue growth.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2021 filed on March 9, 2022, as may be supplemented or amended by the Company's other SEC filings. We undertake no obligation to publicly update or revise any forward-looking statement, whether as a result of new information, future events or otherwise, except as required by law.</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56"/>
        </w:trPr>
        <w:tc>
          <w:tcPr>
            <w:tcW w:w="7740" w:type="dxa"/>
            <w:vAlign w:val="bottom"/>
            <w:gridSpan w:val="4"/>
            <w:shd w:val="clear" w:color="auto" w:fill="CFF0FC"/>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200" w:type="dxa"/>
            <w:vAlign w:val="bottom"/>
            <w:tcBorders>
              <w:top w:val="single" w:sz="8" w:color="CFF0FC"/>
            </w:tcBorders>
            <w:shd w:val="clear" w:color="auto" w:fill="CFF0FC"/>
          </w:tcPr>
          <w:p>
            <w:pPr>
              <w:spacing w:after="0"/>
              <w:rPr>
                <w:sz w:val="18"/>
                <w:szCs w:val="18"/>
                <w:color w:val="auto"/>
              </w:rPr>
            </w:pPr>
          </w:p>
        </w:tc>
        <w:tc>
          <w:tcPr>
            <w:tcW w:w="37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31,273</w:t>
            </w:r>
          </w:p>
        </w:tc>
        <w:tc>
          <w:tcPr>
            <w:tcW w:w="300" w:type="dxa"/>
            <w:vAlign w:val="bottom"/>
            <w:shd w:val="clear" w:color="auto" w:fill="CFF0FC"/>
          </w:tcPr>
          <w:p>
            <w:pPr>
              <w:spacing w:after="0"/>
              <w:rPr>
                <w:sz w:val="20"/>
                <w:szCs w:val="2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200" w:type="dxa"/>
            <w:vAlign w:val="bottom"/>
            <w:shd w:val="clear" w:color="auto" w:fill="CFF0FC"/>
          </w:tcPr>
          <w:p>
            <w:pPr>
              <w:spacing w:after="0"/>
              <w:rPr>
                <w:sz w:val="13"/>
                <w:szCs w:val="13"/>
                <w:color w:val="auto"/>
              </w:rPr>
            </w:pPr>
          </w:p>
        </w:tc>
        <w:tc>
          <w:tcPr>
            <w:tcW w:w="378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142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14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40" w:type="dxa"/>
            <w:vAlign w:val="bottom"/>
            <w:gridSpan w:val="4"/>
          </w:tcPr>
          <w:p>
            <w:pPr>
              <w:ind w:left="20"/>
              <w:spacing w:after="0" w:line="157"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$39 and $28 as of</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September 30, 2022 and December 31, 2021,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FF0FC"/>
          </w:tcPr>
          <w:p>
            <w:pPr>
              <w:spacing w:after="0"/>
              <w:rPr>
                <w:sz w:val="20"/>
                <w:szCs w:val="20"/>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3200" w:type="dxa"/>
            <w:vAlign w:val="bottom"/>
            <w:tcBorders>
              <w:bottom w:val="single" w:sz="8" w:color="CFF0FC"/>
            </w:tcBorders>
            <w:shd w:val="clear" w:color="auto" w:fill="CFF0FC"/>
          </w:tcPr>
          <w:p>
            <w:pPr>
              <w:spacing w:after="0"/>
              <w:rPr>
                <w:sz w:val="13"/>
                <w:szCs w:val="13"/>
                <w:color w:val="auto"/>
              </w:rPr>
            </w:pPr>
          </w:p>
        </w:tc>
        <w:tc>
          <w:tcPr>
            <w:tcW w:w="3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vMerge w:val="continue"/>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38,595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20"/>
                <w:szCs w:val="20"/>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200" w:type="dxa"/>
            <w:vAlign w:val="bottom"/>
            <w:shd w:val="clear" w:color="auto" w:fill="CFF0FC"/>
          </w:tcPr>
          <w:p>
            <w:pPr>
              <w:spacing w:after="0"/>
              <w:rPr>
                <w:sz w:val="13"/>
                <w:szCs w:val="13"/>
                <w:color w:val="auto"/>
              </w:rPr>
            </w:pPr>
          </w:p>
        </w:tc>
        <w:tc>
          <w:tcPr>
            <w:tcW w:w="3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30,831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20"/>
                <w:szCs w:val="20"/>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200" w:type="dxa"/>
            <w:vAlign w:val="bottom"/>
            <w:shd w:val="clear" w:color="auto" w:fill="CFF0FC"/>
          </w:tcPr>
          <w:p>
            <w:pPr>
              <w:spacing w:after="0"/>
              <w:rPr>
                <w:sz w:val="13"/>
                <w:szCs w:val="13"/>
                <w:color w:val="auto"/>
              </w:rPr>
            </w:pPr>
          </w:p>
        </w:tc>
        <w:tc>
          <w:tcPr>
            <w:tcW w:w="3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CFF0FC"/>
          </w:tcPr>
          <w:p>
            <w:pPr>
              <w:spacing w:after="0"/>
              <w:rPr>
                <w:sz w:val="20"/>
                <w:szCs w:val="20"/>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3200" w:type="dxa"/>
            <w:vAlign w:val="bottom"/>
            <w:tcBorders>
              <w:bottom w:val="single" w:sz="8" w:color="CFF0FC"/>
            </w:tcBorders>
            <w:shd w:val="clear" w:color="auto" w:fill="CFF0FC"/>
          </w:tcPr>
          <w:p>
            <w:pPr>
              <w:spacing w:after="0"/>
              <w:rPr>
                <w:sz w:val="13"/>
                <w:szCs w:val="13"/>
                <w:color w:val="auto"/>
              </w:rPr>
            </w:pPr>
          </w:p>
        </w:tc>
        <w:tc>
          <w:tcPr>
            <w:tcW w:w="3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vMerge w:val="continue"/>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76,709</w:t>
            </w:r>
          </w:p>
        </w:tc>
        <w:tc>
          <w:tcPr>
            <w:tcW w:w="300" w:type="dxa"/>
            <w:vAlign w:val="bottom"/>
          </w:tcPr>
          <w:p>
            <w:pPr>
              <w:spacing w:after="0"/>
              <w:rPr>
                <w:sz w:val="20"/>
                <w:szCs w:val="2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74,376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40" w:type="dxa"/>
            <w:vAlign w:val="bottom"/>
            <w:gridSpan w:val="4"/>
            <w:shd w:val="clear" w:color="auto" w:fill="CFF0FC"/>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200" w:type="dxa"/>
            <w:vAlign w:val="bottom"/>
            <w:tcBorders>
              <w:top w:val="single" w:sz="8" w:color="auto"/>
            </w:tcBorders>
            <w:shd w:val="clear" w:color="auto" w:fill="CFF0FC"/>
          </w:tcPr>
          <w:p>
            <w:pPr>
              <w:spacing w:after="0"/>
              <w:rPr>
                <w:sz w:val="18"/>
                <w:szCs w:val="18"/>
                <w:color w:val="auto"/>
              </w:rPr>
            </w:pPr>
          </w:p>
        </w:tc>
        <w:tc>
          <w:tcPr>
            <w:tcW w:w="37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300" w:type="dxa"/>
            <w:vAlign w:val="bottom"/>
            <w:shd w:val="clear" w:color="auto" w:fill="CFF0FC"/>
          </w:tcPr>
          <w:p>
            <w:pPr>
              <w:spacing w:after="0"/>
              <w:rPr>
                <w:sz w:val="20"/>
                <w:szCs w:val="2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200" w:type="dxa"/>
            <w:vAlign w:val="bottom"/>
            <w:shd w:val="clear" w:color="auto" w:fill="CFF0FC"/>
          </w:tcPr>
          <w:p>
            <w:pPr>
              <w:spacing w:after="0"/>
              <w:rPr>
                <w:sz w:val="13"/>
                <w:szCs w:val="13"/>
                <w:color w:val="auto"/>
              </w:rPr>
            </w:pPr>
          </w:p>
        </w:tc>
        <w:tc>
          <w:tcPr>
            <w:tcW w:w="378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142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14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FF0FC"/>
          </w:tcPr>
          <w:p>
            <w:pPr>
              <w:spacing w:after="0"/>
              <w:rPr>
                <w:sz w:val="20"/>
                <w:szCs w:val="20"/>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200" w:type="dxa"/>
            <w:vAlign w:val="bottom"/>
            <w:shd w:val="clear" w:color="auto" w:fill="CFF0FC"/>
          </w:tcPr>
          <w:p>
            <w:pPr>
              <w:spacing w:after="0"/>
              <w:rPr>
                <w:sz w:val="13"/>
                <w:szCs w:val="13"/>
                <w:color w:val="auto"/>
              </w:rPr>
            </w:pPr>
          </w:p>
        </w:tc>
        <w:tc>
          <w:tcPr>
            <w:tcW w:w="3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200" w:type="dxa"/>
            <w:vAlign w:val="bottom"/>
            <w:shd w:val="clear" w:color="auto" w:fill="CFF0FC"/>
          </w:tcPr>
          <w:p>
            <w:pPr>
              <w:spacing w:after="0"/>
              <w:rPr>
                <w:sz w:val="13"/>
                <w:szCs w:val="13"/>
                <w:color w:val="auto"/>
              </w:rPr>
            </w:pPr>
          </w:p>
        </w:tc>
        <w:tc>
          <w:tcPr>
            <w:tcW w:w="3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FF0FC"/>
          </w:tcPr>
          <w:p>
            <w:pPr>
              <w:spacing w:after="0"/>
              <w:rPr>
                <w:sz w:val="20"/>
                <w:szCs w:val="20"/>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3200" w:type="dxa"/>
            <w:vAlign w:val="bottom"/>
            <w:tcBorders>
              <w:bottom w:val="single" w:sz="8" w:color="CFF0FC"/>
            </w:tcBorders>
            <w:shd w:val="clear" w:color="auto" w:fill="CFF0FC"/>
          </w:tcPr>
          <w:p>
            <w:pPr>
              <w:spacing w:after="0"/>
              <w:rPr>
                <w:sz w:val="13"/>
                <w:szCs w:val="13"/>
                <w:color w:val="auto"/>
              </w:rPr>
            </w:pPr>
          </w:p>
        </w:tc>
        <w:tc>
          <w:tcPr>
            <w:tcW w:w="3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vMerge w:val="continue"/>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200" w:type="dxa"/>
            <w:vAlign w:val="bottom"/>
            <w:shd w:val="clear" w:color="auto" w:fill="CFF0FC"/>
          </w:tcPr>
          <w:p>
            <w:pPr>
              <w:spacing w:after="0"/>
              <w:rPr>
                <w:sz w:val="13"/>
                <w:szCs w:val="13"/>
                <w:color w:val="auto"/>
              </w:rPr>
            </w:pPr>
          </w:p>
        </w:tc>
        <w:tc>
          <w:tcPr>
            <w:tcW w:w="3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40" w:type="dxa"/>
            <w:vAlign w:val="bottom"/>
            <w:gridSpan w:val="4"/>
          </w:tcPr>
          <w:p>
            <w:pPr>
              <w:ind w:left="20"/>
              <w:spacing w:after="0" w:line="157" w:lineRule="exact"/>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September 30, 2022 and December 31, 2021</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gridSpan w:val="4"/>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rPr>
              <w:t>Common stock—$0.001 par value, 200,000,000 shares authorized, 13,874,406 and</w:t>
            </w: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7720" w:type="dxa"/>
            <w:vAlign w:val="bottom"/>
            <w:gridSpan w:val="3"/>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13,488,540 shares issued, 13,873,406 and 13,488,540 shares outstanding, as of</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FF0FC"/>
          </w:tcPr>
          <w:p>
            <w:pPr>
              <w:spacing w:after="0"/>
              <w:rPr>
                <w:sz w:val="20"/>
                <w:szCs w:val="20"/>
                <w:color w:val="auto"/>
              </w:rPr>
            </w:pPr>
          </w:p>
        </w:tc>
        <w:tc>
          <w:tcPr>
            <w:tcW w:w="77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September 30, 2022 and December 31, 2021</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gridSpan w:val="4"/>
          </w:tcPr>
          <w:p>
            <w:pPr>
              <w:ind w:left="20"/>
              <w:spacing w:after="0" w:line="157" w:lineRule="exact"/>
              <w:rPr>
                <w:sz w:val="20"/>
                <w:szCs w:val="20"/>
                <w:color w:val="auto"/>
              </w:rPr>
            </w:pPr>
            <w:r>
              <w:rPr>
                <w:rFonts w:ascii="Times New Roman" w:cs="Times New Roman" w:eastAsia="Times New Roman" w:hAnsi="Times New Roman"/>
                <w:sz w:val="18"/>
                <w:szCs w:val="18"/>
                <w:color w:val="auto"/>
              </w:rPr>
              <w:t>Treasury stock, at cost, 1,000 and 0 shares as of September 30, 2022 and</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20"/>
                <w:szCs w:val="20"/>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92,017</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200" w:type="dxa"/>
            <w:vAlign w:val="bottom"/>
            <w:shd w:val="clear" w:color="auto" w:fill="CFF0FC"/>
          </w:tcPr>
          <w:p>
            <w:pPr>
              <w:spacing w:after="0"/>
              <w:rPr>
                <w:sz w:val="13"/>
                <w:szCs w:val="13"/>
                <w:color w:val="auto"/>
              </w:rPr>
            </w:pPr>
          </w:p>
        </w:tc>
        <w:tc>
          <w:tcPr>
            <w:tcW w:w="3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0"/>
                <w:szCs w:val="20"/>
                <w:color w:val="auto"/>
              </w:rPr>
            </w:pPr>
          </w:p>
        </w:tc>
        <w:tc>
          <w:tcPr>
            <w:tcW w:w="1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(19,858 )</w:t>
            </w:r>
          </w:p>
        </w:tc>
        <w:tc>
          <w:tcPr>
            <w:tcW w:w="140" w:type="dxa"/>
            <w:vAlign w:val="bottom"/>
          </w:tcPr>
          <w:p>
            <w:pPr>
              <w:spacing w:after="0"/>
              <w:rPr>
                <w:sz w:val="20"/>
                <w:szCs w:val="20"/>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(22,018 )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72,155</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3200" w:type="dxa"/>
            <w:vAlign w:val="bottom"/>
            <w:tcBorders>
              <w:bottom w:val="single" w:sz="8" w:color="CFF0FC"/>
            </w:tcBorders>
            <w:shd w:val="clear" w:color="auto" w:fill="CFF0FC"/>
          </w:tcPr>
          <w:p>
            <w:pPr>
              <w:spacing w:after="0"/>
              <w:rPr>
                <w:sz w:val="13"/>
                <w:szCs w:val="13"/>
                <w:color w:val="auto"/>
              </w:rPr>
            </w:pPr>
          </w:p>
        </w:tc>
        <w:tc>
          <w:tcPr>
            <w:tcW w:w="3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vMerge w:val="continue"/>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74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76,709</w:t>
            </w: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74,376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-6316980</wp:posOffset>
            </wp:positionV>
            <wp:extent cx="7747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-6316980</wp:posOffset>
            </wp:positionV>
            <wp:extent cx="6858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-4817110</wp:posOffset>
            </wp:positionV>
            <wp:extent cx="77470"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2832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-2287905</wp:posOffset>
            </wp:positionV>
            <wp:extent cx="7747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-162560</wp:posOffset>
            </wp:positionV>
            <wp:extent cx="7747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4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40,249</w:t>
            </w:r>
          </w:p>
        </w:tc>
        <w:tc>
          <w:tcPr>
            <w:tcW w:w="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6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60" w:type="dxa"/>
            <w:vAlign w:val="bottom"/>
            <w:shd w:val="clear" w:color="auto" w:fill="CFF0FC"/>
          </w:tcPr>
          <w:p>
            <w:pPr>
              <w:spacing w:after="0"/>
              <w:rPr>
                <w:sz w:val="20"/>
                <w:szCs w:val="2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FF0FC"/>
          </w:tcPr>
          <w:p>
            <w:pPr>
              <w:spacing w:after="0"/>
              <w:rPr>
                <w:sz w:val="20"/>
                <w:szCs w:val="2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60" w:type="dxa"/>
            <w:vAlign w:val="bottom"/>
            <w:shd w:val="clear" w:color="auto" w:fill="CFF0FC"/>
          </w:tcPr>
          <w:p>
            <w:pPr>
              <w:spacing w:after="0"/>
              <w:rPr>
                <w:sz w:val="20"/>
                <w:szCs w:val="2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4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vMerge w:val="continue"/>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vMerge w:val="continue"/>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0" w:type="dxa"/>
            <w:vAlign w:val="bottom"/>
            <w:shd w:val="clear" w:color="auto" w:fill="CFF0FC"/>
          </w:tcPr>
          <w:p>
            <w:pPr>
              <w:spacing w:after="0"/>
              <w:rPr>
                <w:sz w:val="20"/>
                <w:szCs w:val="2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157"/>
        </w:trPr>
        <w:tc>
          <w:tcPr>
            <w:tcW w:w="5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shd w:val="clear" w:color="auto" w:fill="CFF0FC"/>
          </w:tcPr>
          <w:p>
            <w:pPr>
              <w:spacing w:after="0"/>
              <w:rPr>
                <w:sz w:val="20"/>
                <w:szCs w:val="2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500" w:type="dxa"/>
            <w:vAlign w:val="bottom"/>
            <w:gridSpan w:val="2"/>
            <w:vMerge w:val="restart"/>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420" w:type="dxa"/>
            <w:vAlign w:val="bottom"/>
            <w:gridSpan w:val="2"/>
            <w:vMerge w:val="restart"/>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46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6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vMerge w:val="restart"/>
            <w:shd w:val="clear" w:color="auto" w:fill="CFF0FC"/>
          </w:tcPr>
          <w:p>
            <w:pPr>
              <w:spacing w:after="0"/>
              <w:rPr>
                <w:sz w:val="20"/>
                <w:szCs w:val="20"/>
                <w:color w:val="auto"/>
              </w:rPr>
            </w:pPr>
          </w:p>
        </w:tc>
        <w:tc>
          <w:tcPr>
            <w:tcW w:w="2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vMerge w:val="restart"/>
            <w:shd w:val="clear" w:color="auto" w:fill="CFF0FC"/>
          </w:tcPr>
          <w:p>
            <w:pPr>
              <w:spacing w:after="0"/>
              <w:rPr>
                <w:sz w:val="20"/>
                <w:szCs w:val="20"/>
                <w:color w:val="auto"/>
              </w:rPr>
            </w:pP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vMerge w:val="restart"/>
            <w:shd w:val="clear" w:color="auto" w:fill="CFF0FC"/>
          </w:tcPr>
          <w:p>
            <w:pPr>
              <w:spacing w:after="0"/>
              <w:rPr>
                <w:sz w:val="20"/>
                <w:szCs w:val="20"/>
                <w:color w:val="auto"/>
              </w:rPr>
            </w:pPr>
          </w:p>
        </w:tc>
        <w:tc>
          <w:tcPr>
            <w:tcW w:w="2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vMerge w:val="continue"/>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vMerge w:val="continue"/>
            <w:shd w:val="clear" w:color="auto" w:fill="CFF0FC"/>
          </w:tcPr>
          <w:p>
            <w:pPr>
              <w:spacing w:after="0"/>
              <w:rPr>
                <w:sz w:val="17"/>
                <w:szCs w:val="17"/>
                <w:color w:val="auto"/>
              </w:rPr>
            </w:pPr>
          </w:p>
        </w:tc>
        <w:tc>
          <w:tcPr>
            <w:tcW w:w="240" w:type="dxa"/>
            <w:vAlign w:val="bottom"/>
            <w:tcBorders>
              <w:bottom w:val="single" w:sz="8" w:color="auto"/>
            </w:tcBorders>
            <w:vMerge w:val="continue"/>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vMerge w:val="continue"/>
            <w:shd w:val="clear" w:color="auto" w:fill="CFF0FC"/>
          </w:tcPr>
          <w:p>
            <w:pPr>
              <w:spacing w:after="0"/>
              <w:rPr>
                <w:sz w:val="17"/>
                <w:szCs w:val="17"/>
                <w:color w:val="auto"/>
              </w:rPr>
            </w:pPr>
          </w:p>
        </w:tc>
        <w:tc>
          <w:tcPr>
            <w:tcW w:w="160" w:type="dxa"/>
            <w:vAlign w:val="bottom"/>
            <w:tcBorders>
              <w:bottom w:val="single" w:sz="8" w:color="auto"/>
            </w:tcBorders>
            <w:vMerge w:val="continue"/>
            <w:shd w:val="clear" w:color="auto" w:fill="CFF0FC"/>
          </w:tcPr>
          <w:p>
            <w:pPr>
              <w:spacing w:after="0"/>
              <w:rPr>
                <w:sz w:val="17"/>
                <w:szCs w:val="17"/>
                <w:color w:val="auto"/>
              </w:rPr>
            </w:pP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vMerge w:val="continue"/>
            <w:shd w:val="clear" w:color="auto" w:fill="CFF0FC"/>
          </w:tcPr>
          <w:p>
            <w:pPr>
              <w:spacing w:after="0"/>
              <w:rPr>
                <w:sz w:val="17"/>
                <w:szCs w:val="17"/>
                <w:color w:val="auto"/>
              </w:rPr>
            </w:pPr>
          </w:p>
        </w:tc>
        <w:tc>
          <w:tcPr>
            <w:tcW w:w="220" w:type="dxa"/>
            <w:vAlign w:val="bottom"/>
            <w:tcBorders>
              <w:bottom w:val="single" w:sz="8" w:color="auto"/>
            </w:tcBorders>
            <w:vMerge w:val="continue"/>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4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5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13,748,587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12,741,723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13,690,309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12,408,152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13,764,262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13,645,208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13,872,596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13,140,854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4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 Share-based compensation expense in each category:</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4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3,819</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620" w:type="dxa"/>
            <w:vAlign w:val="bottom"/>
            <w:tcBorders>
              <w:bottom w:val="single" w:sz="8" w:color="CFF0FC"/>
            </w:tcBorders>
            <w:gridSpan w:val="2"/>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1,273</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986</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4,066</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5,197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-5545455</wp:posOffset>
            </wp:positionV>
            <wp:extent cx="7132320" cy="24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-3796665</wp:posOffset>
            </wp:positionV>
            <wp:extent cx="7747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-3796665</wp:posOffset>
            </wp:positionV>
            <wp:extent cx="76835"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-3796665</wp:posOffset>
            </wp:positionV>
            <wp:extent cx="68580"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-2279650</wp:posOffset>
            </wp:positionV>
            <wp:extent cx="281178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11780" cy="27432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-1756410</wp:posOffset>
            </wp:positionV>
            <wp:extent cx="2811780"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11780" cy="3003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-685165</wp:posOffset>
            </wp:positionV>
            <wp:extent cx="2811780"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11780" cy="34290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774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300" w:type="dxa"/>
            <w:vAlign w:val="bottom"/>
          </w:tcPr>
          <w:p>
            <w:pPr>
              <w:spacing w:after="0"/>
              <w:rPr>
                <w:sz w:val="20"/>
                <w:szCs w:val="2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bad debts</w:t>
            </w:r>
          </w:p>
        </w:tc>
        <w:tc>
          <w:tcPr>
            <w:tcW w:w="36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expenses</w:t>
            </w: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36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(2,175 )</w:t>
            </w: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8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FF0FC"/>
          </w:tcPr>
          <w:p>
            <w:pPr>
              <w:spacing w:after="0"/>
              <w:rPr>
                <w:sz w:val="20"/>
                <w:szCs w:val="20"/>
                <w:color w:val="auto"/>
              </w:rPr>
            </w:pPr>
          </w:p>
        </w:tc>
        <w:tc>
          <w:tcPr>
            <w:tcW w:w="15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(2,833 )</w:t>
            </w:r>
          </w:p>
        </w:tc>
        <w:tc>
          <w:tcPr>
            <w:tcW w:w="360" w:type="dxa"/>
            <w:vAlign w:val="bottom"/>
            <w:shd w:val="clear" w:color="auto" w:fill="CFF0FC"/>
          </w:tcPr>
          <w:p>
            <w:pPr>
              <w:spacing w:after="0"/>
              <w:rPr>
                <w:sz w:val="20"/>
                <w:szCs w:val="20"/>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(906 )</w:t>
            </w: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500" w:type="dxa"/>
            <w:vAlign w:val="bottom"/>
            <w:gridSpan w:val="2"/>
            <w:vMerge w:val="continue"/>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8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20"/>
                <w:szCs w:val="20"/>
                <w:color w:val="auto"/>
              </w:rPr>
            </w:pPr>
          </w:p>
        </w:tc>
        <w:tc>
          <w:tcPr>
            <w:tcW w:w="15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(250 )</w:t>
            </w:r>
          </w:p>
        </w:tc>
        <w:tc>
          <w:tcPr>
            <w:tcW w:w="360" w:type="dxa"/>
            <w:vAlign w:val="bottom"/>
          </w:tcPr>
          <w:p>
            <w:pPr>
              <w:spacing w:after="0"/>
              <w:rPr>
                <w:sz w:val="20"/>
                <w:szCs w:val="20"/>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0"/>
                <w:szCs w:val="20"/>
                <w:color w:val="auto"/>
              </w:rPr>
            </w:pPr>
          </w:p>
        </w:tc>
        <w:tc>
          <w:tcPr>
            <w:tcW w:w="15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(9 )</w:t>
            </w:r>
          </w:p>
        </w:tc>
        <w:tc>
          <w:tcPr>
            <w:tcW w:w="360" w:type="dxa"/>
            <w:vAlign w:val="bottom"/>
          </w:tcPr>
          <w:p>
            <w:pPr>
              <w:spacing w:after="0"/>
              <w:rPr>
                <w:sz w:val="20"/>
                <w:szCs w:val="20"/>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(709 )</w:t>
            </w: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(700 )</w:t>
            </w: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8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0"/>
                <w:szCs w:val="20"/>
                <w:color w:val="auto"/>
              </w:rPr>
            </w:pPr>
          </w:p>
        </w:tc>
        <w:tc>
          <w:tcPr>
            <w:tcW w:w="15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(302 )</w:t>
            </w:r>
          </w:p>
        </w:tc>
        <w:tc>
          <w:tcPr>
            <w:tcW w:w="360" w:type="dxa"/>
            <w:vAlign w:val="bottom"/>
          </w:tcPr>
          <w:p>
            <w:pPr>
              <w:spacing w:after="0"/>
              <w:rPr>
                <w:sz w:val="20"/>
                <w:szCs w:val="20"/>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20"/>
                <w:szCs w:val="20"/>
                <w:color w:val="auto"/>
              </w:rPr>
            </w:pPr>
          </w:p>
        </w:tc>
        <w:tc>
          <w:tcPr>
            <w:tcW w:w="15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(456 )</w:t>
            </w:r>
          </w:p>
        </w:tc>
        <w:tc>
          <w:tcPr>
            <w:tcW w:w="360" w:type="dxa"/>
            <w:vAlign w:val="bottom"/>
            <w:shd w:val="clear" w:color="auto" w:fill="CFF0FC"/>
          </w:tcPr>
          <w:p>
            <w:pPr>
              <w:spacing w:after="0"/>
              <w:rPr>
                <w:sz w:val="20"/>
                <w:szCs w:val="20"/>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500" w:type="dxa"/>
            <w:vAlign w:val="bottom"/>
            <w:gridSpan w:val="2"/>
            <w:vMerge w:val="continue"/>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8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60" w:type="dxa"/>
            <w:vAlign w:val="bottom"/>
          </w:tcPr>
          <w:p>
            <w:pPr>
              <w:spacing w:after="0"/>
              <w:rPr>
                <w:sz w:val="20"/>
                <w:szCs w:val="20"/>
                <w:color w:val="auto"/>
              </w:rPr>
            </w:pPr>
          </w:p>
        </w:tc>
        <w:tc>
          <w:tcPr>
            <w:tcW w:w="15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(271 )</w:t>
            </w:r>
          </w:p>
        </w:tc>
        <w:tc>
          <w:tcPr>
            <w:tcW w:w="360" w:type="dxa"/>
            <w:vAlign w:val="bottom"/>
          </w:tcPr>
          <w:p>
            <w:pPr>
              <w:spacing w:after="0"/>
              <w:rPr>
                <w:sz w:val="20"/>
                <w:szCs w:val="20"/>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360" w:type="dxa"/>
            <w:vAlign w:val="bottom"/>
            <w:shd w:val="clear" w:color="auto" w:fill="CFF0FC"/>
          </w:tcPr>
          <w:p>
            <w:pPr>
              <w:spacing w:after="0"/>
              <w:rPr>
                <w:sz w:val="20"/>
                <w:szCs w:val="20"/>
                <w:color w:val="auto"/>
              </w:rPr>
            </w:pPr>
          </w:p>
        </w:tc>
        <w:tc>
          <w:tcPr>
            <w:tcW w:w="15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(6,139 )</w:t>
            </w:r>
          </w:p>
        </w:tc>
        <w:tc>
          <w:tcPr>
            <w:tcW w:w="360" w:type="dxa"/>
            <w:vAlign w:val="bottom"/>
            <w:shd w:val="clear" w:color="auto" w:fill="CFF0FC"/>
          </w:tcPr>
          <w:p>
            <w:pPr>
              <w:spacing w:after="0"/>
              <w:rPr>
                <w:sz w:val="20"/>
                <w:szCs w:val="20"/>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(3,549 )</w:t>
            </w: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500" w:type="dxa"/>
            <w:vAlign w:val="bottom"/>
            <w:gridSpan w:val="2"/>
            <w:vMerge w:val="continue"/>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8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5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(6,410 )</w:t>
            </w:r>
          </w:p>
        </w:tc>
        <w:tc>
          <w:tcPr>
            <w:tcW w:w="360" w:type="dxa"/>
            <w:vAlign w:val="bottom"/>
          </w:tcPr>
          <w:p>
            <w:pPr>
              <w:spacing w:after="0"/>
              <w:rPr>
                <w:sz w:val="19"/>
                <w:szCs w:val="19"/>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(3,772 )</w:t>
            </w: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360" w:type="dxa"/>
            <w:vAlign w:val="bottom"/>
          </w:tcPr>
          <w:p>
            <w:pPr>
              <w:spacing w:after="0"/>
              <w:rPr>
                <w:sz w:val="20"/>
                <w:szCs w:val="20"/>
                <w:color w:val="auto"/>
              </w:rPr>
            </w:pPr>
          </w:p>
        </w:tc>
        <w:tc>
          <w:tcPr>
            <w:tcW w:w="15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(4,310 )</w:t>
            </w:r>
          </w:p>
        </w:tc>
        <w:tc>
          <w:tcPr>
            <w:tcW w:w="360" w:type="dxa"/>
            <w:vAlign w:val="bottom"/>
          </w:tcPr>
          <w:p>
            <w:pPr>
              <w:spacing w:after="0"/>
              <w:rPr>
                <w:sz w:val="20"/>
                <w:szCs w:val="20"/>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(2,785 )</w:t>
            </w: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60" w:type="dxa"/>
            <w:vAlign w:val="bottom"/>
            <w:shd w:val="clear" w:color="auto" w:fill="CFF0FC"/>
          </w:tcPr>
          <w:p>
            <w:pPr>
              <w:spacing w:after="0"/>
              <w:rPr>
                <w:sz w:val="20"/>
                <w:szCs w:val="20"/>
                <w:color w:val="auto"/>
              </w:rPr>
            </w:pPr>
          </w:p>
        </w:tc>
        <w:tc>
          <w:tcPr>
            <w:tcW w:w="15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(365 )</w:t>
            </w:r>
          </w:p>
        </w:tc>
        <w:tc>
          <w:tcPr>
            <w:tcW w:w="360" w:type="dxa"/>
            <w:vAlign w:val="bottom"/>
            <w:shd w:val="clear" w:color="auto" w:fill="CFF0FC"/>
          </w:tcPr>
          <w:p>
            <w:pPr>
              <w:spacing w:after="0"/>
              <w:rPr>
                <w:sz w:val="20"/>
                <w:szCs w:val="2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500" w:type="dxa"/>
            <w:vAlign w:val="bottom"/>
            <w:gridSpan w:val="2"/>
            <w:vMerge w:val="continue"/>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Pr>
          <w:p>
            <w:pPr>
              <w:spacing w:after="0"/>
              <w:rPr>
                <w:sz w:val="19"/>
                <w:szCs w:val="19"/>
                <w:color w:val="auto"/>
              </w:rPr>
            </w:pPr>
          </w:p>
        </w:tc>
        <w:tc>
          <w:tcPr>
            <w:tcW w:w="15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(4,675 )</w:t>
            </w:r>
          </w:p>
        </w:tc>
        <w:tc>
          <w:tcPr>
            <w:tcW w:w="360" w:type="dxa"/>
            <w:vAlign w:val="bottom"/>
          </w:tcPr>
          <w:p>
            <w:pPr>
              <w:spacing w:after="0"/>
              <w:rPr>
                <w:sz w:val="19"/>
                <w:szCs w:val="19"/>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(2,785 )</w:t>
            </w: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(2,985 )</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FF0FC"/>
          </w:tcPr>
          <w:p>
            <w:pPr>
              <w:spacing w:after="0"/>
              <w:rPr>
                <w:sz w:val="13"/>
                <w:szCs w:val="13"/>
                <w:color w:val="auto"/>
              </w:rPr>
            </w:pPr>
          </w:p>
        </w:tc>
        <w:tc>
          <w:tcPr>
            <w:tcW w:w="360" w:type="dxa"/>
            <w:vAlign w:val="bottom"/>
            <w:vMerge w:val="continue"/>
            <w:shd w:val="clear" w:color="auto" w:fill="CFF0FC"/>
          </w:tcPr>
          <w:p>
            <w:pPr>
              <w:spacing w:after="0"/>
              <w:rPr>
                <w:sz w:val="13"/>
                <w:szCs w:val="13"/>
                <w:color w:val="auto"/>
              </w:rPr>
            </w:pPr>
          </w:p>
        </w:tc>
        <w:tc>
          <w:tcPr>
            <w:tcW w:w="1500" w:type="dxa"/>
            <w:vAlign w:val="bottom"/>
            <w:gridSpan w:val="2"/>
            <w:vMerge w:val="continue"/>
            <w:shd w:val="clear" w:color="auto" w:fill="CFF0FC"/>
          </w:tcPr>
          <w:p>
            <w:pPr>
              <w:spacing w:after="0"/>
              <w:rPr>
                <w:sz w:val="13"/>
                <w:szCs w:val="13"/>
                <w:color w:val="auto"/>
              </w:rPr>
            </w:pPr>
          </w:p>
        </w:tc>
        <w:tc>
          <w:tcPr>
            <w:tcW w:w="360" w:type="dxa"/>
            <w:vAlign w:val="bottom"/>
            <w:vMerge w:val="continue"/>
            <w:shd w:val="clear" w:color="auto" w:fill="CFF0FC"/>
          </w:tcPr>
          <w:p>
            <w:pPr>
              <w:spacing w:after="0"/>
              <w:rPr>
                <w:sz w:val="13"/>
                <w:szCs w:val="13"/>
                <w:color w:val="auto"/>
              </w:rPr>
            </w:pPr>
          </w:p>
        </w:tc>
        <w:tc>
          <w:tcPr>
            <w:tcW w:w="11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31,273</w:t>
            </w:r>
          </w:p>
        </w:tc>
        <w:tc>
          <w:tcPr>
            <w:tcW w:w="300" w:type="dxa"/>
            <w:vAlign w:val="bottom"/>
            <w:shd w:val="clear" w:color="auto" w:fill="CFF0FC"/>
          </w:tcPr>
          <w:p>
            <w:pPr>
              <w:spacing w:after="0"/>
              <w:rPr>
                <w:sz w:val="20"/>
                <w:szCs w:val="20"/>
                <w:color w:val="auto"/>
              </w:rPr>
            </w:pP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77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vMerge w:val="continue"/>
            <w:shd w:val="clear" w:color="auto" w:fill="CFF0FC"/>
          </w:tcPr>
          <w:p>
            <w:pPr>
              <w:spacing w:after="0"/>
              <w:rPr>
                <w:sz w:val="16"/>
                <w:szCs w:val="16"/>
                <w:color w:val="auto"/>
              </w:rPr>
            </w:pPr>
          </w:p>
        </w:tc>
        <w:tc>
          <w:tcPr>
            <w:tcW w:w="1200" w:type="dxa"/>
            <w:vAlign w:val="bottom"/>
            <w:tcBorders>
              <w:bottom w:val="single" w:sz="8" w:color="auto"/>
            </w:tcBorders>
            <w:vMerge w:val="continue"/>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vMerge w:val="continue"/>
            <w:shd w:val="clear" w:color="auto" w:fill="CFF0FC"/>
          </w:tcPr>
          <w:p>
            <w:pPr>
              <w:spacing w:after="0"/>
              <w:rPr>
                <w:sz w:val="16"/>
                <w:szCs w:val="16"/>
                <w:color w:val="auto"/>
              </w:rPr>
            </w:pPr>
          </w:p>
        </w:tc>
        <w:tc>
          <w:tcPr>
            <w:tcW w:w="118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INFORMATION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vMerge w:val="continue"/>
            <w:shd w:val="clear" w:color="auto" w:fill="CFF0FC"/>
          </w:tcPr>
          <w:p>
            <w:pPr>
              <w:spacing w:after="0"/>
              <w:rPr>
                <w:sz w:val="13"/>
                <w:szCs w:val="13"/>
                <w:color w:val="auto"/>
              </w:rPr>
            </w:pPr>
          </w:p>
        </w:tc>
        <w:tc>
          <w:tcPr>
            <w:tcW w:w="120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vMerge w:val="continue"/>
            <w:shd w:val="clear" w:color="auto" w:fill="CFF0FC"/>
          </w:tcPr>
          <w:p>
            <w:pPr>
              <w:spacing w:after="0"/>
              <w:rPr>
                <w:sz w:val="13"/>
                <w:szCs w:val="13"/>
                <w:color w:val="auto"/>
              </w:rPr>
            </w:pPr>
          </w:p>
        </w:tc>
        <w:tc>
          <w:tcPr>
            <w:tcW w:w="11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20"/>
                <w:szCs w:val="2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300" w:type="dxa"/>
            <w:vAlign w:val="bottom"/>
            <w:shd w:val="clear" w:color="auto" w:fill="CFF0FC"/>
          </w:tcPr>
          <w:p>
            <w:pPr>
              <w:spacing w:after="0"/>
              <w:rPr>
                <w:sz w:val="20"/>
                <w:szCs w:val="20"/>
                <w:color w:val="auto"/>
              </w:rPr>
            </w:pP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7740" w:type="dxa"/>
            <w:vAlign w:val="bottom"/>
            <w:shd w:val="clear" w:color="auto" w:fill="CFF0FC"/>
          </w:tcPr>
          <w:p>
            <w:pPr>
              <w:spacing w:after="0"/>
              <w:rPr>
                <w:sz w:val="13"/>
                <w:szCs w:val="13"/>
                <w:color w:val="auto"/>
              </w:rPr>
            </w:pPr>
          </w:p>
        </w:tc>
        <w:tc>
          <w:tcPr>
            <w:tcW w:w="360" w:type="dxa"/>
            <w:vAlign w:val="bottom"/>
            <w:vMerge w:val="continue"/>
            <w:shd w:val="clear" w:color="auto" w:fill="CFF0FC"/>
          </w:tcPr>
          <w:p>
            <w:pPr>
              <w:spacing w:after="0"/>
              <w:rPr>
                <w:sz w:val="13"/>
                <w:szCs w:val="13"/>
                <w:color w:val="auto"/>
              </w:rPr>
            </w:pPr>
          </w:p>
        </w:tc>
        <w:tc>
          <w:tcPr>
            <w:tcW w:w="120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vMerge w:val="continue"/>
            <w:shd w:val="clear" w:color="auto" w:fill="CFF0FC"/>
          </w:tcPr>
          <w:p>
            <w:pPr>
              <w:spacing w:after="0"/>
              <w:rPr>
                <w:sz w:val="13"/>
                <w:szCs w:val="13"/>
                <w:color w:val="auto"/>
              </w:rPr>
            </w:pPr>
          </w:p>
        </w:tc>
        <w:tc>
          <w:tcPr>
            <w:tcW w:w="11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-4211320</wp:posOffset>
            </wp:positionV>
            <wp:extent cx="7747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-4211320</wp:posOffset>
            </wp:positionV>
            <wp:extent cx="68580" cy="26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-3199765</wp:posOffset>
            </wp:positionV>
            <wp:extent cx="7747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-3199765</wp:posOffset>
            </wp:positionV>
            <wp:extent cx="6858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-2188210</wp:posOffset>
            </wp:positionV>
            <wp:extent cx="7747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-2188210</wp:posOffset>
            </wp:positionV>
            <wp:extent cx="68580" cy="265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-1168400</wp:posOffset>
            </wp:positionV>
            <wp:extent cx="122555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25550" cy="274320"/>
                    </a:xfrm>
                    <a:prstGeom prst="rect">
                      <a:avLst/>
                    </a:prstGeom>
                    <a:noFill/>
                  </pic:spPr>
                </pic:pic>
              </a:graphicData>
            </a:graphic>
          </wp:anchor>
        </w:drawing>
      </w:r>
    </w:p>
    <w:p>
      <w:pPr>
        <w:sectPr>
          <w:pgSz w:w="11900" w:h="16838" w:orient="portrait"/>
          <w:cols w:equalWidth="0" w:num="1">
            <w:col w:w="11240"/>
          </w:cols>
          <w:pgMar w:left="320" w:top="117" w:right="339" w:bottom="133"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33"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1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income, the most directly comparable financial measure based on GAAP, excluding interest (income) expense, net, income tax expense, depreciation and amortization, share-based compensation expense, gain on extinguishment of debt,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30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8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920" w:type="dxa"/>
            <w:vAlign w:val="bottom"/>
            <w:gridSpan w:val="2"/>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20" w:type="dxa"/>
            <w:vAlign w:val="bottom"/>
            <w:gridSpan w:val="2"/>
            <w:shd w:val="clear" w:color="auto" w:fill="CFF0FC"/>
          </w:tcPr>
          <w:p>
            <w:pPr>
              <w:ind w:left="20"/>
              <w:spacing w:after="0" w:line="150" w:lineRule="exact"/>
              <w:rPr>
                <w:sz w:val="20"/>
                <w:szCs w:val="20"/>
                <w:color w:val="auto"/>
              </w:rPr>
            </w:pPr>
            <w:r>
              <w:rPr>
                <w:rFonts w:ascii="Times New Roman" w:cs="Times New Roman" w:eastAsia="Times New Roman" w:hAnsi="Times New Roman"/>
                <w:sz w:val="17"/>
                <w:szCs w:val="17"/>
                <w:b w:val="1"/>
                <w:bCs w:val="1"/>
                <w:color w:val="auto"/>
              </w:rPr>
              <w:t>Net income</w:t>
            </w: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160" w:type="dxa"/>
            <w:vAlign w:val="bottom"/>
            <w:gridSpan w:val="3"/>
            <w:shd w:val="clear" w:color="auto" w:fill="CFF0FC"/>
          </w:tcPr>
          <w:p>
            <w:pPr>
              <w:ind w:left="49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(125 )</w:t>
            </w:r>
          </w:p>
        </w:tc>
        <w:tc>
          <w:tcPr>
            <w:tcW w:w="320" w:type="dxa"/>
            <w:vAlign w:val="bottom"/>
          </w:tcPr>
          <w:p>
            <w:pPr>
              <w:spacing w:after="0"/>
              <w:rPr>
                <w:sz w:val="20"/>
                <w:szCs w:val="20"/>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20"/>
                <w:szCs w:val="20"/>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(126 )</w:t>
            </w:r>
          </w:p>
        </w:tc>
        <w:tc>
          <w:tcPr>
            <w:tcW w:w="30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1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vMerge w:val="continue"/>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8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1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vMerge w:val="continue"/>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8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(2,175 )</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1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Litigation costs</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vMerge w:val="continue"/>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8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Write-off of long-lived assets and others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20" w:type="dxa"/>
            <w:vAlign w:val="bottom"/>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Adjusted EBITDA</w:t>
            </w:r>
          </w:p>
        </w:tc>
        <w:tc>
          <w:tcPr>
            <w:tcW w:w="24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32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8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3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51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5"/>
                <w:szCs w:val="15"/>
                <w:color w:val="auto"/>
              </w:rPr>
              <w:t>Revenue</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5160" w:type="dxa"/>
            <w:vAlign w:val="bottom"/>
            <w:gridSpan w:val="3"/>
          </w:tcPr>
          <w:p>
            <w:pPr>
              <w:ind w:left="49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3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2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40,249</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800" w:type="dxa"/>
            <w:vAlign w:val="bottom"/>
            <w:shd w:val="clear" w:color="auto" w:fill="CFF0FC"/>
          </w:tcPr>
          <w:p>
            <w:pPr>
              <w:spacing w:after="0"/>
              <w:rPr>
                <w:sz w:val="24"/>
                <w:szCs w:val="24"/>
                <w:color w:val="auto"/>
              </w:rPr>
            </w:pPr>
          </w:p>
        </w:tc>
        <w:tc>
          <w:tcPr>
            <w:tcW w:w="360" w:type="dxa"/>
            <w:vAlign w:val="bottom"/>
            <w:gridSpan w:val="2"/>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15 %</w:t>
            </w:r>
          </w:p>
        </w:tc>
        <w:tc>
          <w:tcPr>
            <w:tcW w:w="320" w:type="dxa"/>
            <w:vAlign w:val="bottom"/>
          </w:tcPr>
          <w:p>
            <w:pPr>
              <w:spacing w:after="0"/>
              <w:rPr>
                <w:sz w:val="20"/>
                <w:szCs w:val="20"/>
                <w:color w:val="auto"/>
              </w:rPr>
            </w:pPr>
          </w:p>
        </w:tc>
        <w:tc>
          <w:tcPr>
            <w:tcW w:w="1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spacing w:after="0"/>
              <w:rPr>
                <w:sz w:val="20"/>
                <w:szCs w:val="20"/>
                <w:color w:val="auto"/>
              </w:rPr>
            </w:pPr>
          </w:p>
        </w:tc>
        <w:tc>
          <w:tcPr>
            <w:tcW w:w="1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tcPr>
          <w:p>
            <w:pPr>
              <w:spacing w:after="0"/>
              <w:rPr>
                <w:sz w:val="20"/>
                <w:szCs w:val="20"/>
                <w:color w:val="auto"/>
              </w:rPr>
            </w:pP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53"/>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20" w:type="dxa"/>
            <w:vAlign w:val="bottom"/>
            <w:vMerge w:val="continue"/>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35 %</w:t>
            </w:r>
          </w:p>
        </w:tc>
        <w:tc>
          <w:tcPr>
            <w:tcW w:w="320" w:type="dxa"/>
            <w:vAlign w:val="bottom"/>
            <w:shd w:val="clear" w:color="auto" w:fill="CFF0FC"/>
          </w:tcPr>
          <w:p>
            <w:pPr>
              <w:spacing w:after="0"/>
              <w:rPr>
                <w:sz w:val="19"/>
                <w:szCs w:val="19"/>
                <w:color w:val="auto"/>
              </w:rPr>
            </w:pPr>
          </w:p>
        </w:tc>
        <w:tc>
          <w:tcPr>
            <w:tcW w:w="1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31 %</w:t>
            </w:r>
          </w:p>
        </w:tc>
        <w:tc>
          <w:tcPr>
            <w:tcW w:w="240" w:type="dxa"/>
            <w:vAlign w:val="bottom"/>
            <w:shd w:val="clear" w:color="auto" w:fill="CFF0FC"/>
          </w:tcPr>
          <w:p>
            <w:pPr>
              <w:spacing w:after="0"/>
              <w:rPr>
                <w:sz w:val="19"/>
                <w:szCs w:val="19"/>
                <w:color w:val="auto"/>
              </w:rPr>
            </w:pPr>
          </w:p>
        </w:tc>
        <w:tc>
          <w:tcPr>
            <w:tcW w:w="13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28 %</w:t>
            </w:r>
          </w:p>
        </w:tc>
        <w:tc>
          <w:tcPr>
            <w:tcW w:w="300" w:type="dxa"/>
            <w:vAlign w:val="bottom"/>
            <w:shd w:val="clear" w:color="auto" w:fill="CFF0FC"/>
          </w:tcPr>
          <w:p>
            <w:pPr>
              <w:spacing w:after="0"/>
              <w:rPr>
                <w:sz w:val="19"/>
                <w:szCs w:val="19"/>
                <w:color w:val="auto"/>
              </w:rPr>
            </w:pPr>
          </w:p>
        </w:tc>
        <w:tc>
          <w:tcPr>
            <w:tcW w:w="11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73"/>
        </w:trPr>
        <w:tc>
          <w:tcPr>
            <w:tcW w:w="4800" w:type="dxa"/>
            <w:vAlign w:val="bottom"/>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gridSpan w:val="2"/>
            <w:vMerge w:val="continue"/>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00" w:type="dxa"/>
            <w:vAlign w:val="bottom"/>
            <w:gridSpan w:val="2"/>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gridSpan w:val="2"/>
            <w:vMerge w:val="continue"/>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-1070610</wp:posOffset>
            </wp:positionV>
            <wp:extent cx="3171825"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71825" cy="27432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128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1289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120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120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120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120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the most directly comparable GAAP financial measure, to adjusted gross profit: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30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8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900" w:type="dxa"/>
            <w:vAlign w:val="bottom"/>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32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30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40,249</w:t>
            </w:r>
          </w:p>
        </w:tc>
        <w:tc>
          <w:tcPr>
            <w:tcW w:w="30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32,764</w:t>
            </w:r>
          </w:p>
        </w:tc>
        <w:tc>
          <w:tcPr>
            <w:tcW w:w="1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90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(3,067 )</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(2,787 )</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(9,157 )</w:t>
            </w:r>
          </w:p>
        </w:tc>
        <w:tc>
          <w:tcPr>
            <w:tcW w:w="3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(8,268 )</w:t>
            </w:r>
          </w:p>
        </w:tc>
        <w:tc>
          <w:tcPr>
            <w:tcW w:w="0" w:type="dxa"/>
            <w:vAlign w:val="bottom"/>
          </w:tcPr>
          <w:p>
            <w:pPr>
              <w:spacing w:after="0"/>
              <w:rPr>
                <w:sz w:val="1"/>
                <w:szCs w:val="1"/>
                <w:color w:val="auto"/>
              </w:rPr>
            </w:pPr>
          </w:p>
        </w:tc>
      </w:tr>
      <w:tr>
        <w:trPr>
          <w:trHeight w:val="391"/>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4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(1,659 )</w:t>
            </w:r>
          </w:p>
        </w:tc>
        <w:tc>
          <w:tcPr>
            <w:tcW w:w="300" w:type="dxa"/>
            <w:vAlign w:val="bottom"/>
            <w:shd w:val="clear" w:color="auto" w:fill="CFF0FC"/>
          </w:tcPr>
          <w:p>
            <w:pPr>
              <w:spacing w:after="0"/>
              <w:rPr>
                <w:sz w:val="24"/>
                <w:szCs w:val="2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(1,288 )</w:t>
            </w:r>
          </w:p>
        </w:tc>
        <w:tc>
          <w:tcPr>
            <w:tcW w:w="240" w:type="dxa"/>
            <w:vAlign w:val="bottom"/>
            <w:shd w:val="clear" w:color="auto" w:fill="CFF0FC"/>
          </w:tcPr>
          <w:p>
            <w:pPr>
              <w:spacing w:after="0"/>
              <w:rPr>
                <w:sz w:val="24"/>
                <w:szCs w:val="24"/>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(4,682 )</w:t>
            </w:r>
          </w:p>
        </w:tc>
        <w:tc>
          <w:tcPr>
            <w:tcW w:w="30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(3,763 )</w:t>
            </w:r>
          </w:p>
        </w:tc>
        <w:tc>
          <w:tcPr>
            <w:tcW w:w="0" w:type="dxa"/>
            <w:vAlign w:val="bottom"/>
          </w:tcPr>
          <w:p>
            <w:pPr>
              <w:spacing w:after="0"/>
              <w:rPr>
                <w:sz w:val="1"/>
                <w:szCs w:val="1"/>
                <w:color w:val="auto"/>
              </w:rPr>
            </w:pPr>
          </w:p>
        </w:tc>
      </w:tr>
      <w:tr>
        <w:trPr>
          <w:trHeight w:val="385"/>
        </w:trPr>
        <w:tc>
          <w:tcPr>
            <w:tcW w:w="4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3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3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26,410</w:t>
            </w:r>
          </w:p>
        </w:tc>
        <w:tc>
          <w:tcPr>
            <w:tcW w:w="3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4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32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3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31,092</w:t>
            </w:r>
          </w:p>
        </w:tc>
        <w:tc>
          <w:tcPr>
            <w:tcW w:w="3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320" w:type="dxa"/>
            <w:vAlign w:val="bottom"/>
            <w:gridSpan w:val="2"/>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360" w:type="dxa"/>
            <w:vAlign w:val="bottom"/>
            <w:gridSpan w:val="2"/>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4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69 %</w:t>
            </w:r>
          </w:p>
        </w:tc>
        <w:tc>
          <w:tcPr>
            <w:tcW w:w="30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65 %</w:t>
            </w:r>
          </w:p>
        </w:tc>
        <w:tc>
          <w:tcPr>
            <w:tcW w:w="24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66 %</w:t>
            </w:r>
          </w:p>
        </w:tc>
        <w:tc>
          <w:tcPr>
            <w:tcW w:w="3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24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80 %</w:t>
            </w:r>
          </w:p>
        </w:tc>
        <w:tc>
          <w:tcPr>
            <w:tcW w:w="300" w:type="dxa"/>
            <w:vAlign w:val="bottom"/>
            <w:shd w:val="clear" w:color="auto" w:fill="CFF0FC"/>
          </w:tcPr>
          <w:p>
            <w:pPr>
              <w:spacing w:after="0"/>
              <w:rPr>
                <w:sz w:val="24"/>
                <w:szCs w:val="24"/>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76 %</w:t>
            </w:r>
          </w:p>
        </w:tc>
        <w:tc>
          <w:tcPr>
            <w:tcW w:w="240" w:type="dxa"/>
            <w:vAlign w:val="bottom"/>
            <w:shd w:val="clear" w:color="auto" w:fill="CFF0FC"/>
          </w:tcPr>
          <w:p>
            <w:pPr>
              <w:spacing w:after="0"/>
              <w:rPr>
                <w:sz w:val="24"/>
                <w:szCs w:val="24"/>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77 %</w:t>
            </w:r>
          </w:p>
        </w:tc>
        <w:tc>
          <w:tcPr>
            <w:tcW w:w="30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-1559560</wp:posOffset>
            </wp:positionV>
            <wp:extent cx="128905"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25717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-1559560</wp:posOffset>
            </wp:positionV>
            <wp:extent cx="128905"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25717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-1559560</wp:posOffset>
            </wp:positionV>
            <wp:extent cx="120015"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25717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-1559560</wp:posOffset>
            </wp:positionV>
            <wp:extent cx="120015"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25717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-1053465</wp:posOffset>
            </wp:positionV>
            <wp:extent cx="128905"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25717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-1053465</wp:posOffset>
            </wp:positionV>
            <wp:extent cx="128905" cy="257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25717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-1053465</wp:posOffset>
            </wp:positionV>
            <wp:extent cx="120015"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25717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-1053465</wp:posOffset>
            </wp:positionV>
            <wp:extent cx="120015" cy="257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25717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1289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-8255</wp:posOffset>
            </wp:positionV>
            <wp:extent cx="1289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1289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1289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120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1200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6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ectPr>
          <w:pgSz w:w="11900" w:h="16838" w:orient="portrait"/>
          <w:cols w:equalWidth="0" w:num="1">
            <w:col w:w="11240"/>
          </w:cols>
          <w:pgMar w:left="320" w:top="117" w:right="3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line="242" w:lineRule="auto"/>
        <w:rPr>
          <w:sz w:val="20"/>
          <w:szCs w:val="20"/>
          <w:color w:val="auto"/>
        </w:rPr>
      </w:pPr>
      <w:r>
        <w:rPr>
          <w:rFonts w:ascii="Times New Roman" w:cs="Times New Roman" w:eastAsia="Times New Roman" w:hAnsi="Times New Roman"/>
          <w:sz w:val="18"/>
          <w:szCs w:val="18"/>
          <w:color w:val="auto"/>
        </w:rPr>
        <w:t>We believe adjusted EBITDA, adjusted EBITDA margin,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8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Adjusted EBITDA, adjusted EBITDA margin, adjusted gross profit and adjusted gross margin are not intended to be performance measures that should be regarded as an alternative to, or more meaningful than, financial measures presented in accordance with GAAP. The way we measure adjusted EBITDA, adjusted EBITDA margin, adjusted gross profit and adjusted gross margin may not be comparable to similarly titled measures presented by other companies, and may not be identical to corresponding measures used in our various agreements.</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SUPPLEMENTAL METRICS</w:t>
      </w:r>
    </w:p>
    <w:p>
      <w:pPr>
        <w:spacing w:after="0" w:line="189"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4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Q4'20</w:t>
            </w:r>
          </w:p>
        </w:tc>
        <w:tc>
          <w:tcPr>
            <w:tcW w:w="140" w:type="dxa"/>
            <w:vAlign w:val="bottom"/>
          </w:tcPr>
          <w:p>
            <w:pPr>
              <w:spacing w:after="0"/>
              <w:rPr>
                <w:sz w:val="13"/>
                <w:szCs w:val="13"/>
                <w:color w:val="auto"/>
              </w:rPr>
            </w:pPr>
          </w:p>
        </w:tc>
        <w:tc>
          <w:tcPr>
            <w:tcW w:w="88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Q1'21</w:t>
            </w:r>
          </w:p>
        </w:tc>
        <w:tc>
          <w:tcPr>
            <w:tcW w:w="140" w:type="dxa"/>
            <w:vAlign w:val="bottom"/>
          </w:tcPr>
          <w:p>
            <w:pPr>
              <w:spacing w:after="0"/>
              <w:rPr>
                <w:sz w:val="13"/>
                <w:szCs w:val="13"/>
                <w:color w:val="auto"/>
              </w:rPr>
            </w:pPr>
          </w:p>
        </w:tc>
        <w:tc>
          <w:tcPr>
            <w:tcW w:w="86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Q2'21</w:t>
            </w:r>
          </w:p>
        </w:tc>
        <w:tc>
          <w:tcPr>
            <w:tcW w:w="120" w:type="dxa"/>
            <w:vAlign w:val="bottom"/>
          </w:tcPr>
          <w:p>
            <w:pPr>
              <w:spacing w:after="0"/>
              <w:rPr>
                <w:sz w:val="13"/>
                <w:szCs w:val="13"/>
                <w:color w:val="auto"/>
              </w:rPr>
            </w:pPr>
          </w:p>
        </w:tc>
        <w:tc>
          <w:tcPr>
            <w:tcW w:w="84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Q3'21</w:t>
            </w:r>
          </w:p>
        </w:tc>
        <w:tc>
          <w:tcPr>
            <w:tcW w:w="140" w:type="dxa"/>
            <w:vAlign w:val="bottom"/>
          </w:tcPr>
          <w:p>
            <w:pPr>
              <w:spacing w:after="0"/>
              <w:rPr>
                <w:sz w:val="13"/>
                <w:szCs w:val="13"/>
                <w:color w:val="auto"/>
              </w:rPr>
            </w:pPr>
          </w:p>
        </w:tc>
        <w:tc>
          <w:tcPr>
            <w:tcW w:w="84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Q4'21</w:t>
            </w:r>
          </w:p>
        </w:tc>
        <w:tc>
          <w:tcPr>
            <w:tcW w:w="12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Q1'22</w:t>
            </w:r>
          </w:p>
        </w:tc>
        <w:tc>
          <w:tcPr>
            <w:tcW w:w="140" w:type="dxa"/>
            <w:vAlign w:val="bottom"/>
          </w:tcPr>
          <w:p>
            <w:pPr>
              <w:spacing w:after="0"/>
              <w:rPr>
                <w:sz w:val="13"/>
                <w:szCs w:val="13"/>
                <w:color w:val="auto"/>
              </w:rPr>
            </w:pPr>
          </w:p>
        </w:tc>
        <w:tc>
          <w:tcPr>
            <w:tcW w:w="86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Q2'22</w:t>
            </w:r>
          </w:p>
        </w:tc>
        <w:tc>
          <w:tcPr>
            <w:tcW w:w="140" w:type="dxa"/>
            <w:vAlign w:val="bottom"/>
          </w:tcPr>
          <w:p>
            <w:pPr>
              <w:spacing w:after="0"/>
              <w:rPr>
                <w:sz w:val="13"/>
                <w:szCs w:val="13"/>
                <w:color w:val="auto"/>
              </w:rPr>
            </w:pPr>
          </w:p>
        </w:tc>
        <w:tc>
          <w:tcPr>
            <w:tcW w:w="600" w:type="dxa"/>
            <w:vAlign w:val="bottom"/>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Q3'22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400" w:type="dxa"/>
            <w:vAlign w:val="bottom"/>
            <w:shd w:val="clear" w:color="auto" w:fill="CEF0FC"/>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Customer metrics</w:t>
            </w:r>
          </w:p>
        </w:tc>
        <w:tc>
          <w:tcPr>
            <w:tcW w:w="14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300" w:type="dxa"/>
            <w:vAlign w:val="bottom"/>
            <w:shd w:val="clear" w:color="auto" w:fill="CEF0FC"/>
          </w:tcPr>
          <w:p>
            <w:pPr>
              <w:spacing w:after="0"/>
              <w:rPr>
                <w:sz w:val="15"/>
                <w:szCs w:val="15"/>
                <w:color w:val="auto"/>
              </w:rPr>
            </w:pPr>
          </w:p>
        </w:tc>
        <w:tc>
          <w:tcPr>
            <w:tcW w:w="14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300" w:type="dxa"/>
            <w:vAlign w:val="bottom"/>
            <w:shd w:val="clear" w:color="auto" w:fill="CEF0FC"/>
          </w:tcPr>
          <w:p>
            <w:pPr>
              <w:spacing w:after="0"/>
              <w:rPr>
                <w:sz w:val="15"/>
                <w:szCs w:val="15"/>
                <w:color w:val="auto"/>
              </w:rPr>
            </w:pPr>
          </w:p>
        </w:tc>
        <w:tc>
          <w:tcPr>
            <w:tcW w:w="14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280" w:type="dxa"/>
            <w:vAlign w:val="bottom"/>
            <w:shd w:val="clear" w:color="auto" w:fill="CEF0FC"/>
          </w:tcPr>
          <w:p>
            <w:pPr>
              <w:spacing w:after="0"/>
              <w:rPr>
                <w:sz w:val="15"/>
                <w:szCs w:val="15"/>
                <w:color w:val="auto"/>
              </w:rPr>
            </w:pPr>
          </w:p>
        </w:tc>
        <w:tc>
          <w:tcPr>
            <w:tcW w:w="12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260" w:type="dxa"/>
            <w:vAlign w:val="bottom"/>
            <w:shd w:val="clear" w:color="auto" w:fill="CEF0FC"/>
          </w:tcPr>
          <w:p>
            <w:pPr>
              <w:spacing w:after="0"/>
              <w:rPr>
                <w:sz w:val="15"/>
                <w:szCs w:val="15"/>
                <w:color w:val="auto"/>
              </w:rPr>
            </w:pPr>
          </w:p>
        </w:tc>
        <w:tc>
          <w:tcPr>
            <w:tcW w:w="140" w:type="dxa"/>
            <w:vAlign w:val="bottom"/>
            <w:tcBorders>
              <w:top w:val="single" w:sz="8" w:color="auto"/>
            </w:tcBorders>
            <w:shd w:val="clear" w:color="auto" w:fill="CEF0FC"/>
          </w:tcPr>
          <w:p>
            <w:pPr>
              <w:spacing w:after="0"/>
              <w:rPr>
                <w:sz w:val="15"/>
                <w:szCs w:val="15"/>
                <w:color w:val="auto"/>
              </w:rPr>
            </w:pPr>
          </w:p>
        </w:tc>
        <w:tc>
          <w:tcPr>
            <w:tcW w:w="560" w:type="dxa"/>
            <w:vAlign w:val="bottom"/>
            <w:tcBorders>
              <w:top w:val="single" w:sz="8" w:color="auto"/>
            </w:tcBorders>
            <w:shd w:val="clear" w:color="auto" w:fill="CEF0FC"/>
          </w:tcPr>
          <w:p>
            <w:pPr>
              <w:spacing w:after="0"/>
              <w:rPr>
                <w:sz w:val="15"/>
                <w:szCs w:val="15"/>
                <w:color w:val="auto"/>
              </w:rPr>
            </w:pPr>
          </w:p>
        </w:tc>
        <w:tc>
          <w:tcPr>
            <w:tcW w:w="280" w:type="dxa"/>
            <w:vAlign w:val="bottom"/>
            <w:shd w:val="clear" w:color="auto" w:fill="CEF0FC"/>
          </w:tcPr>
          <w:p>
            <w:pPr>
              <w:spacing w:after="0"/>
              <w:rPr>
                <w:sz w:val="15"/>
                <w:szCs w:val="15"/>
                <w:color w:val="auto"/>
              </w:rPr>
            </w:pPr>
          </w:p>
        </w:tc>
        <w:tc>
          <w:tcPr>
            <w:tcW w:w="12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260" w:type="dxa"/>
            <w:vAlign w:val="bottom"/>
            <w:shd w:val="clear" w:color="auto" w:fill="CEF0FC"/>
          </w:tcPr>
          <w:p>
            <w:pPr>
              <w:spacing w:after="0"/>
              <w:rPr>
                <w:sz w:val="15"/>
                <w:szCs w:val="15"/>
                <w:color w:val="auto"/>
              </w:rPr>
            </w:pPr>
          </w:p>
        </w:tc>
        <w:tc>
          <w:tcPr>
            <w:tcW w:w="140" w:type="dxa"/>
            <w:vAlign w:val="bottom"/>
            <w:tcBorders>
              <w:top w:val="single" w:sz="8" w:color="auto"/>
            </w:tcBorders>
            <w:shd w:val="clear" w:color="auto" w:fill="CEF0FC"/>
          </w:tcPr>
          <w:p>
            <w:pPr>
              <w:spacing w:after="0"/>
              <w:rPr>
                <w:sz w:val="15"/>
                <w:szCs w:val="15"/>
                <w:color w:val="auto"/>
              </w:rPr>
            </w:pPr>
          </w:p>
        </w:tc>
        <w:tc>
          <w:tcPr>
            <w:tcW w:w="600" w:type="dxa"/>
            <w:vAlign w:val="bottom"/>
            <w:tcBorders>
              <w:top w:val="single" w:sz="8" w:color="auto"/>
            </w:tcBorders>
            <w:shd w:val="clear" w:color="auto" w:fill="CEF0FC"/>
          </w:tcPr>
          <w:p>
            <w:pPr>
              <w:spacing w:after="0"/>
              <w:rPr>
                <w:sz w:val="15"/>
                <w:szCs w:val="15"/>
                <w:color w:val="auto"/>
              </w:rPr>
            </w:pPr>
          </w:p>
        </w:tc>
        <w:tc>
          <w:tcPr>
            <w:tcW w:w="260" w:type="dxa"/>
            <w:vAlign w:val="bottom"/>
            <w:shd w:val="clear" w:color="auto" w:fill="CEF0FC"/>
          </w:tcPr>
          <w:p>
            <w:pPr>
              <w:spacing w:after="0"/>
              <w:rPr>
                <w:sz w:val="15"/>
                <w:szCs w:val="15"/>
                <w:color w:val="auto"/>
              </w:rPr>
            </w:pPr>
          </w:p>
        </w:tc>
        <w:tc>
          <w:tcPr>
            <w:tcW w:w="140" w:type="dxa"/>
            <w:vAlign w:val="bottom"/>
            <w:tcBorders>
              <w:top w:val="single" w:sz="8" w:color="auto"/>
            </w:tcBorders>
            <w:shd w:val="clear" w:color="auto" w:fill="CEF0FC"/>
          </w:tcPr>
          <w:p>
            <w:pPr>
              <w:spacing w:after="0"/>
              <w:rPr>
                <w:sz w:val="15"/>
                <w:szCs w:val="15"/>
                <w:color w:val="auto"/>
              </w:rPr>
            </w:pPr>
          </w:p>
        </w:tc>
        <w:tc>
          <w:tcPr>
            <w:tcW w:w="600" w:type="dxa"/>
            <w:vAlign w:val="bottom"/>
            <w:tcBorders>
              <w:top w:val="single" w:sz="8" w:color="auto"/>
            </w:tcBorders>
            <w:shd w:val="clear" w:color="auto" w:fill="CEF0FC"/>
          </w:tcPr>
          <w:p>
            <w:pPr>
              <w:spacing w:after="0"/>
              <w:rPr>
                <w:sz w:val="15"/>
                <w:szCs w:val="15"/>
                <w:color w:val="auto"/>
              </w:rPr>
            </w:pPr>
          </w:p>
        </w:tc>
        <w:tc>
          <w:tcPr>
            <w:tcW w:w="160" w:type="dxa"/>
            <w:vAlign w:val="bottom"/>
            <w:shd w:val="clear" w:color="auto" w:fill="CE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60"/>
              <w:spacing w:after="0" w:line="189" w:lineRule="exact"/>
              <w:rPr>
                <w:sz w:val="20"/>
                <w:szCs w:val="20"/>
                <w:color w:val="auto"/>
              </w:rPr>
            </w:pPr>
            <w:r>
              <w:rPr>
                <w:rFonts w:ascii="Times New Roman" w:cs="Times New Roman" w:eastAsia="Times New Roman" w:hAnsi="Times New Roman"/>
                <w:sz w:val="16"/>
                <w:szCs w:val="16"/>
                <w:color w:val="auto"/>
              </w:rPr>
              <w:t>IDI - billable customers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6,314</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6,548</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EF0FC"/>
          </w:tcPr>
          <w:p>
            <w:pPr>
              <w:ind w:left="260"/>
              <w:spacing w:after="0" w:line="189" w:lineRule="exact"/>
              <w:rPr>
                <w:sz w:val="20"/>
                <w:szCs w:val="20"/>
                <w:color w:val="auto"/>
              </w:rPr>
            </w:pPr>
            <w:r>
              <w:rPr>
                <w:rFonts w:ascii="Times New Roman" w:cs="Times New Roman" w:eastAsia="Times New Roman" w:hAnsi="Times New Roman"/>
                <w:sz w:val="16"/>
                <w:szCs w:val="16"/>
                <w:color w:val="auto"/>
              </w:rPr>
              <w:t>FOREWARN - users</w:t>
            </w:r>
            <w:r>
              <w:rPr>
                <w:rFonts w:ascii="Times New Roman" w:cs="Times New Roman" w:eastAsia="Times New Roman" w:hAnsi="Times New Roman"/>
                <w:sz w:val="21"/>
                <w:szCs w:val="21"/>
                <w:color w:val="auto"/>
                <w:vertAlign w:val="superscript"/>
              </w:rPr>
              <w:t>(2)</w:t>
            </w: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48,377</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58,831</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67,578</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74,377</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82,419</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91,490</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101,261</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110,051</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 metrics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EF0FC"/>
          </w:tcPr>
          <w:p>
            <w:pPr>
              <w:ind w:left="260"/>
              <w:spacing w:after="0" w:line="189" w:lineRule="exact"/>
              <w:rPr>
                <w:sz w:val="20"/>
                <w:szCs w:val="20"/>
                <w:color w:val="auto"/>
              </w:rPr>
            </w:pPr>
            <w:r>
              <w:rPr>
                <w:rFonts w:ascii="Times New Roman" w:cs="Times New Roman" w:eastAsia="Times New Roman" w:hAnsi="Times New Roman"/>
                <w:sz w:val="16"/>
                <w:szCs w:val="16"/>
                <w:color w:val="auto"/>
              </w:rPr>
              <w:t>Contractual revenue %</w:t>
            </w:r>
            <w:r>
              <w:rPr>
                <w:rFonts w:ascii="Times New Roman" w:cs="Times New Roman" w:eastAsia="Times New Roman" w:hAnsi="Times New Roman"/>
                <w:sz w:val="21"/>
                <w:szCs w:val="21"/>
                <w:color w:val="auto"/>
                <w:vertAlign w:val="superscript"/>
              </w:rPr>
              <w:t>(3)</w:t>
            </w:r>
          </w:p>
        </w:tc>
        <w:tc>
          <w:tcPr>
            <w:tcW w:w="140" w:type="dxa"/>
            <w:vAlign w:val="bottom"/>
            <w:shd w:val="clear" w:color="auto" w:fill="CEF0FC"/>
          </w:tcPr>
          <w:p>
            <w:pPr>
              <w:spacing w:after="0"/>
              <w:rPr>
                <w:sz w:val="16"/>
                <w:szCs w:val="16"/>
                <w:color w:val="auto"/>
              </w:rPr>
            </w:pPr>
          </w:p>
        </w:tc>
        <w:tc>
          <w:tcPr>
            <w:tcW w:w="880" w:type="dxa"/>
            <w:vAlign w:val="bottom"/>
            <w:gridSpan w:val="2"/>
            <w:shd w:val="clear" w:color="auto" w:fill="CEF0FC"/>
          </w:tcPr>
          <w:p>
            <w:pPr>
              <w:jc w:val="right"/>
              <w:ind w:right="140"/>
              <w:spacing w:after="0"/>
              <w:rPr>
                <w:sz w:val="20"/>
                <w:szCs w:val="20"/>
                <w:color w:val="auto"/>
              </w:rPr>
            </w:pPr>
            <w:r>
              <w:rPr>
                <w:rFonts w:ascii="Times New Roman" w:cs="Times New Roman" w:eastAsia="Times New Roman" w:hAnsi="Times New Roman"/>
                <w:sz w:val="16"/>
                <w:szCs w:val="16"/>
                <w:color w:val="auto"/>
              </w:rPr>
              <w:t>77 %</w:t>
            </w:r>
          </w:p>
        </w:tc>
        <w:tc>
          <w:tcPr>
            <w:tcW w:w="140" w:type="dxa"/>
            <w:vAlign w:val="bottom"/>
            <w:shd w:val="clear" w:color="auto" w:fill="CEF0FC"/>
          </w:tcPr>
          <w:p>
            <w:pPr>
              <w:spacing w:after="0"/>
              <w:rPr>
                <w:sz w:val="16"/>
                <w:szCs w:val="16"/>
                <w:color w:val="auto"/>
              </w:rPr>
            </w:pPr>
          </w:p>
        </w:tc>
        <w:tc>
          <w:tcPr>
            <w:tcW w:w="880" w:type="dxa"/>
            <w:vAlign w:val="bottom"/>
            <w:gridSpan w:val="2"/>
            <w:shd w:val="clear" w:color="auto" w:fill="CEF0FC"/>
          </w:tcPr>
          <w:p>
            <w:pPr>
              <w:jc w:val="right"/>
              <w:ind w:right="160"/>
              <w:spacing w:after="0"/>
              <w:rPr>
                <w:sz w:val="20"/>
                <w:szCs w:val="20"/>
                <w:color w:val="auto"/>
              </w:rPr>
            </w:pPr>
            <w:r>
              <w:rPr>
                <w:rFonts w:ascii="Times New Roman" w:cs="Times New Roman" w:eastAsia="Times New Roman" w:hAnsi="Times New Roman"/>
                <w:sz w:val="16"/>
                <w:szCs w:val="16"/>
                <w:color w:val="auto"/>
              </w:rPr>
              <w:t>80 %</w:t>
            </w:r>
          </w:p>
        </w:tc>
        <w:tc>
          <w:tcPr>
            <w:tcW w:w="140" w:type="dxa"/>
            <w:vAlign w:val="bottom"/>
            <w:shd w:val="clear" w:color="auto" w:fill="CEF0FC"/>
          </w:tcPr>
          <w:p>
            <w:pPr>
              <w:spacing w:after="0"/>
              <w:rPr>
                <w:sz w:val="16"/>
                <w:szCs w:val="16"/>
                <w:color w:val="auto"/>
              </w:rPr>
            </w:pPr>
          </w:p>
        </w:tc>
        <w:tc>
          <w:tcPr>
            <w:tcW w:w="86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81 %</w:t>
            </w:r>
          </w:p>
        </w:tc>
        <w:tc>
          <w:tcPr>
            <w:tcW w:w="12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80 %</w:t>
            </w:r>
          </w:p>
        </w:tc>
        <w:tc>
          <w:tcPr>
            <w:tcW w:w="14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79 %</w:t>
            </w:r>
          </w:p>
        </w:tc>
        <w:tc>
          <w:tcPr>
            <w:tcW w:w="12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77 %</w:t>
            </w:r>
          </w:p>
        </w:tc>
        <w:tc>
          <w:tcPr>
            <w:tcW w:w="140" w:type="dxa"/>
            <w:vAlign w:val="bottom"/>
            <w:shd w:val="clear" w:color="auto" w:fill="CEF0FC"/>
          </w:tcPr>
          <w:p>
            <w:pPr>
              <w:spacing w:after="0"/>
              <w:rPr>
                <w:sz w:val="16"/>
                <w:szCs w:val="16"/>
                <w:color w:val="auto"/>
              </w:rPr>
            </w:pPr>
          </w:p>
        </w:tc>
        <w:tc>
          <w:tcPr>
            <w:tcW w:w="86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80 %</w:t>
            </w:r>
          </w:p>
        </w:tc>
        <w:tc>
          <w:tcPr>
            <w:tcW w:w="140" w:type="dxa"/>
            <w:vAlign w:val="bottom"/>
            <w:shd w:val="clear" w:color="auto" w:fill="CEF0FC"/>
          </w:tcPr>
          <w:p>
            <w:pPr>
              <w:spacing w:after="0"/>
              <w:rPr>
                <w:sz w:val="16"/>
                <w:szCs w:val="16"/>
                <w:color w:val="auto"/>
              </w:rPr>
            </w:pPr>
          </w:p>
        </w:tc>
        <w:tc>
          <w:tcPr>
            <w:tcW w:w="760" w:type="dxa"/>
            <w:vAlign w:val="bottom"/>
            <w:gridSpan w:val="2"/>
            <w:shd w:val="clear" w:color="auto" w:fill="CEF0FC"/>
          </w:tcPr>
          <w:p>
            <w:pPr>
              <w:jc w:val="right"/>
              <w:ind w:right="20"/>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189"/>
        </w:trPr>
        <w:tc>
          <w:tcPr>
            <w:tcW w:w="3400" w:type="dxa"/>
            <w:vAlign w:val="bottom"/>
          </w:tcPr>
          <w:p>
            <w:pPr>
              <w:ind w:left="260"/>
              <w:spacing w:after="0" w:line="189" w:lineRule="exact"/>
              <w:rPr>
                <w:sz w:val="20"/>
                <w:szCs w:val="20"/>
                <w:color w:val="auto"/>
              </w:rPr>
            </w:pPr>
            <w:r>
              <w:rPr>
                <w:rFonts w:ascii="Times New Roman" w:cs="Times New Roman" w:eastAsia="Times New Roman" w:hAnsi="Times New Roman"/>
                <w:sz w:val="16"/>
                <w:szCs w:val="16"/>
                <w:color w:val="auto"/>
              </w:rPr>
              <w:t>Revenue attrition %</w:t>
            </w:r>
            <w:r>
              <w:rPr>
                <w:rFonts w:ascii="Times New Roman" w:cs="Times New Roman" w:eastAsia="Times New Roman" w:hAnsi="Times New Roman"/>
                <w:sz w:val="21"/>
                <w:szCs w:val="21"/>
                <w:color w:val="auto"/>
                <w:vertAlign w:val="superscript"/>
              </w:rPr>
              <w:t>(4)</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11 %</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7 %</w:t>
            </w: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3 %</w:t>
            </w: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189"/>
        </w:trPr>
        <w:tc>
          <w:tcPr>
            <w:tcW w:w="3400" w:type="dxa"/>
            <w:vAlign w:val="bottom"/>
            <w:shd w:val="clear" w:color="auto" w:fill="CEF0FC"/>
          </w:tcPr>
          <w:p>
            <w:pPr>
              <w:ind w:left="260"/>
              <w:spacing w:after="0" w:line="189" w:lineRule="exact"/>
              <w:rPr>
                <w:sz w:val="20"/>
                <w:szCs w:val="20"/>
                <w:color w:val="auto"/>
              </w:rPr>
            </w:pPr>
            <w:r>
              <w:rPr>
                <w:rFonts w:ascii="Times New Roman" w:cs="Times New Roman" w:eastAsia="Times New Roman" w:hAnsi="Times New Roman"/>
                <w:sz w:val="16"/>
                <w:szCs w:val="16"/>
                <w:color w:val="auto"/>
              </w:rPr>
              <w:t>Revenue from new customers</w:t>
            </w:r>
            <w:r>
              <w:rPr>
                <w:rFonts w:ascii="Times New Roman" w:cs="Times New Roman" w:eastAsia="Times New Roman" w:hAnsi="Times New Roman"/>
                <w:sz w:val="21"/>
                <w:szCs w:val="21"/>
                <w:color w:val="auto"/>
                <w:vertAlign w:val="superscript"/>
              </w:rPr>
              <w:t>(5)</w:t>
            </w: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60"/>
              <w:spacing w:after="0" w:line="189" w:lineRule="exact"/>
              <w:rPr>
                <w:sz w:val="20"/>
                <w:szCs w:val="20"/>
                <w:color w:val="auto"/>
              </w:rPr>
            </w:pPr>
            <w:r>
              <w:rPr>
                <w:rFonts w:ascii="Times New Roman" w:cs="Times New Roman" w:eastAsia="Times New Roman" w:hAnsi="Times New Roman"/>
                <w:sz w:val="16"/>
                <w:szCs w:val="16"/>
                <w:color w:val="auto"/>
              </w:rPr>
              <w:t>Base revenue from existing customers</w:t>
            </w:r>
            <w:r>
              <w:rPr>
                <w:rFonts w:ascii="Times New Roman" w:cs="Times New Roman" w:eastAsia="Times New Roman" w:hAnsi="Times New Roman"/>
                <w:sz w:val="21"/>
                <w:szCs w:val="21"/>
                <w:color w:val="auto"/>
                <w:vertAlign w:val="superscript"/>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6,678</w:t>
            </w:r>
          </w:p>
        </w:tc>
        <w:tc>
          <w:tcPr>
            <w:tcW w:w="3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7,351</w:t>
            </w:r>
          </w:p>
        </w:tc>
        <w:tc>
          <w:tcPr>
            <w:tcW w:w="3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8,354</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9,187</w:t>
            </w:r>
          </w:p>
        </w:tc>
        <w:tc>
          <w:tcPr>
            <w:tcW w:w="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9,114</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9,721</w:t>
            </w:r>
          </w:p>
        </w:tc>
        <w:tc>
          <w:tcPr>
            <w:tcW w:w="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10,164</w:t>
            </w:r>
          </w:p>
        </w:tc>
        <w:tc>
          <w:tcPr>
            <w:tcW w:w="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EF0FC"/>
          </w:tcPr>
          <w:p>
            <w:pPr>
              <w:ind w:left="260"/>
              <w:spacing w:after="0" w:line="189" w:lineRule="exact"/>
              <w:rPr>
                <w:sz w:val="20"/>
                <w:szCs w:val="20"/>
                <w:color w:val="auto"/>
              </w:rPr>
            </w:pPr>
            <w:r>
              <w:rPr>
                <w:rFonts w:ascii="Times New Roman" w:cs="Times New Roman" w:eastAsia="Times New Roman" w:hAnsi="Times New Roman"/>
                <w:sz w:val="16"/>
                <w:szCs w:val="16"/>
                <w:color w:val="auto"/>
              </w:rPr>
              <w:t>Growth revenue from existing customers</w:t>
            </w:r>
            <w:r>
              <w:rPr>
                <w:rFonts w:ascii="Times New Roman" w:cs="Times New Roman" w:eastAsia="Times New Roman" w:hAnsi="Times New Roman"/>
                <w:sz w:val="21"/>
                <w:szCs w:val="21"/>
                <w:color w:val="auto"/>
                <w:vertAlign w:val="superscript"/>
              </w:rPr>
              <w:t>(7)</w:t>
            </w: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Platform financial metrics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EF0FC"/>
          </w:tcPr>
          <w:p>
            <w:pPr>
              <w:ind w:left="260"/>
              <w:spacing w:after="0" w:line="189" w:lineRule="exact"/>
              <w:rPr>
                <w:sz w:val="20"/>
                <w:szCs w:val="20"/>
                <w:color w:val="auto"/>
              </w:rPr>
            </w:pPr>
            <w:r>
              <w:rPr>
                <w:rFonts w:ascii="Times New Roman" w:cs="Times New Roman" w:eastAsia="Times New Roman" w:hAnsi="Times New Roman"/>
                <w:sz w:val="16"/>
                <w:szCs w:val="16"/>
                <w:color w:val="auto"/>
              </w:rPr>
              <w:t>Platform revenue</w:t>
            </w:r>
            <w:r>
              <w:rPr>
                <w:rFonts w:ascii="Times New Roman" w:cs="Times New Roman" w:eastAsia="Times New Roman" w:hAnsi="Times New Roman"/>
                <w:sz w:val="21"/>
                <w:szCs w:val="21"/>
                <w:color w:val="auto"/>
                <w:vertAlign w:val="superscript"/>
              </w:rPr>
              <w:t>(8)</w:t>
            </w: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8,603</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9,813</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10,588</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11,296</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10,787</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12,217</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12,185</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14,763</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260"/>
              <w:spacing w:after="0" w:line="148" w:lineRule="exact"/>
              <w:rPr>
                <w:sz w:val="20"/>
                <w:szCs w:val="20"/>
                <w:color w:val="auto"/>
              </w:rPr>
            </w:pPr>
            <w:r>
              <w:rPr>
                <w:rFonts w:ascii="Times New Roman" w:cs="Times New Roman" w:eastAsia="Times New Roman" w:hAnsi="Times New Roman"/>
                <w:sz w:val="16"/>
                <w:szCs w:val="16"/>
                <w:color w:val="auto"/>
              </w:rPr>
              <w:t>Cost of revenue (exclusive of depreciation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3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3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2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2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2,606</w:t>
            </w:r>
          </w:p>
        </w:tc>
        <w:tc>
          <w:tcPr>
            <w:tcW w:w="2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2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2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and amortization)</w:t>
            </w: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6"/>
                <w:szCs w:val="16"/>
                <w:color w:val="auto"/>
              </w:rPr>
              <w:t>Adjusted gross margin</w:t>
            </w:r>
          </w:p>
        </w:tc>
        <w:tc>
          <w:tcPr>
            <w:tcW w:w="140" w:type="dxa"/>
            <w:vAlign w:val="bottom"/>
            <w:shd w:val="clear" w:color="auto" w:fill="CEF0FC"/>
          </w:tcPr>
          <w:p>
            <w:pPr>
              <w:spacing w:after="0"/>
              <w:rPr>
                <w:sz w:val="16"/>
                <w:szCs w:val="16"/>
                <w:color w:val="auto"/>
              </w:rPr>
            </w:pPr>
          </w:p>
        </w:tc>
        <w:tc>
          <w:tcPr>
            <w:tcW w:w="880" w:type="dxa"/>
            <w:vAlign w:val="bottom"/>
            <w:gridSpan w:val="2"/>
            <w:shd w:val="clear" w:color="auto" w:fill="CEF0FC"/>
          </w:tcPr>
          <w:p>
            <w:pPr>
              <w:jc w:val="right"/>
              <w:ind w:right="140"/>
              <w:spacing w:after="0"/>
              <w:rPr>
                <w:sz w:val="20"/>
                <w:szCs w:val="20"/>
                <w:color w:val="auto"/>
              </w:rPr>
            </w:pPr>
            <w:r>
              <w:rPr>
                <w:rFonts w:ascii="Times New Roman" w:cs="Times New Roman" w:eastAsia="Times New Roman" w:hAnsi="Times New Roman"/>
                <w:sz w:val="16"/>
                <w:szCs w:val="16"/>
                <w:color w:val="auto"/>
              </w:rPr>
              <w:t>72 %</w:t>
            </w:r>
          </w:p>
        </w:tc>
        <w:tc>
          <w:tcPr>
            <w:tcW w:w="140" w:type="dxa"/>
            <w:vAlign w:val="bottom"/>
            <w:shd w:val="clear" w:color="auto" w:fill="CEF0FC"/>
          </w:tcPr>
          <w:p>
            <w:pPr>
              <w:spacing w:after="0"/>
              <w:rPr>
                <w:sz w:val="16"/>
                <w:szCs w:val="16"/>
                <w:color w:val="auto"/>
              </w:rPr>
            </w:pPr>
          </w:p>
        </w:tc>
        <w:tc>
          <w:tcPr>
            <w:tcW w:w="880" w:type="dxa"/>
            <w:vAlign w:val="bottom"/>
            <w:gridSpan w:val="2"/>
            <w:shd w:val="clear" w:color="auto" w:fill="CEF0FC"/>
          </w:tcPr>
          <w:p>
            <w:pPr>
              <w:jc w:val="right"/>
              <w:ind w:right="160"/>
              <w:spacing w:after="0"/>
              <w:rPr>
                <w:sz w:val="20"/>
                <w:szCs w:val="20"/>
                <w:color w:val="auto"/>
              </w:rPr>
            </w:pPr>
            <w:r>
              <w:rPr>
                <w:rFonts w:ascii="Times New Roman" w:cs="Times New Roman" w:eastAsia="Times New Roman" w:hAnsi="Times New Roman"/>
                <w:sz w:val="16"/>
                <w:szCs w:val="16"/>
                <w:color w:val="auto"/>
              </w:rPr>
              <w:t>75 %</w:t>
            </w:r>
          </w:p>
        </w:tc>
        <w:tc>
          <w:tcPr>
            <w:tcW w:w="140" w:type="dxa"/>
            <w:vAlign w:val="bottom"/>
            <w:shd w:val="clear" w:color="auto" w:fill="CEF0FC"/>
          </w:tcPr>
          <w:p>
            <w:pPr>
              <w:spacing w:after="0"/>
              <w:rPr>
                <w:sz w:val="16"/>
                <w:szCs w:val="16"/>
                <w:color w:val="auto"/>
              </w:rPr>
            </w:pPr>
          </w:p>
        </w:tc>
        <w:tc>
          <w:tcPr>
            <w:tcW w:w="86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78 %</w:t>
            </w:r>
          </w:p>
        </w:tc>
        <w:tc>
          <w:tcPr>
            <w:tcW w:w="14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77 %</w:t>
            </w:r>
          </w:p>
        </w:tc>
        <w:tc>
          <w:tcPr>
            <w:tcW w:w="140" w:type="dxa"/>
            <w:vAlign w:val="bottom"/>
            <w:shd w:val="clear" w:color="auto" w:fill="CEF0FC"/>
          </w:tcPr>
          <w:p>
            <w:pPr>
              <w:spacing w:after="0"/>
              <w:rPr>
                <w:sz w:val="16"/>
                <w:szCs w:val="16"/>
                <w:color w:val="auto"/>
              </w:rPr>
            </w:pPr>
          </w:p>
        </w:tc>
        <w:tc>
          <w:tcPr>
            <w:tcW w:w="86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78 %</w:t>
            </w:r>
          </w:p>
        </w:tc>
        <w:tc>
          <w:tcPr>
            <w:tcW w:w="140" w:type="dxa"/>
            <w:vAlign w:val="bottom"/>
            <w:shd w:val="clear" w:color="auto" w:fill="CEF0FC"/>
          </w:tcPr>
          <w:p>
            <w:pPr>
              <w:spacing w:after="0"/>
              <w:rPr>
                <w:sz w:val="16"/>
                <w:szCs w:val="16"/>
                <w:color w:val="auto"/>
              </w:rPr>
            </w:pPr>
          </w:p>
        </w:tc>
        <w:tc>
          <w:tcPr>
            <w:tcW w:w="760" w:type="dxa"/>
            <w:vAlign w:val="bottom"/>
            <w:gridSpan w:val="2"/>
            <w:shd w:val="clear" w:color="auto" w:fill="CEF0FC"/>
          </w:tcPr>
          <w:p>
            <w:pPr>
              <w:jc w:val="right"/>
              <w:ind w:right="20"/>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Services financial metrics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EF0FC"/>
          </w:tcPr>
          <w:p>
            <w:pPr>
              <w:ind w:left="260"/>
              <w:spacing w:after="0" w:line="189" w:lineRule="exact"/>
              <w:rPr>
                <w:sz w:val="20"/>
                <w:szCs w:val="20"/>
                <w:color w:val="auto"/>
              </w:rPr>
            </w:pPr>
            <w:r>
              <w:rPr>
                <w:rFonts w:ascii="Times New Roman" w:cs="Times New Roman" w:eastAsia="Times New Roman" w:hAnsi="Times New Roman"/>
                <w:sz w:val="16"/>
                <w:szCs w:val="16"/>
                <w:color w:val="auto"/>
              </w:rPr>
              <w:t>Services revenue</w:t>
            </w:r>
            <w:r>
              <w:rPr>
                <w:rFonts w:ascii="Times New Roman" w:cs="Times New Roman" w:eastAsia="Times New Roman" w:hAnsi="Times New Roman"/>
                <w:sz w:val="21"/>
                <w:szCs w:val="21"/>
                <w:color w:val="auto"/>
                <w:vertAlign w:val="superscript"/>
              </w:rPr>
              <w:t>(9)</w:t>
            </w: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260"/>
              <w:spacing w:after="0" w:line="148" w:lineRule="exact"/>
              <w:rPr>
                <w:sz w:val="20"/>
                <w:szCs w:val="20"/>
                <w:color w:val="auto"/>
              </w:rPr>
            </w:pPr>
            <w:r>
              <w:rPr>
                <w:rFonts w:ascii="Times New Roman" w:cs="Times New Roman" w:eastAsia="Times New Roman" w:hAnsi="Times New Roman"/>
                <w:sz w:val="16"/>
                <w:szCs w:val="16"/>
                <w:color w:val="auto"/>
              </w:rPr>
              <w:t>Cost of revenue (exclusive of depreciation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3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3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and amortization)</w:t>
            </w: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6"/>
                <w:szCs w:val="16"/>
                <w:color w:val="auto"/>
              </w:rPr>
              <w:t>Adjusted gross margin</w:t>
            </w:r>
          </w:p>
        </w:tc>
        <w:tc>
          <w:tcPr>
            <w:tcW w:w="140" w:type="dxa"/>
            <w:vAlign w:val="bottom"/>
            <w:shd w:val="clear" w:color="auto" w:fill="CEF0FC"/>
          </w:tcPr>
          <w:p>
            <w:pPr>
              <w:spacing w:after="0"/>
              <w:rPr>
                <w:sz w:val="16"/>
                <w:szCs w:val="16"/>
                <w:color w:val="auto"/>
              </w:rPr>
            </w:pPr>
          </w:p>
        </w:tc>
        <w:tc>
          <w:tcPr>
            <w:tcW w:w="880" w:type="dxa"/>
            <w:vAlign w:val="bottom"/>
            <w:gridSpan w:val="2"/>
            <w:shd w:val="clear" w:color="auto" w:fill="CEF0FC"/>
          </w:tcPr>
          <w:p>
            <w:pPr>
              <w:jc w:val="right"/>
              <w:ind w:right="140"/>
              <w:spacing w:after="0"/>
              <w:rPr>
                <w:sz w:val="20"/>
                <w:szCs w:val="20"/>
                <w:color w:val="auto"/>
              </w:rPr>
            </w:pPr>
            <w:r>
              <w:rPr>
                <w:rFonts w:ascii="Times New Roman" w:cs="Times New Roman" w:eastAsia="Times New Roman" w:hAnsi="Times New Roman"/>
                <w:sz w:val="16"/>
                <w:szCs w:val="16"/>
                <w:color w:val="auto"/>
              </w:rPr>
              <w:t>32 %</w:t>
            </w:r>
          </w:p>
        </w:tc>
        <w:tc>
          <w:tcPr>
            <w:tcW w:w="140" w:type="dxa"/>
            <w:vAlign w:val="bottom"/>
            <w:shd w:val="clear" w:color="auto" w:fill="CEF0FC"/>
          </w:tcPr>
          <w:p>
            <w:pPr>
              <w:spacing w:after="0"/>
              <w:rPr>
                <w:sz w:val="16"/>
                <w:szCs w:val="16"/>
                <w:color w:val="auto"/>
              </w:rPr>
            </w:pPr>
          </w:p>
        </w:tc>
        <w:tc>
          <w:tcPr>
            <w:tcW w:w="880" w:type="dxa"/>
            <w:vAlign w:val="bottom"/>
            <w:gridSpan w:val="2"/>
            <w:shd w:val="clear" w:color="auto" w:fill="CEF0FC"/>
          </w:tcPr>
          <w:p>
            <w:pPr>
              <w:jc w:val="right"/>
              <w:ind w:right="160"/>
              <w:spacing w:after="0"/>
              <w:rPr>
                <w:sz w:val="20"/>
                <w:szCs w:val="20"/>
                <w:color w:val="auto"/>
              </w:rPr>
            </w:pPr>
            <w:r>
              <w:rPr>
                <w:rFonts w:ascii="Times New Roman" w:cs="Times New Roman" w:eastAsia="Times New Roman" w:hAnsi="Times New Roman"/>
                <w:sz w:val="16"/>
                <w:szCs w:val="16"/>
                <w:color w:val="auto"/>
              </w:rPr>
              <w:t>32 %</w:t>
            </w:r>
          </w:p>
        </w:tc>
        <w:tc>
          <w:tcPr>
            <w:tcW w:w="140" w:type="dxa"/>
            <w:vAlign w:val="bottom"/>
            <w:shd w:val="clear" w:color="auto" w:fill="CEF0FC"/>
          </w:tcPr>
          <w:p>
            <w:pPr>
              <w:spacing w:after="0"/>
              <w:rPr>
                <w:sz w:val="16"/>
                <w:szCs w:val="16"/>
                <w:color w:val="auto"/>
              </w:rPr>
            </w:pPr>
          </w:p>
        </w:tc>
        <w:tc>
          <w:tcPr>
            <w:tcW w:w="86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30 %</w:t>
            </w:r>
          </w:p>
        </w:tc>
        <w:tc>
          <w:tcPr>
            <w:tcW w:w="14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32 %</w:t>
            </w:r>
          </w:p>
        </w:tc>
        <w:tc>
          <w:tcPr>
            <w:tcW w:w="140" w:type="dxa"/>
            <w:vAlign w:val="bottom"/>
            <w:shd w:val="clear" w:color="auto" w:fill="CEF0FC"/>
          </w:tcPr>
          <w:p>
            <w:pPr>
              <w:spacing w:after="0"/>
              <w:rPr>
                <w:sz w:val="16"/>
                <w:szCs w:val="16"/>
                <w:color w:val="auto"/>
              </w:rPr>
            </w:pPr>
          </w:p>
        </w:tc>
        <w:tc>
          <w:tcPr>
            <w:tcW w:w="86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6"/>
                <w:szCs w:val="16"/>
                <w:color w:val="auto"/>
              </w:rPr>
              <w:t>32 %</w:t>
            </w:r>
          </w:p>
        </w:tc>
        <w:tc>
          <w:tcPr>
            <w:tcW w:w="140" w:type="dxa"/>
            <w:vAlign w:val="bottom"/>
            <w:shd w:val="clear" w:color="auto" w:fill="CEF0FC"/>
          </w:tcPr>
          <w:p>
            <w:pPr>
              <w:spacing w:after="0"/>
              <w:rPr>
                <w:sz w:val="16"/>
                <w:szCs w:val="16"/>
                <w:color w:val="auto"/>
              </w:rPr>
            </w:pPr>
          </w:p>
        </w:tc>
        <w:tc>
          <w:tcPr>
            <w:tcW w:w="760" w:type="dxa"/>
            <w:vAlign w:val="bottom"/>
            <w:gridSpan w:val="2"/>
            <w:shd w:val="clear" w:color="auto" w:fill="CEF0FC"/>
          </w:tcPr>
          <w:p>
            <w:pPr>
              <w:jc w:val="right"/>
              <w:ind w:right="20"/>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metrics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6"/>
                <w:szCs w:val="16"/>
                <w:color w:val="auto"/>
              </w:rPr>
              <w:t>Employees - sales and marketing</w:t>
            </w: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Employees - support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6"/>
                <w:szCs w:val="16"/>
                <w:color w:val="auto"/>
              </w:rPr>
              <w:t>Employees - infrastructure</w:t>
            </w: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Employees - engineering</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6"/>
                <w:szCs w:val="16"/>
                <w:color w:val="auto"/>
              </w:rPr>
              <w:t>Employees - administration</w:t>
            </w: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80" w:right="260" w:hanging="372"/>
        <w:spacing w:after="0" w:line="250" w:lineRule="auto"/>
        <w:tabs>
          <w:tab w:leader="none" w:pos="3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82" w:lineRule="exact"/>
        <w:rPr>
          <w:rFonts w:ascii="Times New Roman" w:cs="Times New Roman" w:eastAsia="Times New Roman" w:hAnsi="Times New Roman"/>
          <w:sz w:val="18"/>
          <w:szCs w:val="18"/>
          <w:color w:val="auto"/>
        </w:rPr>
      </w:pPr>
    </w:p>
    <w:p>
      <w:pPr>
        <w:ind w:left="380" w:right="120" w:hanging="372"/>
        <w:spacing w:after="0" w:line="266" w:lineRule="auto"/>
        <w:tabs>
          <w:tab w:leader="none" w:pos="3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 user of FOREWARN as a unique person that has a subscription to use the FOREWARN service as of the last day of the period. A unique person can only have one user account.</w:t>
      </w:r>
    </w:p>
    <w:p>
      <w:pPr>
        <w:spacing w:after="0" w:line="54" w:lineRule="exact"/>
        <w:rPr>
          <w:rFonts w:ascii="Times New Roman" w:cs="Times New Roman" w:eastAsia="Times New Roman" w:hAnsi="Times New Roman"/>
          <w:sz w:val="18"/>
          <w:szCs w:val="18"/>
          <w:color w:val="auto"/>
        </w:rPr>
      </w:pPr>
    </w:p>
    <w:p>
      <w:pPr>
        <w:ind w:left="380" w:right="600" w:hanging="372"/>
        <w:spacing w:after="0" w:line="282" w:lineRule="auto"/>
        <w:tabs>
          <w:tab w:leader="none" w:pos="3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40" w:lineRule="exact"/>
        <w:rPr>
          <w:rFonts w:ascii="Times New Roman" w:cs="Times New Roman" w:eastAsia="Times New Roman" w:hAnsi="Times New Roman"/>
          <w:sz w:val="18"/>
          <w:szCs w:val="18"/>
          <w:color w:val="auto"/>
        </w:rPr>
      </w:pPr>
    </w:p>
    <w:p>
      <w:pPr>
        <w:ind w:left="380" w:right="40" w:hanging="372"/>
        <w:spacing w:after="0" w:line="247" w:lineRule="auto"/>
        <w:tabs>
          <w:tab w:leader="none" w:pos="3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attrition is defined as the revenue lost as a result of customer attrition, net of reinstated customer revenue, and it excludes expansion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Revenue attrition percentage is calculated on a trailing twelve-month basis, the numerator of which is the revenue lost during the period due to attrition, net of reinstated revenue, and the denominator of which is total revenue based on an average of total revenue at the beginning of each month during the period. Prior to Q1’22, FOREWARN revenue was excluded from our revenue attrition calculation.</w:t>
      </w:r>
    </w:p>
    <w:p>
      <w:pPr>
        <w:spacing w:after="0" w:line="71" w:lineRule="exact"/>
        <w:rPr>
          <w:rFonts w:ascii="Times New Roman" w:cs="Times New Roman" w:eastAsia="Times New Roman" w:hAnsi="Times New Roman"/>
          <w:sz w:val="18"/>
          <w:szCs w:val="18"/>
          <w:color w:val="auto"/>
        </w:rPr>
      </w:pPr>
    </w:p>
    <w:p>
      <w:pPr>
        <w:ind w:left="380" w:right="200" w:hanging="372"/>
        <w:spacing w:after="0" w:line="246" w:lineRule="auto"/>
        <w:tabs>
          <w:tab w:leader="none" w:pos="3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new customers represents the total monthly revenue generated from new customers in a given period. A customer is defined as a new customer during the first six months of revenue generation.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ind w:left="380" w:hanging="372"/>
        <w:spacing w:after="0" w:line="266" w:lineRule="auto"/>
        <w:tabs>
          <w:tab w:leader="none" w:pos="3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spacing w:after="0" w:line="67" w:lineRule="exact"/>
        <w:rPr>
          <w:rFonts w:ascii="Times New Roman" w:cs="Times New Roman" w:eastAsia="Times New Roman" w:hAnsi="Times New Roman"/>
          <w:sz w:val="18"/>
          <w:szCs w:val="18"/>
          <w:color w:val="auto"/>
        </w:rPr>
      </w:pPr>
    </w:p>
    <w:p>
      <w:pPr>
        <w:ind w:left="380" w:right="160" w:hanging="372"/>
        <w:spacing w:after="0" w:line="266" w:lineRule="auto"/>
        <w:tabs>
          <w:tab w:leader="none" w:pos="3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revenue from existing customers represents the total monthly revenue generated from existing customers in a given period in excess of the customers' trailing six-month average revenue.</w:t>
      </w:r>
    </w:p>
    <w:p>
      <w:pPr>
        <w:spacing w:after="0" w:line="54" w:lineRule="exact"/>
        <w:rPr>
          <w:rFonts w:ascii="Times New Roman" w:cs="Times New Roman" w:eastAsia="Times New Roman" w:hAnsi="Times New Roman"/>
          <w:sz w:val="18"/>
          <w:szCs w:val="18"/>
          <w:color w:val="auto"/>
        </w:rPr>
      </w:pPr>
    </w:p>
    <w:p>
      <w:pPr>
        <w:ind w:left="380" w:right="240" w:hanging="372"/>
        <w:spacing w:after="0" w:line="258" w:lineRule="auto"/>
        <w:tabs>
          <w:tab w:leader="none" w:pos="3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revenue consists of both contractual and transactional revenue generated from our technology platform, CORE. It includes all revenue generated through our IDI and FOREWARN solutions. The cost of revenue, which consists primarily of data acquisition costs, remains relatively fixed irrespective of revenue generation.</w:t>
      </w:r>
    </w:p>
    <w:p>
      <w:pPr>
        <w:spacing w:after="0" w:line="61"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consists of transactional revenue generated from our idiVERIFIED service. The cost of revenue, which consists primarily of third-party servicer costs, is variable.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Camilo Ramirez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Violet,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561-757-4500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563C1"/>
        </w:rPr>
        <w:t>ir@redviolet.com</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bookmarkStart w:id="12" w:name="page13"/>
    <w:bookmarkEnd w:id="12"/>
    <w:p>
      <w:pPr>
        <w:jc w:val="right"/>
        <w:spacing w:after="0"/>
        <w:rPr>
          <w:sz w:val="20"/>
          <w:szCs w:val="20"/>
          <w:color w:val="auto"/>
        </w:rPr>
      </w:pPr>
      <w:r>
        <w:rPr>
          <w:rFonts w:ascii="Calibri" w:cs="Calibri" w:eastAsia="Calibri" w:hAnsi="Calibri"/>
          <w:sz w:val="25"/>
          <w:szCs w:val="25"/>
          <w:b w:val="1"/>
          <w:bCs w:val="1"/>
          <w:color w:val="auto"/>
        </w:rPr>
        <w:t>Exhibit 99.2</w:t>
      </w:r>
    </w:p>
    <w:p>
      <w:pPr>
        <w:spacing w:after="0" w:line="24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Red Violet, Inc. (NASDAQ: RDVT)</w:t>
      </w:r>
    </w:p>
    <w:p>
      <w:pPr>
        <w:spacing w:after="0" w:line="24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Third Quarter 2022 Earnings Results Conference Call</w:t>
      </w:r>
    </w:p>
    <w:p>
      <w:pPr>
        <w:spacing w:after="0" w:line="24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Company Partcipants:</w:t>
      </w:r>
    </w:p>
    <w:p>
      <w:pPr>
        <w:spacing w:after="0" w:line="248" w:lineRule="exact"/>
        <w:rPr>
          <w:sz w:val="20"/>
          <w:szCs w:val="20"/>
          <w:color w:val="auto"/>
        </w:rPr>
      </w:pPr>
    </w:p>
    <w:p>
      <w:pPr>
        <w:spacing w:after="0"/>
        <w:rPr>
          <w:sz w:val="20"/>
          <w:szCs w:val="20"/>
          <w:color w:val="auto"/>
        </w:rPr>
      </w:pPr>
      <w:r>
        <w:rPr>
          <w:rFonts w:ascii="Calibri" w:cs="Calibri" w:eastAsia="Calibri" w:hAnsi="Calibri"/>
          <w:sz w:val="25"/>
          <w:szCs w:val="25"/>
          <w:color w:val="auto"/>
        </w:rPr>
        <w:t>Camilo Ramirez, Vice President, Finance and Investor Relatons</w:t>
      </w:r>
    </w:p>
    <w:p>
      <w:pPr>
        <w:spacing w:after="0" w:line="248" w:lineRule="exact"/>
        <w:rPr>
          <w:sz w:val="20"/>
          <w:szCs w:val="20"/>
          <w:color w:val="auto"/>
        </w:rPr>
      </w:pPr>
    </w:p>
    <w:p>
      <w:pPr>
        <w:spacing w:after="0"/>
        <w:rPr>
          <w:sz w:val="20"/>
          <w:szCs w:val="20"/>
          <w:color w:val="auto"/>
        </w:rPr>
      </w:pPr>
      <w:r>
        <w:rPr>
          <w:rFonts w:ascii="Calibri" w:cs="Calibri" w:eastAsia="Calibri" w:hAnsi="Calibri"/>
          <w:sz w:val="25"/>
          <w:szCs w:val="25"/>
          <w:color w:val="auto"/>
        </w:rPr>
        <w:t>Derek Dubner, Chairman and Chief Executve Ofcer</w:t>
      </w:r>
    </w:p>
    <w:p>
      <w:pPr>
        <w:spacing w:after="0" w:line="248" w:lineRule="exact"/>
        <w:rPr>
          <w:sz w:val="20"/>
          <w:szCs w:val="20"/>
          <w:color w:val="auto"/>
        </w:rPr>
      </w:pPr>
    </w:p>
    <w:p>
      <w:pPr>
        <w:spacing w:after="0"/>
        <w:rPr>
          <w:sz w:val="20"/>
          <w:szCs w:val="20"/>
          <w:color w:val="auto"/>
        </w:rPr>
      </w:pPr>
      <w:r>
        <w:rPr>
          <w:rFonts w:ascii="Calibri" w:cs="Calibri" w:eastAsia="Calibri" w:hAnsi="Calibri"/>
          <w:sz w:val="25"/>
          <w:szCs w:val="25"/>
          <w:color w:val="auto"/>
        </w:rPr>
        <w:t>Dan MacLachlan, Chief Financial Ofcer</w:t>
      </w:r>
    </w:p>
    <w:p>
      <w:pPr>
        <w:spacing w:after="0" w:line="24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Operator:</w:t>
      </w:r>
    </w:p>
    <w:p>
      <w:pPr>
        <w:spacing w:after="0" w:line="239" w:lineRule="exact"/>
        <w:rPr>
          <w:sz w:val="20"/>
          <w:szCs w:val="20"/>
          <w:color w:val="auto"/>
        </w:rPr>
      </w:pPr>
    </w:p>
    <w:p>
      <w:pPr>
        <w:ind w:right="40"/>
        <w:spacing w:after="0" w:line="243" w:lineRule="auto"/>
        <w:rPr>
          <w:sz w:val="20"/>
          <w:szCs w:val="20"/>
          <w:color w:val="auto"/>
        </w:rPr>
      </w:pPr>
      <w:r>
        <w:rPr>
          <w:rFonts w:ascii="Calibri" w:cs="Calibri" w:eastAsia="Calibri" w:hAnsi="Calibri"/>
          <w:sz w:val="25"/>
          <w:szCs w:val="25"/>
          <w:color w:val="auto"/>
        </w:rPr>
        <w:t>Good day ladies and gentlemen, and welcome to red violet’s third quarter 2022 earnings conference call. At this tme, all partcipants are in a listen only mode. Later we will conduct a queston and answer session and instructons will follow at that tme. If anyone should require operator assistance, please press star then zero on your phone.</w:t>
      </w:r>
    </w:p>
    <w:p>
      <w:pPr>
        <w:spacing w:after="0" w:line="150" w:lineRule="exact"/>
        <w:rPr>
          <w:sz w:val="20"/>
          <w:szCs w:val="20"/>
          <w:color w:val="auto"/>
        </w:rPr>
      </w:pPr>
    </w:p>
    <w:p>
      <w:pPr>
        <w:spacing w:after="0"/>
        <w:rPr>
          <w:sz w:val="20"/>
          <w:szCs w:val="20"/>
          <w:color w:val="auto"/>
        </w:rPr>
      </w:pPr>
      <w:r>
        <w:rPr>
          <w:rFonts w:ascii="Calibri" w:cs="Calibri" w:eastAsia="Calibri" w:hAnsi="Calibri"/>
          <w:sz w:val="25"/>
          <w:szCs w:val="25"/>
          <w:color w:val="FF0000"/>
        </w:rPr>
        <w:t>As a reminder this call is being recorded.</w:t>
      </w:r>
    </w:p>
    <w:p>
      <w:pPr>
        <w:spacing w:after="0" w:line="158" w:lineRule="exact"/>
        <w:rPr>
          <w:sz w:val="20"/>
          <w:szCs w:val="20"/>
          <w:color w:val="auto"/>
        </w:rPr>
      </w:pPr>
    </w:p>
    <w:p>
      <w:pPr>
        <w:ind w:right="140"/>
        <w:spacing w:after="0"/>
        <w:rPr>
          <w:sz w:val="20"/>
          <w:szCs w:val="20"/>
          <w:color w:val="auto"/>
        </w:rPr>
      </w:pPr>
      <w:r>
        <w:rPr>
          <w:rFonts w:ascii="Calibri" w:cs="Calibri" w:eastAsia="Calibri" w:hAnsi="Calibri"/>
          <w:sz w:val="25"/>
          <w:szCs w:val="25"/>
          <w:color w:val="auto"/>
        </w:rPr>
        <w:t>I would now like to introduce your host for today’s conference Camilo Ramirez, Vice President, Finance and Investor Relatons. Please go ahead.</w:t>
      </w:r>
    </w:p>
    <w:p>
      <w:pPr>
        <w:spacing w:after="0" w:line="16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Camilo Ramirez:</w:t>
      </w:r>
    </w:p>
    <w:p>
      <w:pPr>
        <w:spacing w:after="0" w:line="253" w:lineRule="exact"/>
        <w:rPr>
          <w:sz w:val="20"/>
          <w:szCs w:val="20"/>
          <w:color w:val="auto"/>
        </w:rPr>
      </w:pPr>
    </w:p>
    <w:p>
      <w:pPr>
        <w:ind w:right="380"/>
        <w:spacing w:after="0" w:line="274" w:lineRule="auto"/>
        <w:rPr>
          <w:sz w:val="20"/>
          <w:szCs w:val="20"/>
          <w:color w:val="auto"/>
        </w:rPr>
      </w:pPr>
      <w:r>
        <w:rPr>
          <w:rFonts w:ascii="Calibri" w:cs="Calibri" w:eastAsia="Calibri" w:hAnsi="Calibri"/>
          <w:sz w:val="25"/>
          <w:szCs w:val="25"/>
          <w:color w:val="auto"/>
        </w:rPr>
        <w:t>Good afernoon and welcome. Thank you for joining us today to discuss our third quarter 2022 fnancial results. With me today is Derek Dubner, our Chairman and Chief Executve Ofcer, and Dan MacLachlan, our Chief Financial Ofcer. Our call today will begin with comments from Derek and Dan, followed by a queston and answer session.</w:t>
      </w:r>
    </w:p>
    <w:p>
      <w:pPr>
        <w:spacing w:after="0" w:line="213" w:lineRule="exact"/>
        <w:rPr>
          <w:sz w:val="20"/>
          <w:szCs w:val="20"/>
          <w:color w:val="auto"/>
        </w:rPr>
      </w:pPr>
    </w:p>
    <w:p>
      <w:pPr>
        <w:jc w:val="both"/>
        <w:ind w:right="480"/>
        <w:spacing w:after="0" w:line="274" w:lineRule="auto"/>
        <w:rPr>
          <w:sz w:val="20"/>
          <w:szCs w:val="20"/>
          <w:color w:val="auto"/>
        </w:rPr>
      </w:pPr>
      <w:r>
        <w:rPr>
          <w:rFonts w:ascii="Calibri" w:cs="Calibri" w:eastAsia="Calibri" w:hAnsi="Calibri"/>
          <w:sz w:val="25"/>
          <w:szCs w:val="25"/>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line="275" w:lineRule="auto"/>
        <w:rPr>
          <w:sz w:val="20"/>
          <w:szCs w:val="20"/>
          <w:color w:val="auto"/>
        </w:rPr>
      </w:pPr>
      <w:r>
        <w:rPr>
          <w:rFonts w:ascii="Calibri" w:cs="Calibri" w:eastAsia="Calibri" w:hAnsi="Calibri"/>
          <w:sz w:val="25"/>
          <w:szCs w:val="25"/>
          <w:color w:val="auto"/>
        </w:rPr>
        <w:t>Before we begin, I would like to advise listeners that certain informaton discussed by management during this conference call are forward-looking statements covered under the Safe Harbor Provisions of the Private Securites Litgaton Reform Act of 1995. Actual results could difer materially from those stated or implied by our forward-looking statements due to risks and uncertaintes associated with the company’s business. The company undertakes no obligaton to update the informaton provided on this call. For a discussion of risks and uncertaintes associated with red violet’s business, I encourage you to review the company’s flings with the Securites and Exchange Commission, including the most recent Annual Report on Form 10-K and the subsequent 10-Qs.</w:t>
      </w:r>
    </w:p>
    <w:p>
      <w:pPr>
        <w:spacing w:after="0" w:line="213" w:lineRule="exact"/>
        <w:rPr>
          <w:sz w:val="20"/>
          <w:szCs w:val="20"/>
          <w:color w:val="auto"/>
        </w:rPr>
      </w:pPr>
    </w:p>
    <w:p>
      <w:pPr>
        <w:ind w:right="200"/>
        <w:spacing w:after="0" w:line="275" w:lineRule="auto"/>
        <w:rPr>
          <w:sz w:val="20"/>
          <w:szCs w:val="20"/>
          <w:color w:val="auto"/>
        </w:rPr>
      </w:pPr>
      <w:r>
        <w:rPr>
          <w:rFonts w:ascii="Calibri" w:cs="Calibri" w:eastAsia="Calibri" w:hAnsi="Calibri"/>
          <w:sz w:val="25"/>
          <w:szCs w:val="25"/>
          <w:color w:val="auto"/>
        </w:rPr>
        <w:t>During the call, we may present certain non-GAAP fnancial informaton relatng to adjusted gross proft, adjusted gross margin, adjusted EBITDA, and adjusted EBITDA margin. Reconciliatons of these non-GAAP fnancial measures to their most directly comparable GAAP fnancial measure are provided in the earnings press release issued earlier today. In additon, certain supplemental metrics that are not necessarily derived from any underlying fnancial statement amounts may be discussed and these metrics and their defnitons can also be found in the earnings press release issued earlier today.</w:t>
      </w:r>
    </w:p>
    <w:p>
      <w:pPr>
        <w:spacing w:after="0" w:line="206" w:lineRule="exact"/>
        <w:rPr>
          <w:sz w:val="20"/>
          <w:szCs w:val="20"/>
          <w:color w:val="auto"/>
        </w:rPr>
      </w:pPr>
    </w:p>
    <w:p>
      <w:pPr>
        <w:spacing w:after="0"/>
        <w:rPr>
          <w:sz w:val="20"/>
          <w:szCs w:val="20"/>
          <w:color w:val="auto"/>
        </w:rPr>
      </w:pPr>
      <w:r>
        <w:rPr>
          <w:rFonts w:ascii="Calibri" w:cs="Calibri" w:eastAsia="Calibri" w:hAnsi="Calibri"/>
          <w:sz w:val="25"/>
          <w:szCs w:val="25"/>
          <w:color w:val="auto"/>
        </w:rPr>
        <w:t>With that, I am pleased to introduce red violet’s Chairman and Chief Executve Ofcer, Derek Dubner.</w:t>
      </w:r>
    </w:p>
    <w:p>
      <w:pPr>
        <w:spacing w:after="0" w:line="24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Derek Dubner</w:t>
      </w:r>
    </w:p>
    <w:p>
      <w:pPr>
        <w:spacing w:after="0" w:line="253" w:lineRule="exact"/>
        <w:rPr>
          <w:sz w:val="20"/>
          <w:szCs w:val="20"/>
          <w:color w:val="auto"/>
        </w:rPr>
      </w:pPr>
    </w:p>
    <w:p>
      <w:pPr>
        <w:ind w:right="360"/>
        <w:spacing w:after="0" w:line="275" w:lineRule="auto"/>
        <w:rPr>
          <w:sz w:val="20"/>
          <w:szCs w:val="20"/>
          <w:color w:val="auto"/>
        </w:rPr>
      </w:pPr>
      <w:r>
        <w:rPr>
          <w:rFonts w:ascii="Calibri" w:cs="Calibri" w:eastAsia="Calibri" w:hAnsi="Calibri"/>
          <w:sz w:val="25"/>
          <w:szCs w:val="25"/>
          <w:color w:val="auto"/>
        </w:rPr>
        <w:t>Thank you, Camilo. Good afernoon to all and thank you for joining us today to discuss the results of our third quarter 2022. We are very pleased to report yet another strong quarter, setng records in nearly every key fnancial metric, driven by contnued strong demand for our innovatve identty and fraud solutons. We are delivering on a growing sales pipeline, winning head-to-head tests against the competton, and have re-accelerated our investment in our sales and product teams to capitalize on opportunites and to drive our robust product roadmap. With that, let us dive into the quarter.</w:t>
      </w:r>
    </w:p>
    <w:p>
      <w:pPr>
        <w:spacing w:after="0" w:line="172"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 w:name="page15"/>
    <w:bookmarkEnd w:id="14"/>
    <w:p>
      <w:pPr>
        <w:ind w:right="20"/>
        <w:spacing w:after="0" w:line="275" w:lineRule="auto"/>
        <w:rPr>
          <w:sz w:val="20"/>
          <w:szCs w:val="20"/>
          <w:color w:val="auto"/>
        </w:rPr>
      </w:pPr>
      <w:r>
        <w:rPr>
          <w:rFonts w:ascii="Calibri" w:cs="Calibri" w:eastAsia="Calibri" w:hAnsi="Calibri"/>
          <w:sz w:val="25"/>
          <w:szCs w:val="25"/>
          <w:color w:val="auto"/>
        </w:rPr>
        <w:t>For the quarter, total revenue was a record $15.0 million, a 29% increase over prior year. We produced a record $12.0 million in adjusted gross proft, resultng in a record margin of 80% for the third quarter. Adjusted EBITDA for the quarter was a record $5.2 million, producing a record 35% margin. Our net income was a record $2.3 million for the third quarter, an 80% increase over prior year. This resulted in record earnings of $0.16 per diluted share.</w:t>
      </w:r>
    </w:p>
    <w:p>
      <w:pPr>
        <w:spacing w:after="0" w:line="209" w:lineRule="exact"/>
        <w:rPr>
          <w:sz w:val="20"/>
          <w:szCs w:val="20"/>
          <w:color w:val="auto"/>
        </w:rPr>
      </w:pPr>
    </w:p>
    <w:p>
      <w:pPr>
        <w:ind w:right="160"/>
        <w:spacing w:after="0" w:line="274" w:lineRule="auto"/>
        <w:rPr>
          <w:sz w:val="20"/>
          <w:szCs w:val="20"/>
          <w:color w:val="auto"/>
        </w:rPr>
      </w:pPr>
      <w:r>
        <w:rPr>
          <w:rFonts w:ascii="Calibri" w:cs="Calibri" w:eastAsia="Calibri" w:hAnsi="Calibri"/>
          <w:sz w:val="25"/>
          <w:szCs w:val="25"/>
          <w:color w:val="auto"/>
        </w:rPr>
        <w:t>IDI added over 50 customers sequentally from the second quarter, ending the third quarter at 6,873 customers and FOREWARN added over 8,700 users sequentally from the second quarter, ending the third quarter at 110,051 users. Over 225 Realtor® Associatons are now contracted to use FOREWARN.</w:t>
      </w:r>
    </w:p>
    <w:p>
      <w:pPr>
        <w:spacing w:after="0" w:line="210" w:lineRule="exact"/>
        <w:rPr>
          <w:sz w:val="20"/>
          <w:szCs w:val="20"/>
          <w:color w:val="auto"/>
        </w:rPr>
      </w:pPr>
    </w:p>
    <w:p>
      <w:pPr>
        <w:ind w:right="300"/>
        <w:spacing w:after="0" w:line="275" w:lineRule="auto"/>
        <w:rPr>
          <w:sz w:val="20"/>
          <w:szCs w:val="20"/>
          <w:color w:val="auto"/>
        </w:rPr>
      </w:pPr>
      <w:r>
        <w:rPr>
          <w:rFonts w:ascii="Calibri" w:cs="Calibri" w:eastAsia="Calibri" w:hAnsi="Calibri"/>
          <w:sz w:val="25"/>
          <w:szCs w:val="25"/>
          <w:color w:val="auto"/>
        </w:rPr>
        <w:t>During last quarter’s earnings call, we noted that we had multple pipeline opportunites in play that we thought would perhaps land in Q2, were delayed to due to ordinary course budgetng and procurement processes, and that we expected to land them in Q3 and Q4. As expected, we landed a few of those opportunites here in the third quarter. We are very proud of these wins as they are a result of prospects testng our solutons and capabilites against the much larger competton, and we won the business.</w:t>
      </w:r>
    </w:p>
    <w:p>
      <w:pPr>
        <w:spacing w:after="0" w:line="209" w:lineRule="exact"/>
        <w:rPr>
          <w:sz w:val="20"/>
          <w:szCs w:val="20"/>
          <w:color w:val="auto"/>
        </w:rPr>
      </w:pPr>
    </w:p>
    <w:p>
      <w:pPr>
        <w:ind w:right="60"/>
        <w:spacing w:after="0" w:line="276" w:lineRule="auto"/>
        <w:rPr>
          <w:sz w:val="20"/>
          <w:szCs w:val="20"/>
          <w:color w:val="auto"/>
        </w:rPr>
      </w:pPr>
      <w:r>
        <w:rPr>
          <w:rFonts w:ascii="Calibri" w:cs="Calibri" w:eastAsia="Calibri" w:hAnsi="Calibri"/>
          <w:sz w:val="25"/>
          <w:szCs w:val="25"/>
          <w:color w:val="auto"/>
        </w:rPr>
        <w:t>We also provided insight last quarter into some sofness that we experienced in our real estate marketng segment due to the spike in mortgage rates and volatlity in the broader housing market. In the third quarter, we stll experienced sofness within this segment with revenue remaining relatvely fat compared to prior year. To be clear, the segment we are referring to is only a porton of our real estate revenue and is not part of our fraud solutons and it is not FOREWARN, both of which saw strong growth in the third quarter.</w:t>
      </w:r>
    </w:p>
    <w:p>
      <w:pPr>
        <w:spacing w:after="0" w:line="200" w:lineRule="exact"/>
        <w:rPr>
          <w:sz w:val="20"/>
          <w:szCs w:val="20"/>
          <w:color w:val="auto"/>
        </w:rPr>
      </w:pPr>
    </w:p>
    <w:p>
      <w:pPr>
        <w:spacing w:after="0" w:line="354" w:lineRule="exact"/>
        <w:rPr>
          <w:sz w:val="20"/>
          <w:szCs w:val="20"/>
          <w:color w:val="auto"/>
        </w:rPr>
      </w:pPr>
    </w:p>
    <w:p>
      <w:pPr>
        <w:spacing w:after="0" w:line="275" w:lineRule="auto"/>
        <w:rPr>
          <w:sz w:val="20"/>
          <w:szCs w:val="20"/>
          <w:color w:val="auto"/>
        </w:rPr>
      </w:pPr>
      <w:r>
        <w:rPr>
          <w:rFonts w:ascii="Calibri" w:cs="Calibri" w:eastAsia="Calibri" w:hAnsi="Calibri"/>
          <w:sz w:val="25"/>
          <w:szCs w:val="25"/>
          <w:color w:val="auto"/>
        </w:rPr>
        <w:t>As it has been the case over several quarters now, revenue from our collectons vertcal was fat. However, we contnue to see consumer fnancial health deterioratng around the edges, especially at below prime status, where they are feeling the most pressure due to sunsetng government subsidies, depletng savings, increasing credit card balances, signifcantly higher interest rates, and a changing labor market. We remain steadfast in our expectaton that collectons</w:t>
      </w:r>
    </w:p>
    <w:p>
      <w:pPr>
        <w:spacing w:after="0" w:line="171"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5" w:name="page16"/>
    <w:bookmarkEnd w:id="15"/>
    <w:p>
      <w:pPr>
        <w:ind w:right="1100"/>
        <w:spacing w:after="0" w:line="272" w:lineRule="auto"/>
        <w:rPr>
          <w:sz w:val="20"/>
          <w:szCs w:val="20"/>
          <w:color w:val="auto"/>
        </w:rPr>
      </w:pPr>
      <w:r>
        <w:rPr>
          <w:rFonts w:ascii="Calibri" w:cs="Calibri" w:eastAsia="Calibri" w:hAnsi="Calibri"/>
          <w:sz w:val="25"/>
          <w:szCs w:val="25"/>
          <w:color w:val="auto"/>
        </w:rPr>
        <w:t>actvity will pick up in the not-too-distant future and we will start to see revenue growth from our collectons vertcal.</w:t>
      </w:r>
    </w:p>
    <w:p>
      <w:pPr>
        <w:spacing w:after="0" w:line="213" w:lineRule="exact"/>
        <w:rPr>
          <w:sz w:val="20"/>
          <w:szCs w:val="20"/>
          <w:color w:val="auto"/>
        </w:rPr>
      </w:pPr>
    </w:p>
    <w:p>
      <w:pPr>
        <w:ind w:right="120"/>
        <w:spacing w:after="0" w:line="274" w:lineRule="auto"/>
        <w:rPr>
          <w:sz w:val="20"/>
          <w:szCs w:val="20"/>
          <w:color w:val="auto"/>
        </w:rPr>
      </w:pPr>
      <w:r>
        <w:rPr>
          <w:rFonts w:ascii="Calibri" w:cs="Calibri" w:eastAsia="Calibri" w:hAnsi="Calibri"/>
          <w:sz w:val="25"/>
          <w:szCs w:val="25"/>
          <w:color w:val="auto"/>
        </w:rPr>
        <w:t>Yet despite collectons and real estate marketng being relatvely fat for the quarter, we grew total revenue 29% over the same period last year. This is a result of strong revenue growth across all other areas of the business within our fraud and identty solutons.</w:t>
      </w:r>
    </w:p>
    <w:p>
      <w:pPr>
        <w:spacing w:after="0" w:line="197" w:lineRule="exact"/>
        <w:rPr>
          <w:sz w:val="20"/>
          <w:szCs w:val="20"/>
          <w:color w:val="auto"/>
        </w:rPr>
      </w:pPr>
    </w:p>
    <w:p>
      <w:pPr>
        <w:spacing w:after="0" w:line="245" w:lineRule="auto"/>
        <w:rPr>
          <w:sz w:val="20"/>
          <w:szCs w:val="20"/>
          <w:color w:val="auto"/>
        </w:rPr>
      </w:pPr>
      <w:r>
        <w:rPr>
          <w:rFonts w:ascii="Calibri" w:cs="Calibri" w:eastAsia="Calibri" w:hAnsi="Calibri"/>
          <w:sz w:val="25"/>
          <w:szCs w:val="25"/>
          <w:color w:val="auto"/>
        </w:rPr>
        <w:t>As the current economic environment is dynamic, we have remained fexible and willing to pivot quickly as an organizaton to ensure that we are making and executng upon decisions that are in the best interests of the business long-term. As of the end of the second quarter, as we had already added 29 members to the team year-to-date, we determined that it would be prudent to downshif our onboarding and focus primarily on mission-critcal positons in strategic areas of the business. Given an evaluaton of our ongoing performance, including several larger customer wins and feedback from large prospects and pilot project partcipants, we re-accelerated our hiring plan a bit in the third quarter with an eye towards our go-to-market capabilites. To that end, we expanded our sales team with seven key new hires focused on strategic areas within fraud and identty where we are seeing solid tracton.</w:t>
      </w:r>
    </w:p>
    <w:p>
      <w:pPr>
        <w:spacing w:after="0" w:line="166" w:lineRule="exact"/>
        <w:rPr>
          <w:sz w:val="20"/>
          <w:szCs w:val="20"/>
          <w:color w:val="auto"/>
        </w:rPr>
      </w:pPr>
    </w:p>
    <w:p>
      <w:pPr>
        <w:ind w:right="180"/>
        <w:spacing w:after="0" w:line="276" w:lineRule="auto"/>
        <w:rPr>
          <w:sz w:val="20"/>
          <w:szCs w:val="20"/>
          <w:color w:val="auto"/>
        </w:rPr>
      </w:pPr>
      <w:r>
        <w:rPr>
          <w:rFonts w:ascii="Calibri" w:cs="Calibri" w:eastAsia="Calibri" w:hAnsi="Calibri"/>
          <w:sz w:val="25"/>
          <w:szCs w:val="25"/>
          <w:color w:val="auto"/>
        </w:rPr>
        <w:t>All in all, this was a terrifc quarter. Our record results once again demonstrate the operatonal leverage of our business. We contnue to generate healthy cash fow as we contnue to invest in the business for growth. From product development to infrastructure to sales and across the organizaton, we have the most talented team in the industry. Combine that with our industry leading, cloud-natve identty intelligence platorm, diferentated data assets, and innovatve solutons, and we are well positoned for the future.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alibri" w:cs="Calibri" w:eastAsia="Calibri" w:hAnsi="Calibri"/>
          <w:sz w:val="25"/>
          <w:szCs w:val="25"/>
          <w:color w:val="auto"/>
        </w:rPr>
        <w:t>With that, I will now turn it over to Dan to provide some additonal color and to discuss the fnancials.</w:t>
      </w:r>
    </w:p>
    <w:p>
      <w:pPr>
        <w:spacing w:after="0" w:line="24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Dan MacLachlan</w:t>
      </w:r>
    </w:p>
    <w:p>
      <w:pPr>
        <w:spacing w:after="0" w:line="253" w:lineRule="exact"/>
        <w:rPr>
          <w:sz w:val="20"/>
          <w:szCs w:val="20"/>
          <w:color w:val="auto"/>
        </w:rPr>
      </w:pPr>
    </w:p>
    <w:p>
      <w:pPr>
        <w:ind w:right="460"/>
        <w:spacing w:after="0" w:line="272" w:lineRule="auto"/>
        <w:rPr>
          <w:sz w:val="20"/>
          <w:szCs w:val="20"/>
          <w:color w:val="auto"/>
        </w:rPr>
      </w:pPr>
      <w:r>
        <w:rPr>
          <w:rFonts w:ascii="Calibri" w:cs="Calibri" w:eastAsia="Calibri" w:hAnsi="Calibri"/>
          <w:sz w:val="25"/>
          <w:szCs w:val="25"/>
          <w:color w:val="auto"/>
        </w:rPr>
        <w:t>Thank you, Derek, and good afernoon. It was a great quarter for the company, hitng records in nearly every key fnancial metric. Despite the challenging</w:t>
      </w:r>
    </w:p>
    <w:p>
      <w:pPr>
        <w:spacing w:after="0" w:line="17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6" w:name="page17"/>
    <w:bookmarkEnd w:id="16"/>
    <w:p>
      <w:pPr>
        <w:ind w:right="100"/>
        <w:spacing w:after="0" w:line="275" w:lineRule="auto"/>
        <w:rPr>
          <w:sz w:val="20"/>
          <w:szCs w:val="20"/>
          <w:color w:val="auto"/>
        </w:rPr>
      </w:pPr>
      <w:r>
        <w:rPr>
          <w:rFonts w:ascii="Calibri" w:cs="Calibri" w:eastAsia="Calibri" w:hAnsi="Calibri"/>
          <w:sz w:val="25"/>
          <w:szCs w:val="25"/>
          <w:color w:val="auto"/>
        </w:rPr>
        <w:t>economic environment, our team executed extremely well. We contnue to see increasing demand for our solutons, driving strong growth in the third quarter leading to records in revenue, adjusted gross proft, adjusted EBITDA, net income and EPS. This was all accomplished while contnuing to tactcally invest in expanding the capabilites, depth and efciency of our product development, sales, and go-to-market teams. Our higher-ter opportunity pipeline contnues to expand, and you are seeing the conversion of those opportunites to wins refected in our third quarter results. With that, let’s dive in.</w:t>
      </w:r>
    </w:p>
    <w:p>
      <w:pPr>
        <w:spacing w:after="0" w:line="210" w:lineRule="exact"/>
        <w:rPr>
          <w:sz w:val="20"/>
          <w:szCs w:val="20"/>
          <w:color w:val="auto"/>
        </w:rPr>
      </w:pPr>
    </w:p>
    <w:p>
      <w:pPr>
        <w:ind w:right="380"/>
        <w:spacing w:after="0" w:line="272" w:lineRule="auto"/>
        <w:rPr>
          <w:sz w:val="20"/>
          <w:szCs w:val="20"/>
          <w:color w:val="auto"/>
        </w:rPr>
      </w:pPr>
      <w:r>
        <w:rPr>
          <w:rFonts w:ascii="Calibri" w:cs="Calibri" w:eastAsia="Calibri" w:hAnsi="Calibri"/>
          <w:sz w:val="25"/>
          <w:szCs w:val="25"/>
          <w:color w:val="auto"/>
        </w:rPr>
        <w:t>For clarity, all the comparisons I will discuss today will be against the third quarter of 2021, unless noted otherwise.</w:t>
      </w:r>
    </w:p>
    <w:p>
      <w:pPr>
        <w:spacing w:after="0" w:line="213" w:lineRule="exact"/>
        <w:rPr>
          <w:sz w:val="20"/>
          <w:szCs w:val="20"/>
          <w:color w:val="auto"/>
        </w:rPr>
      </w:pPr>
    </w:p>
    <w:p>
      <w:pPr>
        <w:jc w:val="both"/>
        <w:ind w:right="180"/>
        <w:spacing w:after="0" w:line="274" w:lineRule="auto"/>
        <w:rPr>
          <w:sz w:val="20"/>
          <w:szCs w:val="20"/>
          <w:color w:val="auto"/>
        </w:rPr>
      </w:pPr>
      <w:r>
        <w:rPr>
          <w:rFonts w:ascii="Calibri" w:cs="Calibri" w:eastAsia="Calibri" w:hAnsi="Calibri"/>
          <w:sz w:val="25"/>
          <w:szCs w:val="25"/>
          <w:color w:val="auto"/>
        </w:rPr>
        <w:t>Total revenue was a record $15.0 million, a 29% increase over prior year. Platorm revenue increased 31% to $14.8 million. Services revenue decreased 29% to $0.2 million. We produced a record $12.0 million in adjusted gross proft, resultng in a record margin of 80% for the third quarter, up 4-percentage points.</w:t>
      </w:r>
    </w:p>
    <w:p>
      <w:pPr>
        <w:spacing w:after="0" w:line="8" w:lineRule="exact"/>
        <w:rPr>
          <w:sz w:val="20"/>
          <w:szCs w:val="20"/>
          <w:color w:val="auto"/>
        </w:rPr>
      </w:pPr>
    </w:p>
    <w:p>
      <w:pPr>
        <w:ind w:right="320"/>
        <w:spacing w:after="0" w:line="272" w:lineRule="auto"/>
        <w:rPr>
          <w:sz w:val="20"/>
          <w:szCs w:val="20"/>
          <w:color w:val="auto"/>
        </w:rPr>
      </w:pPr>
      <w:r>
        <w:rPr>
          <w:rFonts w:ascii="Calibri" w:cs="Calibri" w:eastAsia="Calibri" w:hAnsi="Calibri"/>
          <w:sz w:val="25"/>
          <w:szCs w:val="25"/>
          <w:color w:val="auto"/>
        </w:rPr>
        <w:t>Adjusted EBITDA for the quarter was a record $5.2 million, up 43% from prior year. Our adjusted EBITDA margin for the quarter was a record 35% compared to 31% in prior year.</w:t>
      </w:r>
    </w:p>
    <w:p>
      <w:pPr>
        <w:spacing w:after="0" w:line="213" w:lineRule="exact"/>
        <w:rPr>
          <w:sz w:val="20"/>
          <w:szCs w:val="20"/>
          <w:color w:val="auto"/>
        </w:rPr>
      </w:pPr>
    </w:p>
    <w:p>
      <w:pPr>
        <w:spacing w:after="0" w:line="275" w:lineRule="auto"/>
        <w:rPr>
          <w:sz w:val="20"/>
          <w:szCs w:val="20"/>
          <w:color w:val="auto"/>
        </w:rPr>
      </w:pPr>
      <w:r>
        <w:rPr>
          <w:rFonts w:ascii="Calibri" w:cs="Calibri" w:eastAsia="Calibri" w:hAnsi="Calibri"/>
          <w:sz w:val="25"/>
          <w:szCs w:val="25"/>
          <w:color w:val="auto"/>
        </w:rPr>
        <w:t>Contnuing through the details of our P&amp;L, as mentoned, revenue was $15.0 million for the third quarter, consistng of revenue from new customers of $2.0 million, base revenue from existng customers of $10.8 million and growth revenue from existng customers of $2.2 million. Our IDI billable customer base grew by 56 customers sequentally from the second quarter, ending the third quarter at 6,873 customers. FOREWARN added 8,790 users during the quarter, ending the third quarter at 110,051 users. Over 225 Realtor® Associatons are now contracted to use FOREWARN.</w:t>
      </w:r>
    </w:p>
    <w:p>
      <w:pPr>
        <w:spacing w:after="0" w:line="210" w:lineRule="exact"/>
        <w:rPr>
          <w:sz w:val="20"/>
          <w:szCs w:val="20"/>
          <w:color w:val="auto"/>
        </w:rPr>
      </w:pPr>
    </w:p>
    <w:p>
      <w:pPr>
        <w:ind w:right="100"/>
        <w:spacing w:after="0" w:line="274" w:lineRule="auto"/>
        <w:rPr>
          <w:sz w:val="20"/>
          <w:szCs w:val="20"/>
          <w:color w:val="auto"/>
        </w:rPr>
      </w:pPr>
      <w:r>
        <w:rPr>
          <w:rFonts w:ascii="Calibri" w:cs="Calibri" w:eastAsia="Calibri" w:hAnsi="Calibri"/>
          <w:sz w:val="25"/>
          <w:szCs w:val="25"/>
          <w:color w:val="auto"/>
        </w:rPr>
        <w:t>Our revenue atriton percentage was 6% in the third quarter compared to 5% in prior year. We expect our revenue atriton percentage to trend between 5% and 10% for the foreseeable future. Our contractual revenue was 68% for the quarter compared to 80% in prior year. This was the result of several larger transactonal opportunity wins from new and existng customers. We competed head-to-head</w:t>
      </w:r>
    </w:p>
    <w:p>
      <w:pPr>
        <w:spacing w:after="0" w:line="175"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7" w:name="page18"/>
    <w:bookmarkEnd w:id="17"/>
    <w:p>
      <w:pPr>
        <w:spacing w:after="0" w:line="274" w:lineRule="auto"/>
        <w:rPr>
          <w:sz w:val="20"/>
          <w:szCs w:val="20"/>
          <w:color w:val="auto"/>
        </w:rPr>
      </w:pPr>
      <w:r>
        <w:rPr>
          <w:rFonts w:ascii="Calibri" w:cs="Calibri" w:eastAsia="Calibri" w:hAnsi="Calibri"/>
          <w:sz w:val="25"/>
          <w:szCs w:val="25"/>
          <w:color w:val="auto"/>
        </w:rPr>
        <w:t>against our larger compettors and won the business. While these inital opportunites were transactonal in nature, as is common in our industry when you are competng to displace incumbents, we believe these larger wins will ultmately develop into contractual commitments. By way of example, one of these new transactonal wins led to a contractual commitment of $450 thousand over the next three years.</w:t>
      </w:r>
    </w:p>
    <w:p>
      <w:pPr>
        <w:spacing w:after="0" w:line="213" w:lineRule="exact"/>
        <w:rPr>
          <w:sz w:val="20"/>
          <w:szCs w:val="20"/>
          <w:color w:val="auto"/>
        </w:rPr>
      </w:pPr>
    </w:p>
    <w:p>
      <w:pPr>
        <w:ind w:right="20"/>
        <w:spacing w:after="0" w:line="275" w:lineRule="auto"/>
        <w:rPr>
          <w:sz w:val="20"/>
          <w:szCs w:val="20"/>
          <w:color w:val="auto"/>
        </w:rPr>
      </w:pPr>
      <w:r>
        <w:rPr>
          <w:rFonts w:ascii="Calibri" w:cs="Calibri" w:eastAsia="Calibri" w:hAnsi="Calibri"/>
          <w:sz w:val="25"/>
          <w:szCs w:val="25"/>
          <w:color w:val="auto"/>
        </w:rPr>
        <w:t>Moving on from our revenue metrics and down the P&amp;L, our cost of revenue (exclusive of depreciaton and amortzaton) increased $0.3 million or 10% to $3.1 million. This $0.3 million increase was a result of an increase in data acquisiton costs and third-party infrastructure fees. Adjusted gross proft increased 35% to a record $12.0 million, producing a record adjusted gross margin of 80%, a 4-percentage point increase over third quarter 2021.</w:t>
      </w:r>
    </w:p>
    <w:p>
      <w:pPr>
        <w:spacing w:after="0" w:line="209" w:lineRule="exact"/>
        <w:rPr>
          <w:sz w:val="20"/>
          <w:szCs w:val="20"/>
          <w:color w:val="auto"/>
        </w:rPr>
      </w:pPr>
    </w:p>
    <w:p>
      <w:pPr>
        <w:ind w:right="20"/>
        <w:spacing w:after="0" w:line="274" w:lineRule="auto"/>
        <w:rPr>
          <w:sz w:val="20"/>
          <w:szCs w:val="20"/>
          <w:color w:val="auto"/>
        </w:rPr>
      </w:pPr>
      <w:r>
        <w:rPr>
          <w:rFonts w:ascii="Calibri" w:cs="Calibri" w:eastAsia="Calibri" w:hAnsi="Calibri"/>
          <w:sz w:val="25"/>
          <w:szCs w:val="25"/>
          <w:color w:val="auto"/>
        </w:rPr>
        <w:t>Sales and marketng expenses increased $0.4 million or 22% to $2.6 million. The increase was due primarily to an increase in salaries and benefts and sales commissions. The $2.6 million of sales and marketng expense for the quarter consisted primarily of $1.6 million in employee salaries and benefts and $0.6 million in sales commissions.</w:t>
      </w:r>
    </w:p>
    <w:p>
      <w:pPr>
        <w:spacing w:after="0" w:line="213" w:lineRule="exact"/>
        <w:rPr>
          <w:sz w:val="20"/>
          <w:szCs w:val="20"/>
          <w:color w:val="auto"/>
        </w:rPr>
      </w:pPr>
    </w:p>
    <w:p>
      <w:pPr>
        <w:ind w:right="200"/>
        <w:spacing w:after="0" w:line="275" w:lineRule="auto"/>
        <w:rPr>
          <w:sz w:val="20"/>
          <w:szCs w:val="20"/>
          <w:color w:val="auto"/>
        </w:rPr>
      </w:pPr>
      <w:r>
        <w:rPr>
          <w:rFonts w:ascii="Calibri" w:cs="Calibri" w:eastAsia="Calibri" w:hAnsi="Calibri"/>
          <w:sz w:val="25"/>
          <w:szCs w:val="25"/>
          <w:color w:val="auto"/>
        </w:rPr>
        <w:t>General and administratve expenses increased $1.4 million or 32% to $5.5 million. This increase was primarily the result of a $0.7 million increase in employee salaries and benefts and a $0.3 million increase in non-cash share-based compensaton expense. The $5.5 million in general and administratve expenses for the quarter consisted primarily of $2.7 million of employee salaries and benefts, $1.2 million of non-cash share-based compensaton expense, and $1.0 million in accountng, IT and other professional fees.</w:t>
      </w:r>
    </w:p>
    <w:p>
      <w:pPr>
        <w:spacing w:after="0" w:line="209" w:lineRule="exact"/>
        <w:rPr>
          <w:sz w:val="20"/>
          <w:szCs w:val="20"/>
          <w:color w:val="auto"/>
        </w:rPr>
      </w:pPr>
    </w:p>
    <w:p>
      <w:pPr>
        <w:ind w:right="20"/>
        <w:spacing w:after="0" w:line="275" w:lineRule="auto"/>
        <w:rPr>
          <w:sz w:val="20"/>
          <w:szCs w:val="20"/>
          <w:color w:val="auto"/>
        </w:rPr>
      </w:pPr>
      <w:r>
        <w:rPr>
          <w:rFonts w:ascii="Calibri" w:cs="Calibri" w:eastAsia="Calibri" w:hAnsi="Calibri"/>
          <w:sz w:val="25"/>
          <w:szCs w:val="25"/>
          <w:color w:val="auto"/>
        </w:rPr>
        <w:t>We discussed last quarter that we would be deliberate and tactcal in our hiring plan for the remainder of 2022. During the third quarter, we added an additonal seven members to our sales team as we contnue to see increasing volumes and strong demand for our solutons. Year to date, we have added a total of 36 new team members across the organizaton. We have expanded our product development and infrastructure teams, focusing on condensing the tme it takes</w:t>
      </w:r>
    </w:p>
    <w:p>
      <w:pPr>
        <w:spacing w:after="0" w:line="17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8" w:name="page19"/>
    <w:bookmarkEnd w:id="18"/>
    <w:p>
      <w:pPr>
        <w:jc w:val="both"/>
        <w:ind w:right="180"/>
        <w:spacing w:after="0" w:line="274" w:lineRule="auto"/>
        <w:rPr>
          <w:sz w:val="20"/>
          <w:szCs w:val="20"/>
          <w:color w:val="auto"/>
        </w:rPr>
      </w:pPr>
      <w:r>
        <w:rPr>
          <w:rFonts w:ascii="Calibri" w:cs="Calibri" w:eastAsia="Calibri" w:hAnsi="Calibri"/>
          <w:sz w:val="25"/>
          <w:szCs w:val="25"/>
          <w:color w:val="auto"/>
        </w:rPr>
        <w:t>to deliver our product roadmap to market. We have expanded our sales and go-to-marketng capabilites, focusing on several key strategic areas in which we are seeing strong tracton, including identty, property solutons, background screening support, fnancial services and the public sector. We will contnue to lean in and invest, where appropriate, to drive strong, proftable growth.</w:t>
      </w:r>
    </w:p>
    <w:p>
      <w:pPr>
        <w:spacing w:after="0" w:line="213" w:lineRule="exact"/>
        <w:rPr>
          <w:sz w:val="20"/>
          <w:szCs w:val="20"/>
          <w:color w:val="auto"/>
        </w:rPr>
      </w:pPr>
    </w:p>
    <w:p>
      <w:pPr>
        <w:ind w:right="240"/>
        <w:spacing w:after="0" w:line="272" w:lineRule="auto"/>
        <w:rPr>
          <w:sz w:val="20"/>
          <w:szCs w:val="20"/>
          <w:color w:val="auto"/>
        </w:rPr>
      </w:pPr>
      <w:r>
        <w:rPr>
          <w:rFonts w:ascii="Calibri" w:cs="Calibri" w:eastAsia="Calibri" w:hAnsi="Calibri"/>
          <w:sz w:val="25"/>
          <w:szCs w:val="25"/>
          <w:color w:val="auto"/>
        </w:rPr>
        <w:t>Now back to the P&amp;L. Depreciaton and amortzaton increased $0.4 million or 27% to $1.7 million for the quarter. This increase was primarily the result of the amortzaton of internally developed sofware.</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color w:val="auto"/>
        </w:rPr>
        <w:t>Our net income was $2.3 million for the third quarter, an 80% increase over prior year.</w:t>
      </w:r>
    </w:p>
    <w:p>
      <w:pPr>
        <w:spacing w:after="0" w:line="253" w:lineRule="exact"/>
        <w:rPr>
          <w:sz w:val="20"/>
          <w:szCs w:val="20"/>
          <w:color w:val="auto"/>
        </w:rPr>
      </w:pPr>
    </w:p>
    <w:p>
      <w:pPr>
        <w:ind w:right="240"/>
        <w:spacing w:after="0" w:line="272" w:lineRule="auto"/>
        <w:rPr>
          <w:sz w:val="20"/>
          <w:szCs w:val="20"/>
          <w:color w:val="auto"/>
        </w:rPr>
      </w:pPr>
      <w:r>
        <w:rPr>
          <w:rFonts w:ascii="Calibri" w:cs="Calibri" w:eastAsia="Calibri" w:hAnsi="Calibri"/>
          <w:sz w:val="25"/>
          <w:szCs w:val="25"/>
          <w:color w:val="auto"/>
        </w:rPr>
        <w:t>We reported earnings of 16 cents per basic and diluted share based on a weighted average share count of 13.7 million shares basic and 13.8 million shares diluted.</w:t>
      </w:r>
    </w:p>
    <w:p>
      <w:pPr>
        <w:spacing w:after="0" w:line="213" w:lineRule="exact"/>
        <w:rPr>
          <w:sz w:val="20"/>
          <w:szCs w:val="20"/>
          <w:color w:val="auto"/>
        </w:rPr>
      </w:pPr>
    </w:p>
    <w:p>
      <w:pPr>
        <w:ind w:right="60"/>
        <w:spacing w:after="0" w:line="274" w:lineRule="auto"/>
        <w:rPr>
          <w:sz w:val="20"/>
          <w:szCs w:val="20"/>
          <w:color w:val="auto"/>
        </w:rPr>
      </w:pPr>
      <w:r>
        <w:rPr>
          <w:rFonts w:ascii="Calibri" w:cs="Calibri" w:eastAsia="Calibri" w:hAnsi="Calibri"/>
          <w:sz w:val="25"/>
          <w:szCs w:val="25"/>
          <w:color w:val="auto"/>
        </w:rPr>
        <w:t>Moving on to the balance sheet. Cash and cash equivalents were $31.3 million at September 30, 2022, compared to $34.3 million at December 31, 2021. Current assets were $38.6 million at both September 30, 2022 and December 31, 2021. Current liabilites were $3.4 million compared to $3.5 million.</w:t>
      </w:r>
    </w:p>
    <w:p>
      <w:pPr>
        <w:spacing w:after="0" w:line="210" w:lineRule="exact"/>
        <w:rPr>
          <w:sz w:val="20"/>
          <w:szCs w:val="20"/>
          <w:color w:val="auto"/>
        </w:rPr>
      </w:pPr>
    </w:p>
    <w:p>
      <w:pPr>
        <w:spacing w:after="0" w:line="274" w:lineRule="auto"/>
        <w:rPr>
          <w:sz w:val="20"/>
          <w:szCs w:val="20"/>
          <w:color w:val="auto"/>
        </w:rPr>
      </w:pPr>
      <w:r>
        <w:rPr>
          <w:rFonts w:ascii="Calibri" w:cs="Calibri" w:eastAsia="Calibri" w:hAnsi="Calibri"/>
          <w:sz w:val="25"/>
          <w:szCs w:val="25"/>
          <w:color w:val="auto"/>
        </w:rPr>
        <w:t>We generated $2.9 million in free cash fow in the third quarter, compared to generatng $2.4 million for the same period 2021. We calculate our free cash fow by using adjusted EBITDA and subtractng the cash we use for the capital expenses such as property, equipment and capitalized intangible asset costs found on our statement of cash fows.</w:t>
      </w:r>
    </w:p>
    <w:p>
      <w:pPr>
        <w:spacing w:after="0" w:line="213" w:lineRule="exact"/>
        <w:rPr>
          <w:sz w:val="20"/>
          <w:szCs w:val="20"/>
          <w:color w:val="auto"/>
        </w:rPr>
      </w:pPr>
    </w:p>
    <w:p>
      <w:pPr>
        <w:ind w:right="20"/>
        <w:spacing w:after="0" w:line="272" w:lineRule="auto"/>
        <w:rPr>
          <w:sz w:val="20"/>
          <w:szCs w:val="20"/>
          <w:color w:val="auto"/>
        </w:rPr>
      </w:pPr>
      <w:r>
        <w:rPr>
          <w:rFonts w:ascii="Calibri" w:cs="Calibri" w:eastAsia="Calibri" w:hAnsi="Calibri"/>
          <w:sz w:val="25"/>
          <w:szCs w:val="25"/>
          <w:color w:val="auto"/>
        </w:rPr>
        <w:t>We generated $8.1 million in cash from operatng actvites for the nine months ended September 30, 2022, compared to generatng $7.0 million in cash from operatng actvites for the same period in 2021.</w:t>
      </w:r>
    </w:p>
    <w:p>
      <w:pPr>
        <w:spacing w:after="0" w:line="213" w:lineRule="exact"/>
        <w:rPr>
          <w:sz w:val="20"/>
          <w:szCs w:val="20"/>
          <w:color w:val="auto"/>
        </w:rPr>
      </w:pPr>
    </w:p>
    <w:p>
      <w:pPr>
        <w:ind w:right="180"/>
        <w:spacing w:after="0" w:line="274" w:lineRule="auto"/>
        <w:rPr>
          <w:sz w:val="20"/>
          <w:szCs w:val="20"/>
          <w:color w:val="auto"/>
        </w:rPr>
      </w:pPr>
      <w:r>
        <w:rPr>
          <w:rFonts w:ascii="Calibri" w:cs="Calibri" w:eastAsia="Calibri" w:hAnsi="Calibri"/>
          <w:sz w:val="25"/>
          <w:szCs w:val="25"/>
          <w:color w:val="auto"/>
        </w:rPr>
        <w:t>Cash used in investng actvites was $6.4 million for the nine months ended September 30, 2022, mainly the result of $6.1 million used for sofware developed for internal use. Cash used in investng actvites for the same period in 2021 was $3.8 million.</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9" w:name="page20"/>
    <w:bookmarkEnd w:id="19"/>
    <w:p>
      <w:pPr>
        <w:ind w:right="380"/>
        <w:spacing w:after="0" w:line="274" w:lineRule="auto"/>
        <w:rPr>
          <w:sz w:val="20"/>
          <w:szCs w:val="20"/>
          <w:color w:val="auto"/>
        </w:rPr>
      </w:pPr>
      <w:r>
        <w:rPr>
          <w:rFonts w:ascii="Calibri" w:cs="Calibri" w:eastAsia="Calibri" w:hAnsi="Calibri"/>
          <w:sz w:val="25"/>
          <w:szCs w:val="25"/>
          <w:color w:val="auto"/>
        </w:rPr>
        <w:t>Cash used in fnancing actvites was $4.7 million for the nine months ended September 30, 2022, mainly the result from the taxes paid for the net share setlement of 200,033 shares from restricted stock units. These shares were withheld in treasury and retred prior to the end of the third quarter. Cash used in fnancing actvites during the same period in 2021 was $2.8 million.</w:t>
      </w:r>
    </w:p>
    <w:p>
      <w:pPr>
        <w:spacing w:after="0" w:line="213" w:lineRule="exact"/>
        <w:rPr>
          <w:sz w:val="20"/>
          <w:szCs w:val="20"/>
          <w:color w:val="auto"/>
        </w:rPr>
      </w:pPr>
    </w:p>
    <w:p>
      <w:pPr>
        <w:ind w:right="260"/>
        <w:spacing w:after="0" w:line="275" w:lineRule="auto"/>
        <w:rPr>
          <w:sz w:val="20"/>
          <w:szCs w:val="20"/>
          <w:color w:val="auto"/>
        </w:rPr>
      </w:pPr>
      <w:r>
        <w:rPr>
          <w:rFonts w:ascii="Calibri" w:cs="Calibri" w:eastAsia="Calibri" w:hAnsi="Calibri"/>
          <w:sz w:val="25"/>
          <w:szCs w:val="25"/>
          <w:color w:val="auto"/>
        </w:rPr>
        <w:t>During the third quarter, we purchased 13,969 shares of our common stock under our stock repurchase program at an average price of $17.73 per share. During the fourth quarter to date, we purchased an additonal 29,000 shares at an average price of $17.04 per share. Since incepton in May of this year, we have purchased a total of 50,000 shares of our common stock at an average price of $17.52 per share pursuant to our repurchase program. We will contnue to monitor prevailing market conditons and other opportunites that we have for the use or investment of our cash balances and, as applicable, strategically acquire additonal shares in accordance with our repurchase program.</w:t>
      </w:r>
    </w:p>
    <w:p>
      <w:pPr>
        <w:spacing w:after="0" w:line="212" w:lineRule="exact"/>
        <w:rPr>
          <w:sz w:val="20"/>
          <w:szCs w:val="20"/>
          <w:color w:val="auto"/>
        </w:rPr>
      </w:pPr>
    </w:p>
    <w:p>
      <w:pPr>
        <w:jc w:val="both"/>
        <w:ind w:right="180"/>
        <w:spacing w:after="0" w:line="274" w:lineRule="auto"/>
        <w:rPr>
          <w:sz w:val="20"/>
          <w:szCs w:val="20"/>
          <w:color w:val="auto"/>
        </w:rPr>
      </w:pPr>
      <w:r>
        <w:rPr>
          <w:rFonts w:ascii="Calibri" w:cs="Calibri" w:eastAsia="Calibri" w:hAnsi="Calibri"/>
          <w:sz w:val="25"/>
          <w:szCs w:val="25"/>
          <w:color w:val="auto"/>
        </w:rPr>
        <w:t>In closing, we are extremely pleased with our third quarter results. We contnue to see strong demand for our solutons. Our opportunity pipeline is expanding. We are competng for prospects at a higher-ter and winning. We look forward to closing out the year strong.</w:t>
      </w:r>
    </w:p>
    <w:p>
      <w:pPr>
        <w:spacing w:after="0" w:line="206" w:lineRule="exact"/>
        <w:rPr>
          <w:sz w:val="20"/>
          <w:szCs w:val="20"/>
          <w:color w:val="auto"/>
        </w:rPr>
      </w:pPr>
    </w:p>
    <w:p>
      <w:pPr>
        <w:spacing w:after="0"/>
        <w:rPr>
          <w:sz w:val="20"/>
          <w:szCs w:val="20"/>
          <w:color w:val="auto"/>
        </w:rPr>
      </w:pPr>
      <w:r>
        <w:rPr>
          <w:rFonts w:ascii="Calibri" w:cs="Calibri" w:eastAsia="Calibri" w:hAnsi="Calibri"/>
          <w:sz w:val="25"/>
          <w:szCs w:val="25"/>
          <w:color w:val="auto"/>
        </w:rPr>
        <w:t>With that, our operator will now open the line for Q&amp;A?</w:t>
      </w:r>
    </w:p>
    <w:p>
      <w:pPr>
        <w:spacing w:after="0" w:line="24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Operator</w:t>
      </w:r>
    </w:p>
    <w:p>
      <w:pPr>
        <w:spacing w:after="0" w:line="253" w:lineRule="exact"/>
        <w:rPr>
          <w:sz w:val="20"/>
          <w:szCs w:val="20"/>
          <w:color w:val="auto"/>
        </w:rPr>
      </w:pPr>
    </w:p>
    <w:p>
      <w:pPr>
        <w:spacing w:after="0" w:line="274" w:lineRule="auto"/>
        <w:rPr>
          <w:sz w:val="20"/>
          <w:szCs w:val="20"/>
          <w:color w:val="auto"/>
        </w:rPr>
      </w:pPr>
      <w:r>
        <w:rPr>
          <w:rFonts w:ascii="Calibri" w:cs="Calibri" w:eastAsia="Calibri" w:hAnsi="Calibri"/>
          <w:sz w:val="25"/>
          <w:szCs w:val="25"/>
          <w:color w:val="auto"/>
        </w:rPr>
        <w:t>Thank you. At this tme, we will conduct the queston and answer session. To ask a queston, you will need to press *11 on your telephone and wait for your name to be announced. Please stand by while we compile the Q&amp;A roster.</w:t>
      </w:r>
    </w:p>
    <w:p>
      <w:pPr>
        <w:spacing w:after="0" w:line="206" w:lineRule="exact"/>
        <w:rPr>
          <w:sz w:val="20"/>
          <w:szCs w:val="20"/>
          <w:color w:val="auto"/>
        </w:rPr>
      </w:pPr>
    </w:p>
    <w:p>
      <w:pPr>
        <w:spacing w:after="0"/>
        <w:rPr>
          <w:sz w:val="20"/>
          <w:szCs w:val="20"/>
          <w:color w:val="auto"/>
        </w:rPr>
      </w:pPr>
      <w:r>
        <w:rPr>
          <w:rFonts w:ascii="Calibri" w:cs="Calibri" w:eastAsia="Calibri" w:hAnsi="Calibri"/>
          <w:sz w:val="25"/>
          <w:szCs w:val="25"/>
          <w:color w:val="auto"/>
        </w:rPr>
        <w:t>There were no questons during the Q&amp;A.</w:t>
      </w:r>
    </w:p>
    <w:p>
      <w:pPr>
        <w:spacing w:after="0" w:line="248" w:lineRule="exact"/>
        <w:rPr>
          <w:sz w:val="20"/>
          <w:szCs w:val="20"/>
          <w:color w:val="auto"/>
        </w:rPr>
      </w:pPr>
    </w:p>
    <w:p>
      <w:pPr>
        <w:spacing w:after="0"/>
        <w:rPr>
          <w:sz w:val="20"/>
          <w:szCs w:val="20"/>
          <w:color w:val="auto"/>
        </w:rPr>
      </w:pPr>
      <w:r>
        <w:rPr>
          <w:rFonts w:ascii="Calibri" w:cs="Calibri" w:eastAsia="Calibri" w:hAnsi="Calibri"/>
          <w:sz w:val="25"/>
          <w:szCs w:val="25"/>
          <w:color w:val="auto"/>
        </w:rPr>
        <w:t>At this tme, I would like to turn it back to Derek Dubner for any further comments.</w:t>
      </w:r>
    </w:p>
    <w:p>
      <w:pPr>
        <w:spacing w:after="0" w:line="24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Derek Dubner</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line="275" w:lineRule="auto"/>
        <w:rPr>
          <w:sz w:val="20"/>
          <w:szCs w:val="20"/>
          <w:color w:val="auto"/>
        </w:rPr>
      </w:pPr>
      <w:r>
        <w:rPr>
          <w:rFonts w:ascii="Calibri" w:cs="Calibri" w:eastAsia="Calibri" w:hAnsi="Calibri"/>
          <w:sz w:val="25"/>
          <w:szCs w:val="25"/>
          <w:color w:val="auto"/>
        </w:rPr>
        <w:t>Thanks again to everyone who joined us today. We delivered a strong third quarter in a challenging economic environment. We are excited about our growing pipeline and deep product roadmap. We remain focused on the executon of our long-term plan, driving top-line growth and healthy cash fow, enabling us to invest in our business. We believe we are very well positoned for the remainder of the year and 2023. Goodbye.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2022-11-09T07:04:12Z</dcterms:created>
  <dcterms:modified xsi:type="dcterms:W3CDTF">2022-11-09T07:04:12Z</dcterms:modified>
</cp:coreProperties>
</file>