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40" w:right="2340"/>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ind w:left="40"/>
        <w:spacing w:after="0"/>
        <w:rPr>
          <w:sz w:val="20"/>
          <w:szCs w:val="20"/>
          <w:color w:val="auto"/>
        </w:rPr>
      </w:pPr>
      <w:r>
        <w:rPr>
          <w:rFonts w:ascii="Times New Roman" w:cs="Times New Roman" w:eastAsia="Times New Roman" w:hAnsi="Times New Roman"/>
          <w:sz w:val="32"/>
          <w:szCs w:val="32"/>
          <w:color w:val="auto"/>
        </w:rPr>
        <w:t>SCHEDULE 13D</w:t>
      </w:r>
    </w:p>
    <w:p>
      <w:pPr>
        <w:spacing w:after="0" w:line="24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295" w:lineRule="exact"/>
        <w:rPr>
          <w:sz w:val="24"/>
          <w:szCs w:val="24"/>
          <w:color w:val="auto"/>
        </w:rPr>
      </w:pPr>
    </w:p>
    <w:p>
      <w:pPr>
        <w:ind w:left="4100"/>
        <w:spacing w:after="0"/>
        <w:rPr>
          <w:sz w:val="20"/>
          <w:szCs w:val="20"/>
          <w:color w:val="auto"/>
        </w:rPr>
      </w:pPr>
      <w:r>
        <w:rPr>
          <w:rFonts w:ascii="Times New Roman" w:cs="Times New Roman" w:eastAsia="Times New Roman" w:hAnsi="Times New Roman"/>
          <w:sz w:val="22"/>
          <w:szCs w:val="22"/>
          <w:b w:val="1"/>
          <w:bCs w:val="1"/>
          <w:color w:val="0000FF"/>
        </w:rPr>
        <w:t>Red Violet,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69215</wp:posOffset>
            </wp:positionV>
            <wp:extent cx="60858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213" w:lineRule="exact"/>
        <w:rPr>
          <w:sz w:val="24"/>
          <w:szCs w:val="24"/>
          <w:color w:val="auto"/>
        </w:rPr>
      </w:pPr>
    </w:p>
    <w:p>
      <w:pPr>
        <w:ind w:left="406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Common Stock, $0.001 par value per share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69215</wp:posOffset>
            </wp:positionV>
            <wp:extent cx="60858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213" w:lineRule="exact"/>
        <w:rPr>
          <w:sz w:val="24"/>
          <w:szCs w:val="24"/>
          <w:color w:val="auto"/>
        </w:rPr>
      </w:pPr>
    </w:p>
    <w:p>
      <w:pPr>
        <w:ind w:left="356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412115</wp:posOffset>
            </wp:positionV>
            <wp:extent cx="60858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53" w:lineRule="exact"/>
        <w:rPr>
          <w:sz w:val="24"/>
          <w:szCs w:val="24"/>
          <w:color w:val="auto"/>
        </w:rPr>
      </w:pPr>
    </w:p>
    <w:p>
      <w:pPr>
        <w:ind w:left="402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Joshua B. Weingard</w:t>
      </w:r>
    </w:p>
    <w:p>
      <w:pPr>
        <w:spacing w:after="0" w:line="8" w:lineRule="exact"/>
        <w:rPr>
          <w:sz w:val="24"/>
          <w:szCs w:val="24"/>
          <w:color w:val="auto"/>
        </w:rPr>
      </w:pPr>
    </w:p>
    <w:p>
      <w:pPr>
        <w:jc w:val="center"/>
        <w:ind w:right="1660"/>
        <w:spacing w:after="0"/>
        <w:rPr>
          <w:sz w:val="20"/>
          <w:szCs w:val="20"/>
          <w:color w:val="auto"/>
        </w:rPr>
      </w:pPr>
      <w:r>
        <w:rPr>
          <w:rFonts w:ascii="Times New Roman" w:cs="Times New Roman" w:eastAsia="Times New Roman" w:hAnsi="Times New Roman"/>
          <w:sz w:val="22"/>
          <w:szCs w:val="22"/>
          <w:b w:val="1"/>
          <w:bCs w:val="1"/>
          <w:color w:val="0000FF"/>
        </w:rPr>
        <w:t>2650 North Military Trail, Suite 300,</w:t>
      </w:r>
    </w:p>
    <w:p>
      <w:pPr>
        <w:jc w:val="center"/>
        <w:ind w:right="1600"/>
        <w:spacing w:after="0" w:line="230" w:lineRule="auto"/>
        <w:rPr>
          <w:sz w:val="20"/>
          <w:szCs w:val="20"/>
          <w:color w:val="auto"/>
        </w:rPr>
      </w:pPr>
      <w:r>
        <w:rPr>
          <w:rFonts w:ascii="Times New Roman" w:cs="Times New Roman" w:eastAsia="Times New Roman" w:hAnsi="Times New Roman"/>
          <w:sz w:val="22"/>
          <w:szCs w:val="22"/>
          <w:b w:val="1"/>
          <w:bCs w:val="1"/>
          <w:color w:val="0000FF"/>
        </w:rPr>
        <w:t>Boca Raton, FL, 33431</w:t>
      </w:r>
    </w:p>
    <w:p>
      <w:pPr>
        <w:spacing w:after="0" w:line="1"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561-757-4000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51435</wp:posOffset>
            </wp:positionV>
            <wp:extent cx="60858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185"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1"/>
          <w:szCs w:val="21"/>
          <w:b w:val="1"/>
          <w:bCs w:val="1"/>
          <w:color w:val="auto"/>
        </w:rPr>
        <w:t>(Name, Address and Telephone Number of Person Authorized to Receive Notices and Communications)</w:t>
      </w:r>
    </w:p>
    <w:p>
      <w:pPr>
        <w:spacing w:after="0" w:line="56"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06/01/2026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69215</wp:posOffset>
            </wp:positionV>
            <wp:extent cx="608584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213" w:lineRule="exact"/>
        <w:rPr>
          <w:sz w:val="24"/>
          <w:szCs w:val="24"/>
          <w:color w:val="auto"/>
        </w:rPr>
      </w:pPr>
    </w:p>
    <w:p>
      <w:pPr>
        <w:ind w:left="220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21" w:lineRule="exact"/>
        <w:rPr>
          <w:sz w:val="24"/>
          <w:szCs w:val="24"/>
          <w:color w:val="auto"/>
        </w:rPr>
      </w:pPr>
    </w:p>
    <w:p>
      <w:pPr>
        <w:jc w:val="both"/>
        <w:spacing w:after="0" w:line="288" w:lineRule="auto"/>
        <w:rPr>
          <w:sz w:val="20"/>
          <w:szCs w:val="20"/>
          <w:color w:val="auto"/>
        </w:rPr>
      </w:pPr>
      <w:r>
        <w:rPr>
          <w:rFonts w:ascii="Times New Roman" w:cs="Times New Roman" w:eastAsia="Times New Roman" w:hAnsi="Times New Roman"/>
          <w:sz w:val="21"/>
          <w:szCs w:val="21"/>
          <w:color w:val="auto"/>
        </w:rPr>
        <w:t xml:space="preserve">If the filing person has previously filed a statement on Schedule 13G to report the acquisition that is the subject of this Schedule 13D, and is filing this schedule because of §§ 240.13d-1(e), 240.13d-1(f) or 240.13d-1(g), check the following box. </w:t>
      </w:r>
      <w:r>
        <w:rPr>
          <w:sz w:val="1"/>
          <w:szCs w:val="1"/>
          <w:color w:val="auto"/>
        </w:rPr>
        <w:drawing>
          <wp:inline distT="0" distB="0" distL="0" distR="0">
            <wp:extent cx="128905" cy="128905"/>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156" w:lineRule="exact"/>
        <w:rPr>
          <w:sz w:val="24"/>
          <w:szCs w:val="24"/>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The information required on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46355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132080</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40" w:lineRule="exact"/>
        <w:rPr>
          <w:sz w:val="24"/>
          <w:szCs w:val="24"/>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13D</w:t>
      </w:r>
    </w:p>
    <w:p>
      <w:pPr>
        <w:spacing w:after="0" w:line="295"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4"/>
          <w:szCs w:val="24"/>
          <w:color w:val="auto"/>
        </w:rPr>
      </w:pPr>
    </w:p>
    <w:p>
      <w:pPr>
        <w:spacing w:after="0" w:line="361" w:lineRule="exact"/>
        <w:rPr>
          <w:sz w:val="24"/>
          <w:szCs w:val="24"/>
          <w:color w:val="auto"/>
        </w:rPr>
      </w:pPr>
    </w:p>
    <w:p>
      <w:pPr>
        <w:ind w:left="1160"/>
        <w:spacing w:after="0"/>
        <w:rPr>
          <w:sz w:val="20"/>
          <w:szCs w:val="20"/>
          <w:color w:val="auto"/>
        </w:rPr>
      </w:pPr>
      <w:r>
        <w:rPr>
          <w:rFonts w:ascii="Times New Roman" w:cs="Times New Roman" w:eastAsia="Times New Roman" w:hAnsi="Times New Roman"/>
          <w:sz w:val="22"/>
          <w:szCs w:val="22"/>
          <w:color w:val="auto"/>
        </w:rPr>
        <w:t>Name of reporting person</w:t>
      </w:r>
    </w:p>
    <w:p>
      <w:pPr>
        <w:spacing w:after="0" w:line="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1</w:t>
      </w:r>
    </w:p>
    <w:p>
      <w:pPr>
        <w:ind w:left="1160"/>
        <w:spacing w:after="0"/>
        <w:rPr>
          <w:sz w:val="20"/>
          <w:szCs w:val="20"/>
          <w:color w:val="auto"/>
        </w:rPr>
      </w:pPr>
      <w:r>
        <w:rPr>
          <w:rFonts w:ascii="Times New Roman" w:cs="Times New Roman" w:eastAsia="Times New Roman" w:hAnsi="Times New Roman"/>
          <w:sz w:val="22"/>
          <w:szCs w:val="22"/>
          <w:color w:val="auto"/>
        </w:rPr>
        <w:t>Dubner Derek</w:t>
      </w:r>
    </w:p>
    <w:p>
      <w:pPr>
        <w:spacing w:after="0" w:line="20" w:lineRule="exact"/>
        <w:rPr>
          <w:sz w:val="24"/>
          <w:szCs w:val="24"/>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60" w:hanging="1112"/>
        <w:spacing w:after="0"/>
        <w:tabs>
          <w:tab w:leader="none" w:pos="116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6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27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60" w:hanging="1112"/>
        <w:spacing w:after="0"/>
        <w:tabs>
          <w:tab w:leader="none" w:pos="116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ectPr>
          <w:pgSz w:w="11900" w:h="16838" w:orient="portrait"/>
          <w:cols w:equalWidth="0" w:num="1">
            <w:col w:w="11240"/>
          </w:cols>
          <w:pgMar w:left="320" w:top="866" w:right="339" w:bottom="0" w:gutter="0" w:footer="0" w:header="0"/>
        </w:sectPr>
      </w:pPr>
    </w:p>
    <w:bookmarkStart w:id="1" w:name="page2"/>
    <w:bookmarkEnd w:id="1"/>
    <w:p>
      <w:pPr>
        <w:ind w:left="1160" w:hanging="1112"/>
        <w:spacing w:after="0"/>
        <w:tabs>
          <w:tab w:leader="none" w:pos="116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Source of funds (See Instructions)</w:t>
      </w:r>
    </w:p>
    <w:p>
      <w:pPr>
        <w:spacing w:after="0" w:line="233" w:lineRule="exact"/>
        <w:rPr>
          <w:rFonts w:ascii="Times New Roman" w:cs="Times New Roman" w:eastAsia="Times New Roman" w:hAnsi="Times New Roman"/>
          <w:sz w:val="22"/>
          <w:szCs w:val="22"/>
          <w:color w:val="auto"/>
        </w:rPr>
      </w:pPr>
    </w:p>
    <w:p>
      <w:pPr>
        <w:ind w:left="116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OO</w:t>
      </w:r>
    </w:p>
    <w:p>
      <w:pPr>
        <w:spacing w:after="0" w:line="3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if disclosure of legal proceedings is required pursuant to Items 2(d) or 2(e)</w:t>
      </w:r>
    </w:p>
    <w:tbl>
      <w:tblPr>
        <w:tblLayout w:type="fixed"/>
        <w:tblInd w:w="0" w:type="dxa"/>
        <w:tblCellMar>
          <w:top w:w="0" w:type="dxa"/>
          <w:left w:w="0" w:type="dxa"/>
          <w:bottom w:w="0" w:type="dxa"/>
          <w:right w:w="0" w:type="dxa"/>
        </w:tblCellMar>
      </w:tblPr>
      <w:tr>
        <w:trPr>
          <w:trHeight w:val="282"/>
        </w:trPr>
        <w:tc>
          <w:tcPr>
            <w:tcW w:w="114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5</w:t>
            </w:r>
          </w:p>
        </w:tc>
        <w:tc>
          <w:tcPr>
            <w:tcW w:w="10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3"/>
        </w:trPr>
        <w:tc>
          <w:tcPr>
            <w:tcW w:w="114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6</w:t>
            </w:r>
          </w:p>
        </w:tc>
        <w:tc>
          <w:tcPr>
            <w:tcW w:w="1010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Citizenship or place of organization</w:t>
            </w:r>
          </w:p>
        </w:tc>
        <w:tc>
          <w:tcPr>
            <w:tcW w:w="0" w:type="dxa"/>
            <w:vAlign w:val="bottom"/>
          </w:tcPr>
          <w:p>
            <w:pPr>
              <w:spacing w:after="0"/>
              <w:rPr>
                <w:sz w:val="1"/>
                <w:szCs w:val="1"/>
                <w:color w:val="auto"/>
              </w:rPr>
            </w:pPr>
          </w:p>
        </w:tc>
      </w:tr>
      <w:tr>
        <w:trPr>
          <w:trHeight w:val="243"/>
        </w:trPr>
        <w:tc>
          <w:tcPr>
            <w:tcW w:w="1140" w:type="dxa"/>
            <w:vAlign w:val="bottom"/>
            <w:vMerge w:val="continue"/>
          </w:tcPr>
          <w:p>
            <w:pPr>
              <w:spacing w:after="0"/>
              <w:rPr>
                <w:sz w:val="21"/>
                <w:szCs w:val="21"/>
                <w:color w:val="auto"/>
              </w:rPr>
            </w:pPr>
          </w:p>
        </w:tc>
        <w:tc>
          <w:tcPr>
            <w:tcW w:w="1010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UNITED STATES</w:t>
            </w:r>
          </w:p>
        </w:tc>
        <w:tc>
          <w:tcPr>
            <w:tcW w:w="0" w:type="dxa"/>
            <w:vAlign w:val="bottom"/>
          </w:tcPr>
          <w:p>
            <w:pPr>
              <w:spacing w:after="0"/>
              <w:rPr>
                <w:sz w:val="1"/>
                <w:szCs w:val="1"/>
                <w:color w:val="auto"/>
              </w:rPr>
            </w:pPr>
          </w:p>
        </w:tc>
      </w:tr>
      <w:tr>
        <w:trPr>
          <w:trHeight w:val="243"/>
        </w:trPr>
        <w:tc>
          <w:tcPr>
            <w:tcW w:w="1140" w:type="dxa"/>
            <w:vAlign w:val="bottom"/>
          </w:tcPr>
          <w:p>
            <w:pPr>
              <w:spacing w:after="0"/>
              <w:rPr>
                <w:sz w:val="21"/>
                <w:szCs w:val="21"/>
                <w:color w:val="auto"/>
              </w:rPr>
            </w:pPr>
          </w:p>
        </w:tc>
        <w:tc>
          <w:tcPr>
            <w:tcW w:w="101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98"/>
        </w:trPr>
        <w:tc>
          <w:tcPr>
            <w:tcW w:w="1140" w:type="dxa"/>
            <w:vAlign w:val="bottom"/>
          </w:tcPr>
          <w:p>
            <w:pPr>
              <w:spacing w:after="0"/>
              <w:rPr>
                <w:sz w:val="24"/>
                <w:szCs w:val="24"/>
                <w:color w:val="auto"/>
              </w:rPr>
            </w:pPr>
          </w:p>
        </w:tc>
        <w:tc>
          <w:tcPr>
            <w:tcW w:w="1010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Sole Voting Power</w:t>
            </w:r>
          </w:p>
        </w:tc>
        <w:tc>
          <w:tcPr>
            <w:tcW w:w="0" w:type="dxa"/>
            <w:vAlign w:val="bottom"/>
          </w:tcPr>
          <w:p>
            <w:pPr>
              <w:spacing w:after="0"/>
              <w:rPr>
                <w:sz w:val="1"/>
                <w:szCs w:val="1"/>
                <w:color w:val="auto"/>
              </w:rPr>
            </w:pPr>
          </w:p>
        </w:tc>
      </w:tr>
      <w:tr>
        <w:trPr>
          <w:trHeight w:val="243"/>
        </w:trPr>
        <w:tc>
          <w:tcPr>
            <w:tcW w:w="1140" w:type="dxa"/>
            <w:vAlign w:val="bottom"/>
          </w:tcPr>
          <w:p>
            <w:pPr>
              <w:spacing w:after="0"/>
              <w:rPr>
                <w:sz w:val="21"/>
                <w:szCs w:val="21"/>
                <w:color w:val="auto"/>
              </w:rPr>
            </w:pPr>
          </w:p>
        </w:tc>
        <w:tc>
          <w:tcPr>
            <w:tcW w:w="1010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7</w:t>
            </w:r>
          </w:p>
        </w:tc>
        <w:tc>
          <w:tcPr>
            <w:tcW w:w="0" w:type="dxa"/>
            <w:vAlign w:val="bottom"/>
          </w:tcPr>
          <w:p>
            <w:pPr>
              <w:spacing w:after="0"/>
              <w:rPr>
                <w:sz w:val="1"/>
                <w:szCs w:val="1"/>
                <w:color w:val="auto"/>
              </w:rPr>
            </w:pPr>
          </w:p>
        </w:tc>
      </w:tr>
      <w:tr>
        <w:trPr>
          <w:trHeight w:val="282"/>
        </w:trPr>
        <w:tc>
          <w:tcPr>
            <w:tcW w:w="114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Number of</w:t>
            </w:r>
          </w:p>
        </w:tc>
        <w:tc>
          <w:tcPr>
            <w:tcW w:w="1010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516,420.00</w:t>
            </w:r>
          </w:p>
        </w:tc>
        <w:tc>
          <w:tcPr>
            <w:tcW w:w="0" w:type="dxa"/>
            <w:vAlign w:val="bottom"/>
          </w:tcPr>
          <w:p>
            <w:pPr>
              <w:spacing w:after="0"/>
              <w:rPr>
                <w:sz w:val="1"/>
                <w:szCs w:val="1"/>
                <w:color w:val="auto"/>
              </w:rPr>
            </w:pPr>
          </w:p>
        </w:tc>
      </w:tr>
      <w:tr>
        <w:trPr>
          <w:trHeight w:val="42"/>
        </w:trPr>
        <w:tc>
          <w:tcPr>
            <w:tcW w:w="1140" w:type="dxa"/>
            <w:vAlign w:val="bottom"/>
            <w:vMerge w:val="continue"/>
          </w:tcPr>
          <w:p>
            <w:pPr>
              <w:spacing w:after="0"/>
              <w:rPr>
                <w:sz w:val="3"/>
                <w:szCs w:val="3"/>
                <w:color w:val="auto"/>
              </w:rPr>
            </w:pPr>
          </w:p>
        </w:tc>
        <w:tc>
          <w:tcPr>
            <w:tcW w:w="10100" w:type="dxa"/>
            <w:vAlign w:val="bottom"/>
            <w:vMerge w:val="restart"/>
          </w:tcPr>
          <w:p>
            <w:pPr>
              <w:ind w:left="340"/>
              <w:spacing w:after="0"/>
              <w:rPr>
                <w:sz w:val="20"/>
                <w:szCs w:val="20"/>
                <w:color w:val="auto"/>
              </w:rPr>
            </w:pPr>
            <w:r>
              <w:rPr>
                <w:rFonts w:ascii="Times New Roman" w:cs="Times New Roman" w:eastAsia="Times New Roman" w:hAnsi="Times New Roman"/>
                <w:sz w:val="22"/>
                <w:szCs w:val="22"/>
                <w:color w:val="auto"/>
              </w:rPr>
              <w:t>Shared Voting Power</w:t>
            </w:r>
          </w:p>
        </w:tc>
        <w:tc>
          <w:tcPr>
            <w:tcW w:w="0" w:type="dxa"/>
            <w:vAlign w:val="bottom"/>
          </w:tcPr>
          <w:p>
            <w:pPr>
              <w:spacing w:after="0"/>
              <w:rPr>
                <w:sz w:val="1"/>
                <w:szCs w:val="1"/>
                <w:color w:val="auto"/>
              </w:rPr>
            </w:pPr>
          </w:p>
        </w:tc>
      </w:tr>
      <w:tr>
        <w:trPr>
          <w:trHeight w:val="216"/>
        </w:trPr>
        <w:tc>
          <w:tcPr>
            <w:tcW w:w="1140" w:type="dxa"/>
            <w:vAlign w:val="bottom"/>
          </w:tcPr>
          <w:p>
            <w:pPr>
              <w:ind w:left="40"/>
              <w:spacing w:after="0" w:line="217" w:lineRule="exact"/>
              <w:rPr>
                <w:sz w:val="20"/>
                <w:szCs w:val="20"/>
                <w:color w:val="auto"/>
              </w:rPr>
            </w:pPr>
            <w:r>
              <w:rPr>
                <w:rFonts w:ascii="Times New Roman" w:cs="Times New Roman" w:eastAsia="Times New Roman" w:hAnsi="Times New Roman"/>
                <w:sz w:val="22"/>
                <w:szCs w:val="22"/>
                <w:color w:val="auto"/>
              </w:rPr>
              <w:t>Shares</w:t>
            </w:r>
          </w:p>
        </w:tc>
        <w:tc>
          <w:tcPr>
            <w:tcW w:w="101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114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Beneficially</w:t>
            </w:r>
          </w:p>
        </w:tc>
        <w:tc>
          <w:tcPr>
            <w:tcW w:w="1010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8</w:t>
            </w:r>
          </w:p>
        </w:tc>
        <w:tc>
          <w:tcPr>
            <w:tcW w:w="0" w:type="dxa"/>
            <w:vAlign w:val="bottom"/>
          </w:tcPr>
          <w:p>
            <w:pPr>
              <w:spacing w:after="0"/>
              <w:rPr>
                <w:sz w:val="1"/>
                <w:szCs w:val="1"/>
                <w:color w:val="auto"/>
              </w:rPr>
            </w:pPr>
          </w:p>
        </w:tc>
      </w:tr>
      <w:tr>
        <w:trPr>
          <w:trHeight w:val="270"/>
        </w:trPr>
        <w:tc>
          <w:tcPr>
            <w:tcW w:w="114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Owned by</w:t>
            </w:r>
          </w:p>
        </w:tc>
        <w:tc>
          <w:tcPr>
            <w:tcW w:w="1010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243"/>
        </w:trPr>
        <w:tc>
          <w:tcPr>
            <w:tcW w:w="114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Each</w:t>
            </w:r>
          </w:p>
        </w:tc>
        <w:tc>
          <w:tcPr>
            <w:tcW w:w="10100" w:type="dxa"/>
            <w:vAlign w:val="bottom"/>
          </w:tcPr>
          <w:p>
            <w:pPr>
              <w:ind w:left="340"/>
              <w:spacing w:after="0" w:line="243" w:lineRule="exact"/>
              <w:rPr>
                <w:sz w:val="20"/>
                <w:szCs w:val="20"/>
                <w:color w:val="auto"/>
              </w:rPr>
            </w:pPr>
            <w:r>
              <w:rPr>
                <w:rFonts w:ascii="Times New Roman" w:cs="Times New Roman" w:eastAsia="Times New Roman" w:hAnsi="Times New Roman"/>
                <w:sz w:val="22"/>
                <w:szCs w:val="22"/>
                <w:color w:val="auto"/>
              </w:rPr>
              <w:t>Sole Dispositive Power</w:t>
            </w:r>
          </w:p>
        </w:tc>
        <w:tc>
          <w:tcPr>
            <w:tcW w:w="0" w:type="dxa"/>
            <w:vAlign w:val="bottom"/>
          </w:tcPr>
          <w:p>
            <w:pPr>
              <w:spacing w:after="0"/>
              <w:rPr>
                <w:sz w:val="1"/>
                <w:szCs w:val="1"/>
                <w:color w:val="auto"/>
              </w:rPr>
            </w:pPr>
          </w:p>
        </w:tc>
      </w:tr>
      <w:tr>
        <w:trPr>
          <w:trHeight w:val="243"/>
        </w:trPr>
        <w:tc>
          <w:tcPr>
            <w:tcW w:w="114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Reporting</w:t>
            </w:r>
          </w:p>
        </w:tc>
        <w:tc>
          <w:tcPr>
            <w:tcW w:w="1010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9</w:t>
            </w:r>
          </w:p>
        </w:tc>
        <w:tc>
          <w:tcPr>
            <w:tcW w:w="0" w:type="dxa"/>
            <w:vAlign w:val="bottom"/>
          </w:tcPr>
          <w:p>
            <w:pPr>
              <w:spacing w:after="0"/>
              <w:rPr>
                <w:sz w:val="1"/>
                <w:szCs w:val="1"/>
                <w:color w:val="auto"/>
              </w:rPr>
            </w:pPr>
          </w:p>
        </w:tc>
      </w:tr>
      <w:tr>
        <w:trPr>
          <w:trHeight w:val="243"/>
        </w:trPr>
        <w:tc>
          <w:tcPr>
            <w:tcW w:w="114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Person</w:t>
            </w:r>
          </w:p>
        </w:tc>
        <w:tc>
          <w:tcPr>
            <w:tcW w:w="10100" w:type="dxa"/>
            <w:vAlign w:val="bottom"/>
          </w:tcPr>
          <w:p>
            <w:pPr>
              <w:ind w:left="340"/>
              <w:spacing w:after="0" w:line="243" w:lineRule="exact"/>
              <w:rPr>
                <w:sz w:val="20"/>
                <w:szCs w:val="20"/>
                <w:color w:val="auto"/>
              </w:rPr>
            </w:pPr>
            <w:r>
              <w:rPr>
                <w:rFonts w:ascii="Times New Roman" w:cs="Times New Roman" w:eastAsia="Times New Roman" w:hAnsi="Times New Roman"/>
                <w:sz w:val="22"/>
                <w:szCs w:val="22"/>
                <w:color w:val="auto"/>
              </w:rPr>
              <w:t>516,420.00</w:t>
            </w:r>
          </w:p>
        </w:tc>
        <w:tc>
          <w:tcPr>
            <w:tcW w:w="0" w:type="dxa"/>
            <w:vAlign w:val="bottom"/>
          </w:tcPr>
          <w:p>
            <w:pPr>
              <w:spacing w:after="0"/>
              <w:rPr>
                <w:sz w:val="1"/>
                <w:szCs w:val="1"/>
                <w:color w:val="auto"/>
              </w:rPr>
            </w:pPr>
          </w:p>
        </w:tc>
      </w:tr>
      <w:tr>
        <w:trPr>
          <w:trHeight w:val="282"/>
        </w:trPr>
        <w:tc>
          <w:tcPr>
            <w:tcW w:w="114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With:</w:t>
            </w:r>
          </w:p>
        </w:tc>
        <w:tc>
          <w:tcPr>
            <w:tcW w:w="10100" w:type="dxa"/>
            <w:vAlign w:val="bottom"/>
            <w:vMerge w:val="restart"/>
          </w:tcPr>
          <w:p>
            <w:pPr>
              <w:ind w:left="340"/>
              <w:spacing w:after="0"/>
              <w:rPr>
                <w:sz w:val="20"/>
                <w:szCs w:val="20"/>
                <w:color w:val="auto"/>
              </w:rPr>
            </w:pPr>
            <w:r>
              <w:rPr>
                <w:rFonts w:ascii="Times New Roman" w:cs="Times New Roman" w:eastAsia="Times New Roman" w:hAnsi="Times New Roman"/>
                <w:sz w:val="22"/>
                <w:szCs w:val="22"/>
                <w:color w:val="auto"/>
              </w:rPr>
              <w:t>Shared Dispositive Power</w:t>
            </w:r>
          </w:p>
        </w:tc>
        <w:tc>
          <w:tcPr>
            <w:tcW w:w="0" w:type="dxa"/>
            <w:vAlign w:val="bottom"/>
          </w:tcPr>
          <w:p>
            <w:pPr>
              <w:spacing w:after="0"/>
              <w:rPr>
                <w:sz w:val="1"/>
                <w:szCs w:val="1"/>
                <w:color w:val="auto"/>
              </w:rPr>
            </w:pPr>
          </w:p>
        </w:tc>
      </w:tr>
      <w:tr>
        <w:trPr>
          <w:trHeight w:val="41"/>
        </w:trPr>
        <w:tc>
          <w:tcPr>
            <w:tcW w:w="1140" w:type="dxa"/>
            <w:vAlign w:val="bottom"/>
          </w:tcPr>
          <w:p>
            <w:pPr>
              <w:spacing w:after="0"/>
              <w:rPr>
                <w:sz w:val="3"/>
                <w:szCs w:val="3"/>
                <w:color w:val="auto"/>
              </w:rPr>
            </w:pPr>
          </w:p>
        </w:tc>
        <w:tc>
          <w:tcPr>
            <w:tcW w:w="1010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243"/>
        </w:trPr>
        <w:tc>
          <w:tcPr>
            <w:tcW w:w="1140" w:type="dxa"/>
            <w:vAlign w:val="bottom"/>
          </w:tcPr>
          <w:p>
            <w:pPr>
              <w:spacing w:after="0"/>
              <w:rPr>
                <w:sz w:val="21"/>
                <w:szCs w:val="21"/>
                <w:color w:val="auto"/>
              </w:rPr>
            </w:pPr>
          </w:p>
        </w:tc>
        <w:tc>
          <w:tcPr>
            <w:tcW w:w="1010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10</w:t>
            </w:r>
          </w:p>
        </w:tc>
        <w:tc>
          <w:tcPr>
            <w:tcW w:w="0" w:type="dxa"/>
            <w:vAlign w:val="bottom"/>
          </w:tcPr>
          <w:p>
            <w:pPr>
              <w:spacing w:after="0"/>
              <w:rPr>
                <w:sz w:val="1"/>
                <w:szCs w:val="1"/>
                <w:color w:val="auto"/>
              </w:rPr>
            </w:pPr>
          </w:p>
        </w:tc>
      </w:tr>
      <w:tr>
        <w:trPr>
          <w:trHeight w:val="282"/>
        </w:trPr>
        <w:tc>
          <w:tcPr>
            <w:tcW w:w="1140" w:type="dxa"/>
            <w:vAlign w:val="bottom"/>
          </w:tcPr>
          <w:p>
            <w:pPr>
              <w:spacing w:after="0"/>
              <w:rPr>
                <w:sz w:val="24"/>
                <w:szCs w:val="24"/>
                <w:color w:val="auto"/>
              </w:rPr>
            </w:pPr>
          </w:p>
        </w:tc>
        <w:tc>
          <w:tcPr>
            <w:tcW w:w="1010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338"/>
        </w:trPr>
        <w:tc>
          <w:tcPr>
            <w:tcW w:w="114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11</w:t>
            </w:r>
          </w:p>
        </w:tc>
        <w:tc>
          <w:tcPr>
            <w:tcW w:w="1010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tc>
        <w:tc>
          <w:tcPr>
            <w:tcW w:w="0" w:type="dxa"/>
            <w:vAlign w:val="bottom"/>
          </w:tcPr>
          <w:p>
            <w:pPr>
              <w:spacing w:after="0"/>
              <w:rPr>
                <w:sz w:val="1"/>
                <w:szCs w:val="1"/>
                <w:color w:val="auto"/>
              </w:rPr>
            </w:pPr>
          </w:p>
        </w:tc>
      </w:tr>
      <w:tr>
        <w:trPr>
          <w:trHeight w:val="243"/>
        </w:trPr>
        <w:tc>
          <w:tcPr>
            <w:tcW w:w="1140" w:type="dxa"/>
            <w:vAlign w:val="bottom"/>
            <w:vMerge w:val="continue"/>
          </w:tcPr>
          <w:p>
            <w:pPr>
              <w:spacing w:after="0"/>
              <w:rPr>
                <w:sz w:val="21"/>
                <w:szCs w:val="21"/>
                <w:color w:val="auto"/>
              </w:rPr>
            </w:pPr>
          </w:p>
        </w:tc>
        <w:tc>
          <w:tcPr>
            <w:tcW w:w="1010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516,420.00</w:t>
            </w:r>
          </w:p>
        </w:tc>
        <w:tc>
          <w:tcPr>
            <w:tcW w:w="0" w:type="dxa"/>
            <w:vAlign w:val="bottom"/>
          </w:tcPr>
          <w:p>
            <w:pPr>
              <w:spacing w:after="0"/>
              <w:rPr>
                <w:sz w:val="1"/>
                <w:szCs w:val="1"/>
                <w:color w:val="auto"/>
              </w:rPr>
            </w:pPr>
          </w:p>
        </w:tc>
      </w:tr>
      <w:tr>
        <w:trPr>
          <w:trHeight w:val="243"/>
        </w:trPr>
        <w:tc>
          <w:tcPr>
            <w:tcW w:w="1140" w:type="dxa"/>
            <w:vAlign w:val="bottom"/>
          </w:tcPr>
          <w:p>
            <w:pPr>
              <w:spacing w:after="0"/>
              <w:rPr>
                <w:sz w:val="21"/>
                <w:szCs w:val="21"/>
                <w:color w:val="auto"/>
              </w:rPr>
            </w:pPr>
          </w:p>
        </w:tc>
        <w:tc>
          <w:tcPr>
            <w:tcW w:w="101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97"/>
        </w:trPr>
        <w:tc>
          <w:tcPr>
            <w:tcW w:w="114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12</w:t>
            </w:r>
          </w:p>
        </w:tc>
        <w:tc>
          <w:tcPr>
            <w:tcW w:w="1010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Check if the aggregate amount in Row (11) excludes certain shares (See Instructions)</w:t>
            </w:r>
          </w:p>
        </w:tc>
        <w:tc>
          <w:tcPr>
            <w:tcW w:w="0" w:type="dxa"/>
            <w:vAlign w:val="bottom"/>
          </w:tcPr>
          <w:p>
            <w:pPr>
              <w:spacing w:after="0"/>
              <w:rPr>
                <w:sz w:val="1"/>
                <w:szCs w:val="1"/>
                <w:color w:val="auto"/>
              </w:rPr>
            </w:pPr>
          </w:p>
        </w:tc>
      </w:tr>
      <w:tr>
        <w:trPr>
          <w:trHeight w:val="216"/>
        </w:trPr>
        <w:tc>
          <w:tcPr>
            <w:tcW w:w="1140" w:type="dxa"/>
            <w:vAlign w:val="bottom"/>
            <w:vMerge w:val="continue"/>
          </w:tcPr>
          <w:p>
            <w:pPr>
              <w:spacing w:after="0"/>
              <w:rPr>
                <w:sz w:val="18"/>
                <w:szCs w:val="18"/>
                <w:color w:val="auto"/>
              </w:rPr>
            </w:pPr>
          </w:p>
        </w:tc>
        <w:tc>
          <w:tcPr>
            <w:tcW w:w="10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527"/>
        </w:trPr>
        <w:tc>
          <w:tcPr>
            <w:tcW w:w="114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13</w:t>
            </w:r>
          </w:p>
        </w:tc>
        <w:tc>
          <w:tcPr>
            <w:tcW w:w="1010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Percent of class represented by amount in Row (11)</w:t>
            </w:r>
          </w:p>
        </w:tc>
        <w:tc>
          <w:tcPr>
            <w:tcW w:w="0" w:type="dxa"/>
            <w:vAlign w:val="bottom"/>
          </w:tcPr>
          <w:p>
            <w:pPr>
              <w:spacing w:after="0"/>
              <w:rPr>
                <w:sz w:val="1"/>
                <w:szCs w:val="1"/>
                <w:color w:val="auto"/>
              </w:rPr>
            </w:pPr>
          </w:p>
        </w:tc>
      </w:tr>
      <w:tr>
        <w:trPr>
          <w:trHeight w:val="243"/>
        </w:trPr>
        <w:tc>
          <w:tcPr>
            <w:tcW w:w="1140" w:type="dxa"/>
            <w:vAlign w:val="bottom"/>
            <w:vMerge w:val="continue"/>
          </w:tcPr>
          <w:p>
            <w:pPr>
              <w:spacing w:after="0"/>
              <w:rPr>
                <w:sz w:val="21"/>
                <w:szCs w:val="21"/>
                <w:color w:val="auto"/>
              </w:rPr>
            </w:pPr>
          </w:p>
        </w:tc>
        <w:tc>
          <w:tcPr>
            <w:tcW w:w="1010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3.7 %</w:t>
            </w:r>
          </w:p>
        </w:tc>
        <w:tc>
          <w:tcPr>
            <w:tcW w:w="0" w:type="dxa"/>
            <w:vAlign w:val="bottom"/>
          </w:tcPr>
          <w:p>
            <w:pPr>
              <w:spacing w:after="0"/>
              <w:rPr>
                <w:sz w:val="1"/>
                <w:szCs w:val="1"/>
                <w:color w:val="auto"/>
              </w:rPr>
            </w:pPr>
          </w:p>
        </w:tc>
      </w:tr>
      <w:tr>
        <w:trPr>
          <w:trHeight w:val="243"/>
        </w:trPr>
        <w:tc>
          <w:tcPr>
            <w:tcW w:w="1140" w:type="dxa"/>
            <w:vAlign w:val="bottom"/>
          </w:tcPr>
          <w:p>
            <w:pPr>
              <w:spacing w:after="0"/>
              <w:rPr>
                <w:sz w:val="21"/>
                <w:szCs w:val="21"/>
                <w:color w:val="auto"/>
              </w:rPr>
            </w:pPr>
          </w:p>
        </w:tc>
        <w:tc>
          <w:tcPr>
            <w:tcW w:w="101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97"/>
        </w:trPr>
        <w:tc>
          <w:tcPr>
            <w:tcW w:w="114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14</w:t>
            </w:r>
          </w:p>
        </w:tc>
        <w:tc>
          <w:tcPr>
            <w:tcW w:w="1010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Type of Reporting Person (See Instructions)</w:t>
            </w:r>
          </w:p>
        </w:tc>
        <w:tc>
          <w:tcPr>
            <w:tcW w:w="0" w:type="dxa"/>
            <w:vAlign w:val="bottom"/>
          </w:tcPr>
          <w:p>
            <w:pPr>
              <w:spacing w:after="0"/>
              <w:rPr>
                <w:sz w:val="1"/>
                <w:szCs w:val="1"/>
                <w:color w:val="auto"/>
              </w:rPr>
            </w:pPr>
          </w:p>
        </w:tc>
      </w:tr>
      <w:tr>
        <w:trPr>
          <w:trHeight w:val="243"/>
        </w:trPr>
        <w:tc>
          <w:tcPr>
            <w:tcW w:w="1140" w:type="dxa"/>
            <w:vAlign w:val="bottom"/>
            <w:vMerge w:val="continue"/>
          </w:tcPr>
          <w:p>
            <w:pPr>
              <w:spacing w:after="0"/>
              <w:rPr>
                <w:sz w:val="21"/>
                <w:szCs w:val="21"/>
                <w:color w:val="auto"/>
              </w:rPr>
            </w:pPr>
          </w:p>
        </w:tc>
        <w:tc>
          <w:tcPr>
            <w:tcW w:w="1010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IN</w:t>
            </w:r>
          </w:p>
        </w:tc>
        <w:tc>
          <w:tcPr>
            <w:tcW w:w="0" w:type="dxa"/>
            <w:vAlign w:val="bottom"/>
          </w:tcPr>
          <w:p>
            <w:pPr>
              <w:spacing w:after="0"/>
              <w:rPr>
                <w:sz w:val="1"/>
                <w:szCs w:val="1"/>
                <w:color w:val="auto"/>
              </w:rPr>
            </w:pPr>
          </w:p>
        </w:tc>
      </w:tr>
      <w:tr>
        <w:trPr>
          <w:trHeight w:val="243"/>
        </w:trPr>
        <w:tc>
          <w:tcPr>
            <w:tcW w:w="1140" w:type="dxa"/>
            <w:vAlign w:val="bottom"/>
          </w:tcPr>
          <w:p>
            <w:pPr>
              <w:spacing w:after="0"/>
              <w:rPr>
                <w:sz w:val="21"/>
                <w:szCs w:val="21"/>
                <w:color w:val="auto"/>
              </w:rPr>
            </w:pPr>
          </w:p>
        </w:tc>
        <w:tc>
          <w:tcPr>
            <w:tcW w:w="101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477"/>
        </w:trPr>
        <w:tc>
          <w:tcPr>
            <w:tcW w:w="1140" w:type="dxa"/>
            <w:vAlign w:val="bottom"/>
          </w:tcPr>
          <w:p>
            <w:pPr>
              <w:spacing w:after="0"/>
              <w:rPr>
                <w:sz w:val="20"/>
                <w:szCs w:val="20"/>
                <w:color w:val="auto"/>
              </w:rPr>
            </w:pPr>
            <w:r>
              <w:rPr>
                <w:rFonts w:ascii="Times New Roman" w:cs="Times New Roman" w:eastAsia="Times New Roman" w:hAnsi="Times New Roman"/>
                <w:sz w:val="19"/>
                <w:szCs w:val="19"/>
                <w:b w:val="1"/>
                <w:bCs w:val="1"/>
                <w:color w:val="auto"/>
              </w:rPr>
              <w:t>Comment</w:t>
            </w:r>
          </w:p>
        </w:tc>
        <w:tc>
          <w:tcPr>
            <w:tcW w:w="101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Includes 516,420 shares of common stock of Red Violet, Inc. held directly by Derek Dubner. Calculated using</w:t>
            </w:r>
          </w:p>
        </w:tc>
        <w:tc>
          <w:tcPr>
            <w:tcW w:w="0" w:type="dxa"/>
            <w:vAlign w:val="bottom"/>
          </w:tcPr>
          <w:p>
            <w:pPr>
              <w:spacing w:after="0"/>
              <w:rPr>
                <w:sz w:val="1"/>
                <w:szCs w:val="1"/>
                <w:color w:val="auto"/>
              </w:rPr>
            </w:pPr>
          </w:p>
        </w:tc>
      </w:tr>
      <w:tr>
        <w:trPr>
          <w:trHeight w:val="230"/>
        </w:trPr>
        <w:tc>
          <w:tcPr>
            <w:tcW w:w="1140" w:type="dxa"/>
            <w:vAlign w:val="bottom"/>
          </w:tcPr>
          <w:p>
            <w:pPr>
              <w:spacing w:after="0"/>
              <w:rPr>
                <w:sz w:val="20"/>
                <w:szCs w:val="20"/>
                <w:color w:val="auto"/>
              </w:rPr>
            </w:pPr>
            <w:r>
              <w:rPr>
                <w:rFonts w:ascii="Times New Roman" w:cs="Times New Roman" w:eastAsia="Times New Roman" w:hAnsi="Times New Roman"/>
                <w:sz w:val="19"/>
                <w:szCs w:val="19"/>
                <w:b w:val="1"/>
                <w:bCs w:val="1"/>
                <w:color w:val="auto"/>
              </w:rPr>
              <w:t>for Type of</w:t>
            </w:r>
          </w:p>
        </w:tc>
        <w:tc>
          <w:tcPr>
            <w:tcW w:w="10100" w:type="dxa"/>
            <w:vAlign w:val="bottom"/>
          </w:tcPr>
          <w:p>
            <w:pPr>
              <w:ind w:left="40"/>
              <w:spacing w:after="0" w:line="229" w:lineRule="exact"/>
              <w:rPr>
                <w:sz w:val="20"/>
                <w:szCs w:val="20"/>
                <w:color w:val="auto"/>
              </w:rPr>
            </w:pPr>
            <w:r>
              <w:rPr>
                <w:rFonts w:ascii="Times New Roman" w:cs="Times New Roman" w:eastAsia="Times New Roman" w:hAnsi="Times New Roman"/>
                <w:sz w:val="22"/>
                <w:szCs w:val="22"/>
                <w:color w:val="auto"/>
              </w:rPr>
              <w:t>14,108,921 shares of common stock of Red Violet, Inc. outstanding as of April 30, 2026, as reported on the</w:t>
            </w:r>
          </w:p>
        </w:tc>
        <w:tc>
          <w:tcPr>
            <w:tcW w:w="0" w:type="dxa"/>
            <w:vAlign w:val="bottom"/>
          </w:tcPr>
          <w:p>
            <w:pPr>
              <w:spacing w:after="0"/>
              <w:rPr>
                <w:sz w:val="1"/>
                <w:szCs w:val="1"/>
                <w:color w:val="auto"/>
              </w:rPr>
            </w:pPr>
          </w:p>
        </w:tc>
      </w:tr>
      <w:tr>
        <w:trPr>
          <w:trHeight w:val="240"/>
        </w:trPr>
        <w:tc>
          <w:tcPr>
            <w:tcW w:w="1140" w:type="dxa"/>
            <w:vAlign w:val="bottom"/>
          </w:tcPr>
          <w:p>
            <w:pPr>
              <w:spacing w:after="0"/>
              <w:rPr>
                <w:sz w:val="20"/>
                <w:szCs w:val="20"/>
                <w:color w:val="auto"/>
              </w:rPr>
            </w:pPr>
            <w:r>
              <w:rPr>
                <w:rFonts w:ascii="Times New Roman" w:cs="Times New Roman" w:eastAsia="Times New Roman" w:hAnsi="Times New Roman"/>
                <w:sz w:val="19"/>
                <w:szCs w:val="19"/>
                <w:b w:val="1"/>
                <w:bCs w:val="1"/>
                <w:color w:val="auto"/>
              </w:rPr>
              <w:t>Reporting</w:t>
            </w:r>
          </w:p>
        </w:tc>
        <w:tc>
          <w:tcPr>
            <w:tcW w:w="10100" w:type="dxa"/>
            <w:vAlign w:val="bottom"/>
          </w:tcPr>
          <w:p>
            <w:pPr>
              <w:ind w:left="40"/>
              <w:spacing w:after="0" w:line="240" w:lineRule="exact"/>
              <w:rPr>
                <w:sz w:val="20"/>
                <w:szCs w:val="20"/>
                <w:color w:val="auto"/>
              </w:rPr>
            </w:pPr>
            <w:r>
              <w:rPr>
                <w:rFonts w:ascii="Times New Roman" w:cs="Times New Roman" w:eastAsia="Times New Roman" w:hAnsi="Times New Roman"/>
                <w:sz w:val="22"/>
                <w:szCs w:val="22"/>
                <w:color w:val="auto"/>
              </w:rPr>
              <w:t>Quarterly Report on Form 10-Q filed by Red Violet, Inc. with the Securities and Exchange Commission (the</w:t>
            </w:r>
          </w:p>
        </w:tc>
        <w:tc>
          <w:tcPr>
            <w:tcW w:w="0" w:type="dxa"/>
            <w:vAlign w:val="bottom"/>
          </w:tcPr>
          <w:p>
            <w:pPr>
              <w:spacing w:after="0"/>
              <w:rPr>
                <w:sz w:val="1"/>
                <w:szCs w:val="1"/>
                <w:color w:val="auto"/>
              </w:rPr>
            </w:pPr>
          </w:p>
        </w:tc>
      </w:tr>
      <w:tr>
        <w:trPr>
          <w:trHeight w:val="309"/>
        </w:trPr>
        <w:tc>
          <w:tcPr>
            <w:tcW w:w="1140" w:type="dxa"/>
            <w:vAlign w:val="bottom"/>
          </w:tcPr>
          <w:p>
            <w:pPr>
              <w:spacing w:after="0"/>
              <w:rPr>
                <w:sz w:val="20"/>
                <w:szCs w:val="20"/>
                <w:color w:val="auto"/>
              </w:rPr>
            </w:pPr>
            <w:r>
              <w:rPr>
                <w:rFonts w:ascii="Times New Roman" w:cs="Times New Roman" w:eastAsia="Times New Roman" w:hAnsi="Times New Roman"/>
                <w:sz w:val="19"/>
                <w:szCs w:val="19"/>
                <w:b w:val="1"/>
                <w:bCs w:val="1"/>
                <w:color w:val="auto"/>
              </w:rPr>
              <w:t>Person:</w:t>
            </w:r>
          </w:p>
        </w:tc>
        <w:tc>
          <w:tcPr>
            <w:tcW w:w="101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"SEC") on May 6, 2026.</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742315</wp:posOffset>
            </wp:positionH>
            <wp:positionV relativeFrom="paragraph">
              <wp:posOffset>-5433060</wp:posOffset>
            </wp:positionV>
            <wp:extent cx="128905" cy="12890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742315</wp:posOffset>
            </wp:positionH>
            <wp:positionV relativeFrom="paragraph">
              <wp:posOffset>-1927225</wp:posOffset>
            </wp:positionV>
            <wp:extent cx="128905" cy="12827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13D</w:t>
      </w:r>
    </w:p>
    <w:p>
      <w:pPr>
        <w:spacing w:after="0" w:line="29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Name of reporting person</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w:t>
      </w:r>
    </w:p>
    <w:p>
      <w:pPr>
        <w:ind w:left="1160"/>
        <w:spacing w:after="0"/>
        <w:rPr>
          <w:sz w:val="20"/>
          <w:szCs w:val="20"/>
          <w:color w:val="auto"/>
        </w:rPr>
      </w:pPr>
      <w:r>
        <w:rPr>
          <w:rFonts w:ascii="Times New Roman" w:cs="Times New Roman" w:eastAsia="Times New Roman" w:hAnsi="Times New Roman"/>
          <w:sz w:val="22"/>
          <w:szCs w:val="22"/>
          <w:color w:val="auto"/>
        </w:rPr>
        <w:t>MacLachlan Daniel</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0"/>
          <w:szCs w:val="20"/>
          <w:color w:val="auto"/>
        </w:rPr>
      </w:pPr>
    </w:p>
    <w:p>
      <w:pPr>
        <w:ind w:left="1160" w:hanging="1112"/>
        <w:spacing w:after="0"/>
        <w:tabs>
          <w:tab w:leader="none" w:pos="1160" w:val="left"/>
        </w:tabs>
        <w:numPr>
          <w:ilvl w:val="0"/>
          <w:numId w:val="4"/>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6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ind w:left="1160" w:hanging="1112"/>
        <w:spacing w:after="0"/>
        <w:tabs>
          <w:tab w:leader="none" w:pos="116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Source of funds (See Instructions)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4</w:t>
      </w:r>
    </w:p>
    <w:p>
      <w:pPr>
        <w:ind w:left="1160"/>
        <w:spacing w:after="0"/>
        <w:rPr>
          <w:sz w:val="20"/>
          <w:szCs w:val="20"/>
          <w:color w:val="auto"/>
        </w:rPr>
      </w:pPr>
      <w:r>
        <w:rPr>
          <w:rFonts w:ascii="Times New Roman" w:cs="Times New Roman" w:eastAsia="Times New Roman" w:hAnsi="Times New Roman"/>
          <w:sz w:val="22"/>
          <w:szCs w:val="22"/>
          <w:color w:val="auto"/>
        </w:rPr>
        <w:t>OO</w:t>
      </w:r>
    </w:p>
    <w:p>
      <w:pPr>
        <w:spacing w:after="0" w:line="7"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if disclosure of legal proceedings is required pursuant to Items 2(d) or 2(e)</w:t>
      </w:r>
    </w:p>
    <w:p>
      <w:pPr>
        <w:ind w:left="40"/>
        <w:spacing w:after="0"/>
        <w:rPr>
          <w:sz w:val="20"/>
          <w:szCs w:val="20"/>
          <w:color w:val="auto"/>
        </w:rPr>
      </w:pPr>
      <w:r>
        <w:rPr>
          <w:rFonts w:ascii="Times New Roman" w:cs="Times New Roman" w:eastAsia="Times New Roman" w:hAnsi="Times New Roman"/>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742315</wp:posOffset>
            </wp:positionH>
            <wp:positionV relativeFrom="paragraph">
              <wp:posOffset>12700</wp:posOffset>
            </wp:positionV>
            <wp:extent cx="128905" cy="12827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pacing w:after="0" w:line="23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1160"/>
        <w:spacing w:after="0"/>
        <w:rPr>
          <w:sz w:val="20"/>
          <w:szCs w:val="20"/>
          <w:color w:val="auto"/>
        </w:rPr>
      </w:pPr>
      <w:r>
        <w:rPr>
          <w:rFonts w:ascii="Times New Roman" w:cs="Times New Roman" w:eastAsia="Times New Roman" w:hAnsi="Times New Roman"/>
          <w:sz w:val="22"/>
          <w:szCs w:val="22"/>
          <w:color w:val="auto"/>
        </w:rPr>
        <w:t>UNITED STATES</w:t>
      </w:r>
    </w:p>
    <w:p>
      <w:pPr>
        <w:sectPr>
          <w:pgSz w:w="11900" w:h="16838" w:orient="portrait"/>
          <w:cols w:equalWidth="0" w:num="1">
            <w:col w:w="11240"/>
          </w:cols>
          <w:pgMar w:left="320" w:top="111" w:right="339" w:bottom="0" w:gutter="0" w:footer="0" w:header="0"/>
        </w:sectPr>
      </w:pPr>
    </w:p>
    <w:bookmarkStart w:id="2" w:name="page3"/>
    <w:bookmarkEnd w:id="2"/>
    <w:p>
      <w:pPr>
        <w:ind w:left="40"/>
        <w:spacing w:after="0"/>
        <w:rPr>
          <w:sz w:val="20"/>
          <w:szCs w:val="20"/>
          <w:color w:val="auto"/>
        </w:rPr>
      </w:pPr>
      <w:r>
        <w:rPr>
          <w:rFonts w:ascii="Times New Roman" w:cs="Times New Roman" w:eastAsia="Times New Roman" w:hAnsi="Times New Roman"/>
          <w:sz w:val="22"/>
          <w:szCs w:val="22"/>
          <w:color w:val="auto"/>
        </w:rPr>
        <w:t>Number of</w:t>
      </w:r>
    </w:p>
    <w:p>
      <w:pPr>
        <w:spacing w:after="0" w:line="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Shares</w:t>
      </w:r>
    </w:p>
    <w:p>
      <w:pPr>
        <w:ind w:left="40"/>
        <w:spacing w:after="0"/>
        <w:rPr>
          <w:sz w:val="20"/>
          <w:szCs w:val="20"/>
          <w:color w:val="auto"/>
        </w:rPr>
      </w:pPr>
      <w:r>
        <w:rPr>
          <w:rFonts w:ascii="Times New Roman" w:cs="Times New Roman" w:eastAsia="Times New Roman" w:hAnsi="Times New Roman"/>
          <w:sz w:val="21"/>
          <w:szCs w:val="21"/>
          <w:color w:val="auto"/>
        </w:rPr>
        <w:t>Beneficially</w:t>
      </w:r>
    </w:p>
    <w:p>
      <w:pPr>
        <w:ind w:left="40"/>
        <w:spacing w:after="0" w:line="231" w:lineRule="auto"/>
        <w:rPr>
          <w:sz w:val="20"/>
          <w:szCs w:val="20"/>
          <w:color w:val="auto"/>
        </w:rPr>
      </w:pPr>
      <w:r>
        <w:rPr>
          <w:rFonts w:ascii="Times New Roman" w:cs="Times New Roman" w:eastAsia="Times New Roman" w:hAnsi="Times New Roman"/>
          <w:sz w:val="22"/>
          <w:szCs w:val="22"/>
          <w:color w:val="auto"/>
        </w:rPr>
        <w:t>Owned by</w:t>
      </w:r>
    </w:p>
    <w:p>
      <w:pPr>
        <w:ind w:left="40"/>
        <w:spacing w:after="0" w:line="231" w:lineRule="auto"/>
        <w:rPr>
          <w:sz w:val="20"/>
          <w:szCs w:val="20"/>
          <w:color w:val="auto"/>
        </w:rPr>
      </w:pPr>
      <w:r>
        <w:rPr>
          <w:rFonts w:ascii="Times New Roman" w:cs="Times New Roman" w:eastAsia="Times New Roman" w:hAnsi="Times New Roman"/>
          <w:sz w:val="22"/>
          <w:szCs w:val="22"/>
          <w:color w:val="auto"/>
        </w:rPr>
        <w:t>Each</w:t>
      </w:r>
    </w:p>
    <w:p>
      <w:pPr>
        <w:ind w:left="40"/>
        <w:spacing w:after="0" w:line="231" w:lineRule="auto"/>
        <w:rPr>
          <w:sz w:val="20"/>
          <w:szCs w:val="20"/>
          <w:color w:val="auto"/>
        </w:rPr>
      </w:pPr>
      <w:r>
        <w:rPr>
          <w:rFonts w:ascii="Times New Roman" w:cs="Times New Roman" w:eastAsia="Times New Roman" w:hAnsi="Times New Roman"/>
          <w:sz w:val="22"/>
          <w:szCs w:val="22"/>
          <w:color w:val="auto"/>
        </w:rPr>
        <w:t>Reporting</w:t>
      </w:r>
    </w:p>
    <w:p>
      <w:pPr>
        <w:ind w:left="40"/>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0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12</w:t>
      </w:r>
    </w:p>
    <w:p>
      <w:pPr>
        <w:spacing w:after="0" w:line="200" w:lineRule="exact"/>
        <w:rPr>
          <w:sz w:val="20"/>
          <w:szCs w:val="20"/>
          <w:color w:val="auto"/>
        </w:rPr>
      </w:pPr>
    </w:p>
    <w:p>
      <w:pPr>
        <w:spacing w:after="0" w:line="31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13</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14</w:t>
      </w:r>
    </w:p>
    <w:p>
      <w:pPr>
        <w:spacing w:after="0" w:line="200" w:lineRule="exact"/>
        <w:rPr>
          <w:sz w:val="20"/>
          <w:szCs w:val="20"/>
          <w:color w:val="auto"/>
        </w:rPr>
      </w:pPr>
    </w:p>
    <w:p>
      <w:pPr>
        <w:spacing w:after="0" w:line="320" w:lineRule="exact"/>
        <w:rPr>
          <w:sz w:val="20"/>
          <w:szCs w:val="20"/>
          <w:color w:val="auto"/>
        </w:rPr>
      </w:pPr>
    </w:p>
    <w:p>
      <w:pPr>
        <w:jc w:val="both"/>
        <w:ind w:right="180"/>
        <w:spacing w:after="0" w:line="266" w:lineRule="auto"/>
        <w:rPr>
          <w:sz w:val="20"/>
          <w:szCs w:val="20"/>
          <w:color w:val="auto"/>
        </w:rPr>
      </w:pPr>
      <w:r>
        <w:rPr>
          <w:rFonts w:ascii="Times New Roman" w:cs="Times New Roman" w:eastAsia="Times New Roman" w:hAnsi="Times New Roman"/>
          <w:sz w:val="19"/>
          <w:szCs w:val="19"/>
          <w:b w:val="1"/>
          <w:bCs w:val="1"/>
          <w:color w:val="auto"/>
        </w:rPr>
        <w:t>Comment for Type of Reporting Person:</w:t>
      </w:r>
    </w:p>
    <w:p>
      <w:pPr>
        <w:spacing w:after="0" w:line="20" w:lineRule="exact"/>
        <w:rPr>
          <w:sz w:val="20"/>
          <w:szCs w:val="20"/>
          <w:color w:val="auto"/>
        </w:rPr>
      </w:pPr>
      <w:r>
        <w:rPr>
          <w:sz w:val="20"/>
          <w:szCs w:val="20"/>
          <w:color w:val="auto"/>
        </w:rPr>
        <w:br w:type="column"/>
      </w:r>
    </w:p>
    <w:p>
      <w:pPr>
        <w:ind w:left="380" w:right="8140" w:hanging="271"/>
        <w:spacing w:after="0" w:line="371" w:lineRule="auto"/>
        <w:tabs>
          <w:tab w:leader="none" w:pos="38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Voting Power 318,049.00</w:t>
      </w:r>
    </w:p>
    <w:p>
      <w:pPr>
        <w:spacing w:after="0" w:line="1"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22"/>
          <w:szCs w:val="22"/>
          <w:color w:val="auto"/>
        </w:rPr>
        <w:t>8</w:t>
      </w:r>
    </w:p>
    <w:p>
      <w:pPr>
        <w:ind w:left="3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22"/>
          <w:szCs w:val="22"/>
          <w:color w:val="auto"/>
        </w:rPr>
        <w:t>9</w:t>
      </w:r>
    </w:p>
    <w:p>
      <w:pPr>
        <w:ind w:left="380"/>
        <w:spacing w:after="0"/>
        <w:rPr>
          <w:sz w:val="20"/>
          <w:szCs w:val="20"/>
          <w:color w:val="auto"/>
        </w:rPr>
      </w:pPr>
      <w:r>
        <w:rPr>
          <w:rFonts w:ascii="Times New Roman" w:cs="Times New Roman" w:eastAsia="Times New Roman" w:hAnsi="Times New Roman"/>
          <w:sz w:val="22"/>
          <w:szCs w:val="22"/>
          <w:color w:val="auto"/>
        </w:rPr>
        <w:t>318,049.00</w:t>
      </w:r>
    </w:p>
    <w:p>
      <w:pPr>
        <w:spacing w:after="0" w:line="20"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Shared Dispositive Power</w:t>
      </w:r>
    </w:p>
    <w:p>
      <w:pPr>
        <w:spacing w:after="0" w:line="4"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22"/>
          <w:szCs w:val="22"/>
          <w:color w:val="auto"/>
        </w:rPr>
        <w:t>10</w:t>
      </w:r>
    </w:p>
    <w:p>
      <w:pPr>
        <w:ind w:left="380"/>
        <w:spacing w:after="0"/>
        <w:rPr>
          <w:sz w:val="20"/>
          <w:szCs w:val="20"/>
          <w:color w:val="auto"/>
        </w:rPr>
      </w:pPr>
      <w:r>
        <w:rPr>
          <w:rFonts w:ascii="Times New Roman" w:cs="Times New Roman" w:eastAsia="Times New Roman" w:hAnsi="Times New Roman"/>
          <w:sz w:val="22"/>
          <w:szCs w:val="22"/>
          <w:color w:val="auto"/>
        </w:rPr>
        <w:t>0.00</w:t>
      </w:r>
    </w:p>
    <w:p>
      <w:pPr>
        <w:spacing w:after="0" w:line="6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2"/>
          <w:szCs w:val="22"/>
          <w:color w:val="auto"/>
        </w:rPr>
        <w:t>318,049.00</w:t>
      </w:r>
    </w:p>
    <w:p>
      <w:pPr>
        <w:spacing w:after="0" w:line="4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2"/>
          <w:szCs w:val="22"/>
          <w:color w:val="auto"/>
        </w:rPr>
        <w:t>Check if the aggregate amount in Row (11)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43815</wp:posOffset>
            </wp:positionH>
            <wp:positionV relativeFrom="paragraph">
              <wp:posOffset>165100</wp:posOffset>
            </wp:positionV>
            <wp:extent cx="128905" cy="12890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7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2"/>
          <w:szCs w:val="22"/>
          <w:color w:val="auto"/>
        </w:rPr>
        <w:t>Percent of class represented by amount in Row (11)</w:t>
      </w:r>
    </w:p>
    <w:p>
      <w:pPr>
        <w:spacing w:after="0" w:line="23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2"/>
          <w:szCs w:val="22"/>
          <w:color w:val="auto"/>
        </w:rPr>
        <w:t>2.3 %</w:t>
      </w:r>
    </w:p>
    <w:p>
      <w:pPr>
        <w:spacing w:after="0" w:line="4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2"/>
          <w:szCs w:val="22"/>
          <w:color w:val="auto"/>
        </w:rPr>
        <w:t>IN</w:t>
      </w:r>
    </w:p>
    <w:p>
      <w:pPr>
        <w:spacing w:after="0" w:line="274"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22"/>
          <w:szCs w:val="22"/>
          <w:color w:val="auto"/>
        </w:rPr>
        <w:t>Includes 317,583 shares of common stock of Red Violet, Inc. held directly by Daniel MacLachlan and 466 shares of common stock of Red Violet, Inc. held by an IRA. Calculated using 14,108,921 shares of common stock of Red Violet, Inc. outstanding as of April 30, 2026, as reported on the Quarterly Report on Form 10-Q filed by Red Violet, Inc. with the SEC on May 6, 2026.</w:t>
      </w:r>
    </w:p>
    <w:p>
      <w:pPr>
        <w:spacing w:after="0" w:line="200" w:lineRule="exact"/>
        <w:rPr>
          <w:sz w:val="20"/>
          <w:szCs w:val="20"/>
          <w:color w:val="auto"/>
        </w:rPr>
      </w:pPr>
    </w:p>
    <w:p>
      <w:pPr>
        <w:sectPr>
          <w:pgSz w:w="11900" w:h="16838" w:orient="portrait"/>
          <w:cols w:equalWidth="0" w:num="2">
            <w:col w:w="1100" w:space="0"/>
            <w:col w:w="10140"/>
          </w:cols>
          <w:pgMar w:left="320" w:top="111" w:right="339" w:bottom="0" w:gutter="0" w:footer="0" w:header="0"/>
        </w:sectPr>
      </w:pPr>
    </w:p>
    <w:p>
      <w:pPr>
        <w:spacing w:after="0" w:line="200" w:lineRule="exact"/>
        <w:rPr>
          <w:sz w:val="20"/>
          <w:szCs w:val="20"/>
          <w:color w:val="auto"/>
        </w:rPr>
      </w:pPr>
    </w:p>
    <w:p>
      <w:pPr>
        <w:spacing w:after="0" w:line="30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13D</w:t>
      </w:r>
    </w:p>
    <w:p>
      <w:pPr>
        <w:spacing w:after="0" w:line="29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Name of reporting person</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w:t>
      </w:r>
    </w:p>
    <w:p>
      <w:pPr>
        <w:ind w:left="1160"/>
        <w:spacing w:after="0"/>
        <w:rPr>
          <w:sz w:val="20"/>
          <w:szCs w:val="20"/>
          <w:color w:val="auto"/>
        </w:rPr>
      </w:pPr>
      <w:r>
        <w:rPr>
          <w:rFonts w:ascii="Times New Roman" w:cs="Times New Roman" w:eastAsia="Times New Roman" w:hAnsi="Times New Roman"/>
          <w:sz w:val="22"/>
          <w:szCs w:val="22"/>
          <w:color w:val="auto"/>
        </w:rPr>
        <w:t>Reilly James Patrick</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0"/>
          <w:szCs w:val="20"/>
          <w:color w:val="auto"/>
        </w:rPr>
      </w:pPr>
    </w:p>
    <w:p>
      <w:pPr>
        <w:ind w:left="1160" w:hanging="1112"/>
        <w:spacing w:after="0"/>
        <w:tabs>
          <w:tab w:leader="none" w:pos="1160" w:val="left"/>
        </w:tabs>
        <w:numPr>
          <w:ilvl w:val="0"/>
          <w:numId w:val="7"/>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270"/>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6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ind w:left="1160" w:hanging="1112"/>
        <w:spacing w:after="0"/>
        <w:tabs>
          <w:tab w:leader="none" w:pos="1160"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Source of funds (See Instructions)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4</w:t>
      </w:r>
    </w:p>
    <w:p>
      <w:pPr>
        <w:ind w:left="1160"/>
        <w:spacing w:after="0"/>
        <w:rPr>
          <w:sz w:val="20"/>
          <w:szCs w:val="20"/>
          <w:color w:val="auto"/>
        </w:rPr>
      </w:pPr>
      <w:r>
        <w:rPr>
          <w:rFonts w:ascii="Times New Roman" w:cs="Times New Roman" w:eastAsia="Times New Roman" w:hAnsi="Times New Roman"/>
          <w:sz w:val="22"/>
          <w:szCs w:val="22"/>
          <w:color w:val="auto"/>
        </w:rPr>
        <w:t>OO</w:t>
      </w:r>
    </w:p>
    <w:p>
      <w:pPr>
        <w:spacing w:after="0" w:line="19"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1"/>
          <w:szCs w:val="21"/>
          <w:color w:val="auto"/>
        </w:rPr>
        <w:t>Check if disclosure of legal proceedings is required pursuant to Items 2(d) or 2(e)</w:t>
      </w:r>
    </w:p>
    <w:p>
      <w:pPr>
        <w:ind w:left="40"/>
        <w:spacing w:after="0"/>
        <w:rPr>
          <w:sz w:val="20"/>
          <w:szCs w:val="20"/>
          <w:color w:val="auto"/>
        </w:rPr>
      </w:pPr>
      <w:r>
        <w:rPr>
          <w:rFonts w:ascii="Times New Roman" w:cs="Times New Roman" w:eastAsia="Times New Roman" w:hAnsi="Times New Roman"/>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742315</wp:posOffset>
            </wp:positionH>
            <wp:positionV relativeFrom="paragraph">
              <wp:posOffset>12700</wp:posOffset>
            </wp:positionV>
            <wp:extent cx="128905" cy="12890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3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1160"/>
        <w:spacing w:after="0"/>
        <w:rPr>
          <w:sz w:val="20"/>
          <w:szCs w:val="20"/>
          <w:color w:val="auto"/>
        </w:rPr>
      </w:pPr>
      <w:r>
        <w:rPr>
          <w:rFonts w:ascii="Times New Roman" w:cs="Times New Roman" w:eastAsia="Times New Roman" w:hAnsi="Times New Roman"/>
          <w:sz w:val="22"/>
          <w:szCs w:val="22"/>
          <w:color w:val="auto"/>
        </w:rPr>
        <w:t>UNITED STATES</w:t>
      </w:r>
    </w:p>
    <w:p>
      <w:pPr>
        <w:spacing w:after="0" w:line="20" w:lineRule="exact"/>
        <w:rPr>
          <w:sz w:val="20"/>
          <w:szCs w:val="20"/>
          <w:color w:val="auto"/>
        </w:rPr>
      </w:pPr>
    </w:p>
    <w:tbl>
      <w:tblPr>
        <w:tblLayout w:type="fixed"/>
        <w:tblInd w:w="40" w:type="dxa"/>
        <w:tblCellMar>
          <w:top w:w="0" w:type="dxa"/>
          <w:left w:w="0" w:type="dxa"/>
          <w:bottom w:w="0" w:type="dxa"/>
          <w:right w:w="0" w:type="dxa"/>
        </w:tblCellMar>
      </w:tblPr>
      <w:tr>
        <w:trPr>
          <w:trHeight w:val="257"/>
        </w:trPr>
        <w:tc>
          <w:tcPr>
            <w:tcW w:w="1120" w:type="dxa"/>
            <w:vAlign w:val="bottom"/>
          </w:tcPr>
          <w:p>
            <w:pPr>
              <w:spacing w:after="0"/>
              <w:rPr>
                <w:sz w:val="20"/>
                <w:szCs w:val="20"/>
                <w:color w:val="auto"/>
              </w:rPr>
            </w:pPr>
            <w:r>
              <w:rPr>
                <w:rFonts w:ascii="Times New Roman" w:cs="Times New Roman" w:eastAsia="Times New Roman" w:hAnsi="Times New Roman"/>
                <w:sz w:val="22"/>
                <w:szCs w:val="22"/>
                <w:color w:val="auto"/>
              </w:rPr>
              <w:t>Number of</w:t>
            </w:r>
          </w:p>
        </w:tc>
        <w:tc>
          <w:tcPr>
            <w:tcW w:w="1940" w:type="dxa"/>
            <w:vAlign w:val="bottom"/>
          </w:tcPr>
          <w:p>
            <w:pPr>
              <w:ind w:left="320"/>
              <w:spacing w:after="0"/>
              <w:rPr>
                <w:sz w:val="20"/>
                <w:szCs w:val="20"/>
                <w:color w:val="auto"/>
              </w:rPr>
            </w:pPr>
            <w:r>
              <w:rPr>
                <w:rFonts w:ascii="Times New Roman" w:cs="Times New Roman" w:eastAsia="Times New Roman" w:hAnsi="Times New Roman"/>
                <w:sz w:val="22"/>
                <w:szCs w:val="22"/>
                <w:color w:val="auto"/>
                <w:w w:val="95"/>
              </w:rPr>
              <w:t>Sole Voting Power</w:t>
            </w:r>
          </w:p>
        </w:tc>
      </w:tr>
      <w:tr>
        <w:trPr>
          <w:trHeight w:val="243"/>
        </w:trPr>
        <w:tc>
          <w:tcPr>
            <w:tcW w:w="11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Shares</w:t>
            </w:r>
          </w:p>
        </w:tc>
        <w:tc>
          <w:tcPr>
            <w:tcW w:w="1940" w:type="dxa"/>
            <w:vAlign w:val="bottom"/>
          </w:tcPr>
          <w:p>
            <w:pPr>
              <w:jc w:val="right"/>
              <w:ind w:right="1672"/>
              <w:spacing w:after="0" w:line="243" w:lineRule="exact"/>
              <w:rPr>
                <w:sz w:val="20"/>
                <w:szCs w:val="20"/>
                <w:color w:val="auto"/>
              </w:rPr>
            </w:pPr>
            <w:r>
              <w:rPr>
                <w:rFonts w:ascii="Times New Roman" w:cs="Times New Roman" w:eastAsia="Times New Roman" w:hAnsi="Times New Roman"/>
                <w:sz w:val="22"/>
                <w:szCs w:val="22"/>
                <w:color w:val="auto"/>
              </w:rPr>
              <w:t>7</w:t>
            </w:r>
          </w:p>
        </w:tc>
      </w:tr>
      <w:tr>
        <w:trPr>
          <w:trHeight w:val="253"/>
        </w:trPr>
        <w:tc>
          <w:tcPr>
            <w:tcW w:w="1120" w:type="dxa"/>
            <w:vAlign w:val="bottom"/>
          </w:tcPr>
          <w:p>
            <w:pPr>
              <w:spacing w:after="0"/>
              <w:rPr>
                <w:sz w:val="20"/>
                <w:szCs w:val="20"/>
                <w:color w:val="auto"/>
              </w:rPr>
            </w:pPr>
            <w:r>
              <w:rPr>
                <w:rFonts w:ascii="Times New Roman" w:cs="Times New Roman" w:eastAsia="Times New Roman" w:hAnsi="Times New Roman"/>
                <w:sz w:val="22"/>
                <w:szCs w:val="22"/>
                <w:color w:val="auto"/>
              </w:rPr>
              <w:t>Beneficially</w:t>
            </w:r>
          </w:p>
        </w:tc>
        <w:tc>
          <w:tcPr>
            <w:tcW w:w="1940" w:type="dxa"/>
            <w:vAlign w:val="bottom"/>
          </w:tcPr>
          <w:p>
            <w:pPr>
              <w:ind w:left="320"/>
              <w:spacing w:after="0"/>
              <w:rPr>
                <w:sz w:val="20"/>
                <w:szCs w:val="20"/>
                <w:color w:val="auto"/>
              </w:rPr>
            </w:pPr>
            <w:r>
              <w:rPr>
                <w:rFonts w:ascii="Times New Roman" w:cs="Times New Roman" w:eastAsia="Times New Roman" w:hAnsi="Times New Roman"/>
                <w:sz w:val="22"/>
                <w:szCs w:val="22"/>
                <w:color w:val="auto"/>
              </w:rPr>
              <w:t>191,498.00</w:t>
            </w:r>
          </w:p>
        </w:tc>
      </w:tr>
    </w:tbl>
    <w:p>
      <w:pPr>
        <w:spacing w:after="0" w:line="1" w:lineRule="exact"/>
        <w:rPr>
          <w:sz w:val="20"/>
          <w:szCs w:val="20"/>
          <w:color w:val="auto"/>
        </w:rPr>
      </w:pPr>
    </w:p>
    <w:tbl>
      <w:tblPr>
        <w:tblLayout w:type="fixed"/>
        <w:tblInd w:w="40" w:type="dxa"/>
        <w:tblCellMar>
          <w:top w:w="0" w:type="dxa"/>
          <w:left w:w="0" w:type="dxa"/>
          <w:bottom w:w="0" w:type="dxa"/>
          <w:right w:w="0" w:type="dxa"/>
        </w:tblCellMar>
      </w:tblPr>
      <w:tr>
        <w:trPr>
          <w:trHeight w:val="219"/>
        </w:trPr>
        <w:tc>
          <w:tcPr>
            <w:tcW w:w="1040" w:type="dxa"/>
            <w:vAlign w:val="bottom"/>
          </w:tcPr>
          <w:p>
            <w:pPr>
              <w:spacing w:after="0" w:line="219" w:lineRule="exact"/>
              <w:rPr>
                <w:sz w:val="20"/>
                <w:szCs w:val="20"/>
                <w:color w:val="auto"/>
              </w:rPr>
            </w:pPr>
            <w:r>
              <w:rPr>
                <w:rFonts w:ascii="Times New Roman" w:cs="Times New Roman" w:eastAsia="Times New Roman" w:hAnsi="Times New Roman"/>
                <w:sz w:val="22"/>
                <w:szCs w:val="22"/>
                <w:color w:val="auto"/>
              </w:rPr>
              <w:t>Owned by</w:t>
            </w:r>
          </w:p>
        </w:tc>
        <w:tc>
          <w:tcPr>
            <w:tcW w:w="2420" w:type="dxa"/>
            <w:vAlign w:val="bottom"/>
            <w:vMerge w:val="restart"/>
          </w:tcPr>
          <w:p>
            <w:pPr>
              <w:ind w:left="400"/>
              <w:spacing w:after="0"/>
              <w:rPr>
                <w:sz w:val="20"/>
                <w:szCs w:val="20"/>
                <w:color w:val="auto"/>
              </w:rPr>
            </w:pPr>
            <w:r>
              <w:rPr>
                <w:rFonts w:ascii="Times New Roman" w:cs="Times New Roman" w:eastAsia="Times New Roman" w:hAnsi="Times New Roman"/>
                <w:sz w:val="22"/>
                <w:szCs w:val="22"/>
                <w:color w:val="auto"/>
              </w:rPr>
              <w:t>Shared Voting Power</w:t>
            </w:r>
          </w:p>
        </w:tc>
        <w:tc>
          <w:tcPr>
            <w:tcW w:w="0" w:type="dxa"/>
            <w:vAlign w:val="bottom"/>
          </w:tcPr>
          <w:p>
            <w:pPr>
              <w:spacing w:after="0"/>
              <w:rPr>
                <w:sz w:val="1"/>
                <w:szCs w:val="1"/>
                <w:color w:val="auto"/>
              </w:rPr>
            </w:pPr>
          </w:p>
        </w:tc>
      </w:tr>
      <w:tr>
        <w:trPr>
          <w:trHeight w:val="94"/>
        </w:trPr>
        <w:tc>
          <w:tcPr>
            <w:tcW w:w="104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Each</w:t>
            </w:r>
          </w:p>
        </w:tc>
        <w:tc>
          <w:tcPr>
            <w:tcW w:w="242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48"/>
        </w:trPr>
        <w:tc>
          <w:tcPr>
            <w:tcW w:w="1040" w:type="dxa"/>
            <w:vAlign w:val="bottom"/>
            <w:vMerge w:val="continue"/>
          </w:tcPr>
          <w:p>
            <w:pPr>
              <w:spacing w:after="0"/>
              <w:rPr>
                <w:sz w:val="12"/>
                <w:szCs w:val="12"/>
                <w:color w:val="auto"/>
              </w:rPr>
            </w:pPr>
          </w:p>
        </w:tc>
        <w:tc>
          <w:tcPr>
            <w:tcW w:w="24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color w:val="auto"/>
              </w:rPr>
              <w:t>8</w:t>
            </w:r>
          </w:p>
        </w:tc>
        <w:tc>
          <w:tcPr>
            <w:tcW w:w="0" w:type="dxa"/>
            <w:vAlign w:val="bottom"/>
          </w:tcPr>
          <w:p>
            <w:pPr>
              <w:spacing w:after="0"/>
              <w:rPr>
                <w:sz w:val="1"/>
                <w:szCs w:val="1"/>
                <w:color w:val="auto"/>
              </w:rPr>
            </w:pPr>
          </w:p>
        </w:tc>
      </w:tr>
      <w:tr>
        <w:trPr>
          <w:trHeight w:val="95"/>
        </w:trPr>
        <w:tc>
          <w:tcPr>
            <w:tcW w:w="104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Reporting</w:t>
            </w:r>
          </w:p>
        </w:tc>
        <w:tc>
          <w:tcPr>
            <w:tcW w:w="242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48"/>
        </w:trPr>
        <w:tc>
          <w:tcPr>
            <w:tcW w:w="1040" w:type="dxa"/>
            <w:vAlign w:val="bottom"/>
            <w:vMerge w:val="continue"/>
          </w:tcPr>
          <w:p>
            <w:pPr>
              <w:spacing w:after="0"/>
              <w:rPr>
                <w:sz w:val="12"/>
                <w:szCs w:val="12"/>
                <w:color w:val="auto"/>
              </w:rPr>
            </w:pPr>
          </w:p>
        </w:tc>
        <w:tc>
          <w:tcPr>
            <w:tcW w:w="2420" w:type="dxa"/>
            <w:vAlign w:val="bottom"/>
            <w:vMerge w:val="restart"/>
          </w:tcPr>
          <w:p>
            <w:pPr>
              <w:ind w:left="400"/>
              <w:spacing w:after="0"/>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134"/>
        </w:trPr>
        <w:tc>
          <w:tcPr>
            <w:tcW w:w="104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Person</w:t>
            </w:r>
          </w:p>
        </w:tc>
        <w:tc>
          <w:tcPr>
            <w:tcW w:w="24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9"/>
        </w:trPr>
        <w:tc>
          <w:tcPr>
            <w:tcW w:w="1040" w:type="dxa"/>
            <w:vAlign w:val="bottom"/>
            <w:vMerge w:val="continue"/>
          </w:tcPr>
          <w:p>
            <w:pPr>
              <w:spacing w:after="0"/>
              <w:rPr>
                <w:sz w:val="9"/>
                <w:szCs w:val="9"/>
                <w:color w:val="auto"/>
              </w:rPr>
            </w:pPr>
          </w:p>
        </w:tc>
        <w:tc>
          <w:tcPr>
            <w:tcW w:w="2420" w:type="dxa"/>
            <w:vAlign w:val="bottom"/>
            <w:vMerge w:val="restart"/>
          </w:tcPr>
          <w:p>
            <w:pPr>
              <w:ind w:left="400"/>
              <w:spacing w:after="0"/>
              <w:rPr>
                <w:sz w:val="20"/>
                <w:szCs w:val="20"/>
                <w:color w:val="auto"/>
              </w:rPr>
            </w:pPr>
            <w:r>
              <w:rPr>
                <w:rFonts w:ascii="Times New Roman" w:cs="Times New Roman" w:eastAsia="Times New Roman" w:hAnsi="Times New Roman"/>
                <w:sz w:val="22"/>
                <w:szCs w:val="22"/>
                <w:color w:val="auto"/>
                <w:w w:val="96"/>
              </w:rPr>
              <w:t>Sole Dispositive Power</w:t>
            </w:r>
          </w:p>
        </w:tc>
        <w:tc>
          <w:tcPr>
            <w:tcW w:w="0" w:type="dxa"/>
            <w:vAlign w:val="bottom"/>
          </w:tcPr>
          <w:p>
            <w:pPr>
              <w:spacing w:after="0"/>
              <w:rPr>
                <w:sz w:val="1"/>
                <w:szCs w:val="1"/>
                <w:color w:val="auto"/>
              </w:rPr>
            </w:pPr>
          </w:p>
        </w:tc>
      </w:tr>
      <w:tr>
        <w:trPr>
          <w:trHeight w:val="148"/>
        </w:trPr>
        <w:tc>
          <w:tcPr>
            <w:tcW w:w="10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With:</w:t>
            </w:r>
          </w:p>
        </w:tc>
        <w:tc>
          <w:tcPr>
            <w:tcW w:w="24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34"/>
        </w:trPr>
        <w:tc>
          <w:tcPr>
            <w:tcW w:w="1040" w:type="dxa"/>
            <w:vAlign w:val="bottom"/>
            <w:vMerge w:val="continue"/>
          </w:tcPr>
          <w:p>
            <w:pPr>
              <w:spacing w:after="0"/>
              <w:rPr>
                <w:sz w:val="11"/>
                <w:szCs w:val="11"/>
                <w:color w:val="auto"/>
              </w:rPr>
            </w:pPr>
          </w:p>
        </w:tc>
        <w:tc>
          <w:tcPr>
            <w:tcW w:w="24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color w:val="auto"/>
              </w:rPr>
              <w:t>9</w:t>
            </w:r>
          </w:p>
        </w:tc>
        <w:tc>
          <w:tcPr>
            <w:tcW w:w="0" w:type="dxa"/>
            <w:vAlign w:val="bottom"/>
          </w:tcPr>
          <w:p>
            <w:pPr>
              <w:spacing w:after="0"/>
              <w:rPr>
                <w:sz w:val="1"/>
                <w:szCs w:val="1"/>
                <w:color w:val="auto"/>
              </w:rPr>
            </w:pPr>
          </w:p>
        </w:tc>
      </w:tr>
      <w:tr>
        <w:trPr>
          <w:trHeight w:val="109"/>
        </w:trPr>
        <w:tc>
          <w:tcPr>
            <w:tcW w:w="1040" w:type="dxa"/>
            <w:vAlign w:val="bottom"/>
          </w:tcPr>
          <w:p>
            <w:pPr>
              <w:spacing w:after="0"/>
              <w:rPr>
                <w:sz w:val="9"/>
                <w:szCs w:val="9"/>
                <w:color w:val="auto"/>
              </w:rPr>
            </w:pPr>
          </w:p>
        </w:tc>
        <w:tc>
          <w:tcPr>
            <w:tcW w:w="24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82"/>
        </w:trPr>
        <w:tc>
          <w:tcPr>
            <w:tcW w:w="1040" w:type="dxa"/>
            <w:vAlign w:val="bottom"/>
          </w:tcPr>
          <w:p>
            <w:pPr>
              <w:spacing w:after="0"/>
              <w:rPr>
                <w:sz w:val="24"/>
                <w:szCs w:val="24"/>
                <w:color w:val="auto"/>
              </w:rPr>
            </w:pPr>
          </w:p>
        </w:tc>
        <w:tc>
          <w:tcPr>
            <w:tcW w:w="2420" w:type="dxa"/>
            <w:vAlign w:val="bottom"/>
          </w:tcPr>
          <w:p>
            <w:pPr>
              <w:ind w:left="400"/>
              <w:spacing w:after="0"/>
              <w:rPr>
                <w:sz w:val="20"/>
                <w:szCs w:val="20"/>
                <w:color w:val="auto"/>
              </w:rPr>
            </w:pPr>
            <w:r>
              <w:rPr>
                <w:rFonts w:ascii="Times New Roman" w:cs="Times New Roman" w:eastAsia="Times New Roman" w:hAnsi="Times New Roman"/>
                <w:sz w:val="22"/>
                <w:szCs w:val="22"/>
                <w:color w:val="auto"/>
              </w:rPr>
              <w:t>191,498.00</w:t>
            </w:r>
          </w:p>
        </w:tc>
        <w:tc>
          <w:tcPr>
            <w:tcW w:w="0" w:type="dxa"/>
            <w:vAlign w:val="bottom"/>
          </w:tcPr>
          <w:p>
            <w:pPr>
              <w:spacing w:after="0"/>
              <w:rPr>
                <w:sz w:val="1"/>
                <w:szCs w:val="1"/>
                <w:color w:val="auto"/>
              </w:rPr>
            </w:pPr>
          </w:p>
        </w:tc>
      </w:tr>
    </w:tbl>
    <w:p>
      <w:pPr>
        <w:sectPr>
          <w:pgSz w:w="11900" w:h="16838" w:orient="portrait"/>
          <w:cols w:equalWidth="0" w:num="1">
            <w:col w:w="11240"/>
          </w:cols>
          <w:pgMar w:left="320" w:top="111" w:right="339" w:bottom="0" w:gutter="0" w:footer="0" w:header="0"/>
          <w:type w:val="continuous"/>
        </w:sectPr>
      </w:pPr>
    </w:p>
    <w:bookmarkStart w:id="3" w:name="page4"/>
    <w:bookmarkEnd w:id="3"/>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0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12</w:t>
      </w:r>
    </w:p>
    <w:p>
      <w:pPr>
        <w:spacing w:after="0" w:line="200" w:lineRule="exact"/>
        <w:rPr>
          <w:sz w:val="20"/>
          <w:szCs w:val="20"/>
          <w:color w:val="auto"/>
        </w:rPr>
      </w:pPr>
    </w:p>
    <w:p>
      <w:pPr>
        <w:spacing w:after="0" w:line="31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13</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14</w:t>
      </w:r>
    </w:p>
    <w:p>
      <w:pPr>
        <w:spacing w:after="0" w:line="200" w:lineRule="exact"/>
        <w:rPr>
          <w:sz w:val="20"/>
          <w:szCs w:val="20"/>
          <w:color w:val="auto"/>
        </w:rPr>
      </w:pPr>
    </w:p>
    <w:p>
      <w:pPr>
        <w:spacing w:after="0" w:line="320"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9"/>
          <w:szCs w:val="19"/>
          <w:b w:val="1"/>
          <w:bCs w:val="1"/>
          <w:color w:val="auto"/>
        </w:rPr>
        <w:t>Comment for Type of Reporting Person:</w:t>
      </w:r>
    </w:p>
    <w:p>
      <w:pPr>
        <w:spacing w:after="0" w:line="20" w:lineRule="exact"/>
        <w:rPr>
          <w:sz w:val="20"/>
          <w:szCs w:val="20"/>
          <w:color w:val="auto"/>
        </w:rPr>
      </w:pPr>
      <w:r>
        <w:rPr>
          <w:sz w:val="20"/>
          <w:szCs w:val="20"/>
          <w:color w:val="auto"/>
        </w:rPr>
        <w:br w:type="column"/>
      </w:r>
    </w:p>
    <w:p>
      <w:pPr>
        <w:ind w:left="40"/>
        <w:spacing w:after="0"/>
        <w:rPr>
          <w:sz w:val="20"/>
          <w:szCs w:val="20"/>
          <w:color w:val="auto"/>
        </w:rPr>
      </w:pPr>
      <w:r>
        <w:rPr>
          <w:rFonts w:ascii="Times New Roman" w:cs="Times New Roman" w:eastAsia="Times New Roman" w:hAnsi="Times New Roman"/>
          <w:sz w:val="22"/>
          <w:szCs w:val="22"/>
          <w:color w:val="auto"/>
        </w:rPr>
        <w:t>10 Shared Dispositive Power</w:t>
      </w:r>
    </w:p>
    <w:p>
      <w:pPr>
        <w:spacing w:after="0" w:line="23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191,498.00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Check if the aggregate amount in Row (11)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165100</wp:posOffset>
            </wp:positionV>
            <wp:extent cx="128905" cy="12890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(11)</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1.4 %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IN</w:t>
      </w:r>
    </w:p>
    <w:p>
      <w:pPr>
        <w:spacing w:after="0" w:line="274" w:lineRule="exact"/>
        <w:rPr>
          <w:sz w:val="20"/>
          <w:szCs w:val="20"/>
          <w:color w:val="auto"/>
        </w:rPr>
      </w:pPr>
    </w:p>
    <w:p>
      <w:pPr>
        <w:jc w:val="both"/>
        <w:ind w:left="180"/>
        <w:spacing w:after="0" w:line="244" w:lineRule="auto"/>
        <w:rPr>
          <w:sz w:val="20"/>
          <w:szCs w:val="20"/>
          <w:color w:val="auto"/>
        </w:rPr>
      </w:pPr>
      <w:r>
        <w:rPr>
          <w:rFonts w:ascii="Times New Roman" w:cs="Times New Roman" w:eastAsia="Times New Roman" w:hAnsi="Times New Roman"/>
          <w:sz w:val="22"/>
          <w:szCs w:val="22"/>
          <w:color w:val="auto"/>
        </w:rPr>
        <w:t>Includes 191,498 shares of common stock of Red Violet, Inc. held directly by James Reilly. Calculated using 14,108,921 shares of common stock of Red Violet, Inc. outstanding as of April 30, 2026, as reported on the Quarterly Report on Form 10-Q filed by Red Violet, Inc. with the SEC on May 6, 2026.</w:t>
      </w:r>
    </w:p>
    <w:p>
      <w:pPr>
        <w:spacing w:after="0" w:line="400" w:lineRule="exact"/>
        <w:rPr>
          <w:sz w:val="20"/>
          <w:szCs w:val="20"/>
          <w:color w:val="auto"/>
        </w:rPr>
      </w:pPr>
    </w:p>
    <w:p>
      <w:pPr>
        <w:sectPr>
          <w:pgSz w:w="11900" w:h="16838" w:orient="portrait"/>
          <w:cols w:equalWidth="0" w:num="2">
            <w:col w:w="1120" w:space="40"/>
            <w:col w:w="10080"/>
          </w:cols>
          <w:pgMar w:left="320" w:top="112" w:right="339" w:bottom="22" w:gutter="0" w:footer="0" w:header="0"/>
        </w:sectPr>
      </w:pPr>
    </w:p>
    <w:p>
      <w:pPr>
        <w:spacing w:after="0" w:line="200" w:lineRule="exact"/>
        <w:rPr>
          <w:sz w:val="20"/>
          <w:szCs w:val="20"/>
          <w:color w:val="auto"/>
        </w:rPr>
      </w:pPr>
    </w:p>
    <w:p>
      <w:pPr>
        <w:spacing w:after="0" w:line="28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13D</w:t>
      </w:r>
    </w:p>
    <w:p>
      <w:pPr>
        <w:spacing w:after="0" w:line="29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Name of reporting person</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w:t>
      </w:r>
    </w:p>
    <w:p>
      <w:pPr>
        <w:ind w:left="1160"/>
        <w:spacing w:after="0"/>
        <w:rPr>
          <w:sz w:val="20"/>
          <w:szCs w:val="20"/>
          <w:color w:val="auto"/>
        </w:rPr>
      </w:pPr>
      <w:r>
        <w:rPr>
          <w:rFonts w:ascii="Times New Roman" w:cs="Times New Roman" w:eastAsia="Times New Roman" w:hAnsi="Times New Roman"/>
          <w:sz w:val="22"/>
          <w:szCs w:val="22"/>
          <w:color w:val="auto"/>
        </w:rPr>
        <w:t>Dell Jeffrey Alan</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pacing w:after="0" w:line="44" w:lineRule="exact"/>
        <w:rPr>
          <w:sz w:val="20"/>
          <w:szCs w:val="20"/>
          <w:color w:val="auto"/>
        </w:rPr>
      </w:pPr>
    </w:p>
    <w:p>
      <w:pPr>
        <w:ind w:left="1160" w:hanging="1112"/>
        <w:spacing w:after="0"/>
        <w:tabs>
          <w:tab w:leader="none" w:pos="1160" w:val="left"/>
        </w:tabs>
        <w:numPr>
          <w:ilvl w:val="0"/>
          <w:numId w:val="9"/>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6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ectPr>
          <w:pgSz w:w="11900" w:h="16838" w:orient="portrait"/>
          <w:cols w:equalWidth="0" w:num="1">
            <w:col w:w="11240"/>
          </w:cols>
          <w:pgMar w:left="320" w:top="112" w:right="339" w:bottom="22" w:gutter="0" w:footer="0" w:header="0"/>
          <w:type w:val="continuous"/>
        </w:sectPr>
      </w:pPr>
    </w:p>
    <w:p>
      <w:pPr>
        <w:spacing w:after="0" w:line="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30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spacing w:after="0" w:line="200" w:lineRule="exact"/>
        <w:rPr>
          <w:sz w:val="20"/>
          <w:szCs w:val="20"/>
          <w:color w:val="auto"/>
        </w:rPr>
      </w:pPr>
    </w:p>
    <w:p>
      <w:pPr>
        <w:spacing w:after="0" w:line="31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Shares</w:t>
      </w:r>
    </w:p>
    <w:p>
      <w:pPr>
        <w:ind w:left="40"/>
        <w:spacing w:after="0"/>
        <w:rPr>
          <w:sz w:val="20"/>
          <w:szCs w:val="20"/>
          <w:color w:val="auto"/>
        </w:rPr>
      </w:pPr>
      <w:r>
        <w:rPr>
          <w:rFonts w:ascii="Times New Roman" w:cs="Times New Roman" w:eastAsia="Times New Roman" w:hAnsi="Times New Roman"/>
          <w:sz w:val="21"/>
          <w:szCs w:val="21"/>
          <w:color w:val="auto"/>
        </w:rPr>
        <w:t>Beneficially</w:t>
      </w:r>
    </w:p>
    <w:p>
      <w:pPr>
        <w:ind w:left="40"/>
        <w:spacing w:after="0" w:line="231" w:lineRule="auto"/>
        <w:rPr>
          <w:sz w:val="20"/>
          <w:szCs w:val="20"/>
          <w:color w:val="auto"/>
        </w:rPr>
      </w:pPr>
      <w:r>
        <w:rPr>
          <w:rFonts w:ascii="Times New Roman" w:cs="Times New Roman" w:eastAsia="Times New Roman" w:hAnsi="Times New Roman"/>
          <w:sz w:val="22"/>
          <w:szCs w:val="22"/>
          <w:color w:val="auto"/>
        </w:rPr>
        <w:t>Owned by</w:t>
      </w:r>
    </w:p>
    <w:p>
      <w:pPr>
        <w:ind w:left="40"/>
        <w:spacing w:after="0" w:line="231" w:lineRule="auto"/>
        <w:rPr>
          <w:sz w:val="20"/>
          <w:szCs w:val="20"/>
          <w:color w:val="auto"/>
        </w:rPr>
      </w:pPr>
      <w:r>
        <w:rPr>
          <w:rFonts w:ascii="Times New Roman" w:cs="Times New Roman" w:eastAsia="Times New Roman" w:hAnsi="Times New Roman"/>
          <w:sz w:val="22"/>
          <w:szCs w:val="22"/>
          <w:color w:val="auto"/>
        </w:rPr>
        <w:t>Each</w:t>
      </w:r>
    </w:p>
    <w:p>
      <w:pPr>
        <w:ind w:left="40"/>
        <w:spacing w:after="0" w:line="231" w:lineRule="auto"/>
        <w:rPr>
          <w:sz w:val="20"/>
          <w:szCs w:val="20"/>
          <w:color w:val="auto"/>
        </w:rPr>
      </w:pPr>
      <w:r>
        <w:rPr>
          <w:rFonts w:ascii="Times New Roman" w:cs="Times New Roman" w:eastAsia="Times New Roman" w:hAnsi="Times New Roman"/>
          <w:sz w:val="22"/>
          <w:szCs w:val="22"/>
          <w:color w:val="auto"/>
        </w:rPr>
        <w:t>Reporting</w:t>
      </w:r>
    </w:p>
    <w:p>
      <w:pPr>
        <w:ind w:left="40"/>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11</w:t>
      </w:r>
    </w:p>
    <w:p>
      <w:pPr>
        <w:spacing w:after="0" w:line="20" w:lineRule="exact"/>
        <w:rPr>
          <w:sz w:val="20"/>
          <w:szCs w:val="20"/>
          <w:color w:val="auto"/>
        </w:rPr>
      </w:pPr>
      <w:r>
        <w:rPr>
          <w:sz w:val="20"/>
          <w:szCs w:val="20"/>
          <w:color w:val="auto"/>
        </w:rPr>
        <w:br w:type="column"/>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Source of funds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OO</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Check if disclosure of legal proceedings is required pursuant to Items 2(d) or 2(e)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165100</wp:posOffset>
            </wp:positionV>
            <wp:extent cx="128905" cy="12890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UNITED STATES</w:t>
      </w:r>
    </w:p>
    <w:p>
      <w:pPr>
        <w:spacing w:after="0" w:line="8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320"/>
        <w:spacing w:after="0"/>
        <w:rPr>
          <w:sz w:val="20"/>
          <w:szCs w:val="20"/>
          <w:color w:val="auto"/>
        </w:rPr>
      </w:pPr>
      <w:r>
        <w:rPr>
          <w:rFonts w:ascii="Times New Roman" w:cs="Times New Roman" w:eastAsia="Times New Roman" w:hAnsi="Times New Roman"/>
          <w:sz w:val="22"/>
          <w:szCs w:val="22"/>
          <w:color w:val="auto"/>
        </w:rPr>
        <w:t>126,249.00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8</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ind w:left="320"/>
        <w:spacing w:after="0"/>
        <w:rPr>
          <w:sz w:val="20"/>
          <w:szCs w:val="20"/>
          <w:color w:val="auto"/>
        </w:rPr>
      </w:pPr>
      <w:r>
        <w:rPr>
          <w:rFonts w:ascii="Times New Roman" w:cs="Times New Roman" w:eastAsia="Times New Roman" w:hAnsi="Times New Roman"/>
          <w:sz w:val="22"/>
          <w:szCs w:val="22"/>
          <w:color w:val="auto"/>
        </w:rPr>
        <w:t>126,249.00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126,249.00</w:t>
      </w:r>
    </w:p>
    <w:p>
      <w:pPr>
        <w:spacing w:after="0" w:line="4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if the aggregate amount in Row (11) excludes certain shares (See Instructions)</w:t>
      </w:r>
    </w:p>
    <w:p>
      <w:pPr>
        <w:spacing w:after="0" w:line="1" w:lineRule="exact"/>
        <w:rPr>
          <w:sz w:val="20"/>
          <w:szCs w:val="20"/>
          <w:color w:val="auto"/>
        </w:rPr>
      </w:pPr>
    </w:p>
    <w:p>
      <w:pPr>
        <w:sectPr>
          <w:pgSz w:w="11900" w:h="16838" w:orient="portrait"/>
          <w:cols w:equalWidth="0" w:num="2">
            <w:col w:w="1100" w:space="60"/>
            <w:col w:w="10080"/>
          </w:cols>
          <w:pgMar w:left="320" w:top="112" w:right="339" w:bottom="22" w:gutter="0" w:footer="0" w:header="0"/>
          <w:type w:val="continuous"/>
        </w:sectPr>
      </w:pPr>
    </w:p>
    <w:p>
      <w:pPr>
        <w:ind w:left="40"/>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742315</wp:posOffset>
            </wp:positionH>
            <wp:positionV relativeFrom="paragraph">
              <wp:posOffset>12700</wp:posOffset>
            </wp:positionV>
            <wp:extent cx="128905" cy="12827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ectPr>
          <w:pgSz w:w="11900" w:h="16838" w:orient="portrait"/>
          <w:cols w:equalWidth="0" w:num="1">
            <w:col w:w="11240"/>
          </w:cols>
          <w:pgMar w:left="320" w:top="112" w:right="339" w:bottom="22" w:gutter="0" w:footer="0" w:header="0"/>
          <w:type w:val="continuous"/>
        </w:sectPr>
      </w:pPr>
    </w:p>
    <w:bookmarkStart w:id="4" w:name="page5"/>
    <w:bookmarkEnd w:id="4"/>
    <w:p>
      <w:pPr>
        <w:ind w:left="1160" w:right="5600" w:hanging="1112"/>
        <w:spacing w:after="0" w:line="371" w:lineRule="auto"/>
        <w:tabs>
          <w:tab w:leader="none" w:pos="1160" w:val="left"/>
        </w:tabs>
        <w:numPr>
          <w:ilvl w:val="0"/>
          <w:numId w:val="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Percent of class represented by amount in Row (11) 0.9 %</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82"/>
        </w:trPr>
        <w:tc>
          <w:tcPr>
            <w:tcW w:w="114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14</w:t>
            </w:r>
          </w:p>
        </w:tc>
        <w:tc>
          <w:tcPr>
            <w:tcW w:w="1010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Type of Reporting Person (See Instructions)</w:t>
            </w:r>
          </w:p>
        </w:tc>
        <w:tc>
          <w:tcPr>
            <w:tcW w:w="0" w:type="dxa"/>
            <w:vAlign w:val="bottom"/>
          </w:tcPr>
          <w:p>
            <w:pPr>
              <w:spacing w:after="0"/>
              <w:rPr>
                <w:sz w:val="1"/>
                <w:szCs w:val="1"/>
                <w:color w:val="auto"/>
              </w:rPr>
            </w:pPr>
          </w:p>
        </w:tc>
      </w:tr>
      <w:tr>
        <w:trPr>
          <w:trHeight w:val="243"/>
        </w:trPr>
        <w:tc>
          <w:tcPr>
            <w:tcW w:w="1140" w:type="dxa"/>
            <w:vAlign w:val="bottom"/>
            <w:vMerge w:val="continue"/>
          </w:tcPr>
          <w:p>
            <w:pPr>
              <w:spacing w:after="0"/>
              <w:rPr>
                <w:sz w:val="21"/>
                <w:szCs w:val="21"/>
                <w:color w:val="auto"/>
              </w:rPr>
            </w:pPr>
          </w:p>
        </w:tc>
        <w:tc>
          <w:tcPr>
            <w:tcW w:w="1010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IN</w:t>
            </w:r>
          </w:p>
        </w:tc>
        <w:tc>
          <w:tcPr>
            <w:tcW w:w="0" w:type="dxa"/>
            <w:vAlign w:val="bottom"/>
          </w:tcPr>
          <w:p>
            <w:pPr>
              <w:spacing w:after="0"/>
              <w:rPr>
                <w:sz w:val="1"/>
                <w:szCs w:val="1"/>
                <w:color w:val="auto"/>
              </w:rPr>
            </w:pPr>
          </w:p>
        </w:tc>
      </w:tr>
      <w:tr>
        <w:trPr>
          <w:trHeight w:val="243"/>
        </w:trPr>
        <w:tc>
          <w:tcPr>
            <w:tcW w:w="1140" w:type="dxa"/>
            <w:vAlign w:val="bottom"/>
          </w:tcPr>
          <w:p>
            <w:pPr>
              <w:spacing w:after="0"/>
              <w:rPr>
                <w:sz w:val="21"/>
                <w:szCs w:val="21"/>
                <w:color w:val="auto"/>
              </w:rPr>
            </w:pPr>
          </w:p>
        </w:tc>
        <w:tc>
          <w:tcPr>
            <w:tcW w:w="101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477"/>
        </w:trPr>
        <w:tc>
          <w:tcPr>
            <w:tcW w:w="1140" w:type="dxa"/>
            <w:vAlign w:val="bottom"/>
          </w:tcPr>
          <w:p>
            <w:pPr>
              <w:spacing w:after="0"/>
              <w:rPr>
                <w:sz w:val="20"/>
                <w:szCs w:val="20"/>
                <w:color w:val="auto"/>
              </w:rPr>
            </w:pPr>
            <w:r>
              <w:rPr>
                <w:rFonts w:ascii="Times New Roman" w:cs="Times New Roman" w:eastAsia="Times New Roman" w:hAnsi="Times New Roman"/>
                <w:sz w:val="19"/>
                <w:szCs w:val="19"/>
                <w:b w:val="1"/>
                <w:bCs w:val="1"/>
                <w:color w:val="auto"/>
              </w:rPr>
              <w:t>Comment for</w:t>
            </w:r>
          </w:p>
        </w:tc>
        <w:tc>
          <w:tcPr>
            <w:tcW w:w="10100" w:type="dxa"/>
            <w:vAlign w:val="bottom"/>
          </w:tcPr>
          <w:p>
            <w:pPr>
              <w:ind w:left="200"/>
              <w:spacing w:after="0"/>
              <w:rPr>
                <w:sz w:val="20"/>
                <w:szCs w:val="20"/>
                <w:color w:val="auto"/>
              </w:rPr>
            </w:pPr>
            <w:r>
              <w:rPr>
                <w:rFonts w:ascii="Times New Roman" w:cs="Times New Roman" w:eastAsia="Times New Roman" w:hAnsi="Times New Roman"/>
                <w:sz w:val="22"/>
                <w:szCs w:val="22"/>
                <w:color w:val="auto"/>
              </w:rPr>
              <w:t>Includes 126,249 shares of common stock of Red Violet, Inc. held directly by Jeffrey Dell. Calculated using</w:t>
            </w:r>
          </w:p>
        </w:tc>
        <w:tc>
          <w:tcPr>
            <w:tcW w:w="0" w:type="dxa"/>
            <w:vAlign w:val="bottom"/>
          </w:tcPr>
          <w:p>
            <w:pPr>
              <w:spacing w:after="0"/>
              <w:rPr>
                <w:sz w:val="1"/>
                <w:szCs w:val="1"/>
                <w:color w:val="auto"/>
              </w:rPr>
            </w:pPr>
          </w:p>
        </w:tc>
      </w:tr>
      <w:tr>
        <w:trPr>
          <w:trHeight w:val="229"/>
        </w:trPr>
        <w:tc>
          <w:tcPr>
            <w:tcW w:w="1140" w:type="dxa"/>
            <w:vAlign w:val="bottom"/>
          </w:tcPr>
          <w:p>
            <w:pPr>
              <w:spacing w:after="0"/>
              <w:rPr>
                <w:sz w:val="20"/>
                <w:szCs w:val="20"/>
                <w:color w:val="auto"/>
              </w:rPr>
            </w:pPr>
            <w:r>
              <w:rPr>
                <w:rFonts w:ascii="Times New Roman" w:cs="Times New Roman" w:eastAsia="Times New Roman" w:hAnsi="Times New Roman"/>
                <w:sz w:val="19"/>
                <w:szCs w:val="19"/>
                <w:b w:val="1"/>
                <w:bCs w:val="1"/>
                <w:color w:val="auto"/>
              </w:rPr>
              <w:t>Type of</w:t>
            </w:r>
          </w:p>
        </w:tc>
        <w:tc>
          <w:tcPr>
            <w:tcW w:w="10100" w:type="dxa"/>
            <w:vAlign w:val="bottom"/>
          </w:tcPr>
          <w:p>
            <w:pPr>
              <w:ind w:left="200"/>
              <w:spacing w:after="0" w:line="229" w:lineRule="exact"/>
              <w:rPr>
                <w:sz w:val="20"/>
                <w:szCs w:val="20"/>
                <w:color w:val="auto"/>
              </w:rPr>
            </w:pPr>
            <w:r>
              <w:rPr>
                <w:rFonts w:ascii="Times New Roman" w:cs="Times New Roman" w:eastAsia="Times New Roman" w:hAnsi="Times New Roman"/>
                <w:sz w:val="22"/>
                <w:szCs w:val="22"/>
                <w:color w:val="auto"/>
              </w:rPr>
              <w:t>14,108,921 shares of common stock of Red Violet, Inc. outstanding as of April 30, 2026, as reported on the</w:t>
            </w:r>
          </w:p>
        </w:tc>
        <w:tc>
          <w:tcPr>
            <w:tcW w:w="0" w:type="dxa"/>
            <w:vAlign w:val="bottom"/>
          </w:tcPr>
          <w:p>
            <w:pPr>
              <w:spacing w:after="0"/>
              <w:rPr>
                <w:sz w:val="1"/>
                <w:szCs w:val="1"/>
                <w:color w:val="auto"/>
              </w:rPr>
            </w:pPr>
          </w:p>
        </w:tc>
      </w:tr>
      <w:tr>
        <w:trPr>
          <w:trHeight w:val="240"/>
        </w:trPr>
        <w:tc>
          <w:tcPr>
            <w:tcW w:w="1140" w:type="dxa"/>
            <w:vAlign w:val="bottom"/>
          </w:tcPr>
          <w:p>
            <w:pPr>
              <w:spacing w:after="0"/>
              <w:rPr>
                <w:sz w:val="20"/>
                <w:szCs w:val="20"/>
                <w:color w:val="auto"/>
              </w:rPr>
            </w:pPr>
            <w:r>
              <w:rPr>
                <w:rFonts w:ascii="Times New Roman" w:cs="Times New Roman" w:eastAsia="Times New Roman" w:hAnsi="Times New Roman"/>
                <w:sz w:val="19"/>
                <w:szCs w:val="19"/>
                <w:b w:val="1"/>
                <w:bCs w:val="1"/>
                <w:color w:val="auto"/>
              </w:rPr>
              <w:t>Reporting</w:t>
            </w:r>
          </w:p>
        </w:tc>
        <w:tc>
          <w:tcPr>
            <w:tcW w:w="10100" w:type="dxa"/>
            <w:vAlign w:val="bottom"/>
          </w:tcPr>
          <w:p>
            <w:pPr>
              <w:ind w:left="200"/>
              <w:spacing w:after="0" w:line="240" w:lineRule="exact"/>
              <w:rPr>
                <w:sz w:val="20"/>
                <w:szCs w:val="20"/>
                <w:color w:val="auto"/>
              </w:rPr>
            </w:pPr>
            <w:r>
              <w:rPr>
                <w:rFonts w:ascii="Times New Roman" w:cs="Times New Roman" w:eastAsia="Times New Roman" w:hAnsi="Times New Roman"/>
                <w:sz w:val="22"/>
                <w:szCs w:val="22"/>
                <w:color w:val="auto"/>
              </w:rPr>
              <w:t>Quarterly Report on Form 10-Q filed by Red Violet, Inc. with the SEC on May 6, 2026.</w:t>
            </w:r>
          </w:p>
        </w:tc>
        <w:tc>
          <w:tcPr>
            <w:tcW w:w="0" w:type="dxa"/>
            <w:vAlign w:val="bottom"/>
          </w:tcPr>
          <w:p>
            <w:pPr>
              <w:spacing w:after="0"/>
              <w:rPr>
                <w:sz w:val="1"/>
                <w:szCs w:val="1"/>
                <w:color w:val="auto"/>
              </w:rPr>
            </w:pPr>
          </w:p>
        </w:tc>
      </w:tr>
      <w:tr>
        <w:trPr>
          <w:trHeight w:val="257"/>
        </w:trPr>
        <w:tc>
          <w:tcPr>
            <w:tcW w:w="1140" w:type="dxa"/>
            <w:vAlign w:val="bottom"/>
          </w:tcPr>
          <w:p>
            <w:pPr>
              <w:spacing w:after="0"/>
              <w:rPr>
                <w:sz w:val="20"/>
                <w:szCs w:val="20"/>
                <w:color w:val="auto"/>
              </w:rPr>
            </w:pPr>
            <w:r>
              <w:rPr>
                <w:rFonts w:ascii="Times New Roman" w:cs="Times New Roman" w:eastAsia="Times New Roman" w:hAnsi="Times New Roman"/>
                <w:sz w:val="19"/>
                <w:szCs w:val="19"/>
                <w:b w:val="1"/>
                <w:bCs w:val="1"/>
                <w:color w:val="auto"/>
              </w:rPr>
              <w:t>Person:</w:t>
            </w:r>
          </w:p>
        </w:tc>
        <w:tc>
          <w:tcPr>
            <w:tcW w:w="10100" w:type="dxa"/>
            <w:vAlign w:val="bottom"/>
          </w:tcPr>
          <w:p>
            <w:pPr>
              <w:spacing w:after="0"/>
              <w:rPr>
                <w:sz w:val="22"/>
                <w:szCs w:val="22"/>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13D</w:t>
      </w:r>
    </w:p>
    <w:p>
      <w:pPr>
        <w:spacing w:after="0" w:line="299" w:lineRule="exact"/>
        <w:rPr>
          <w:sz w:val="20"/>
          <w:szCs w:val="20"/>
          <w:color w:val="auto"/>
        </w:rPr>
      </w:pPr>
    </w:p>
    <w:p>
      <w:pPr>
        <w:ind w:left="40"/>
        <w:spacing w:after="0"/>
        <w:tabs>
          <w:tab w:leader="none" w:pos="960" w:val="left"/>
        </w:tabs>
        <w:rPr>
          <w:sz w:val="20"/>
          <w:szCs w:val="20"/>
          <w:color w:val="auto"/>
        </w:rPr>
      </w:pPr>
      <w:r>
        <w:rPr>
          <w:rFonts w:ascii="Times New Roman" w:cs="Times New Roman" w:eastAsia="Times New Roman" w:hAnsi="Times New Roman"/>
          <w:sz w:val="22"/>
          <w:szCs w:val="22"/>
          <w:color w:val="auto"/>
        </w:rPr>
        <w:t>Item 1.</w:t>
      </w:r>
      <w:r>
        <w:rPr>
          <w:sz w:val="20"/>
          <w:szCs w:val="20"/>
          <w:color w:val="auto"/>
        </w:rPr>
        <w:tab/>
      </w:r>
      <w:r>
        <w:rPr>
          <w:rFonts w:ascii="Times New Roman" w:cs="Times New Roman" w:eastAsia="Times New Roman" w:hAnsi="Times New Roman"/>
          <w:sz w:val="21"/>
          <w:szCs w:val="21"/>
          <w:color w:val="auto"/>
        </w:rPr>
        <w:t>Security and Issuer</w:t>
      </w:r>
    </w:p>
    <w:p>
      <w:pPr>
        <w:spacing w:after="0" w:line="44"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w:t>
      </w:r>
    </w:p>
    <w:p>
      <w:pPr>
        <w:ind w:left="980"/>
        <w:spacing w:after="0"/>
        <w:rPr>
          <w:sz w:val="20"/>
          <w:szCs w:val="20"/>
          <w:color w:val="auto"/>
        </w:rPr>
      </w:pPr>
      <w:r>
        <w:rPr>
          <w:rFonts w:ascii="Times New Roman" w:cs="Times New Roman" w:eastAsia="Times New Roman" w:hAnsi="Times New Roman"/>
          <w:sz w:val="22"/>
          <w:szCs w:val="22"/>
          <w:color w:val="auto"/>
        </w:rPr>
        <w:t>Common Stock, $0.001 par value per share</w:t>
      </w:r>
    </w:p>
    <w:p>
      <w:pPr>
        <w:spacing w:after="0" w:line="20"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2"/>
          <w:szCs w:val="22"/>
          <w:color w:val="auto"/>
        </w:rPr>
        <w:t>Name of Issuer: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w:t>
      </w:r>
    </w:p>
    <w:p>
      <w:pPr>
        <w:ind w:left="980"/>
        <w:spacing w:after="0"/>
        <w:rPr>
          <w:sz w:val="20"/>
          <w:szCs w:val="20"/>
          <w:color w:val="auto"/>
        </w:rPr>
      </w:pPr>
      <w:r>
        <w:rPr>
          <w:rFonts w:ascii="Times New Roman" w:cs="Times New Roman" w:eastAsia="Times New Roman" w:hAnsi="Times New Roman"/>
          <w:sz w:val="22"/>
          <w:szCs w:val="22"/>
          <w:color w:val="auto"/>
        </w:rPr>
        <w:t>Red Violet, Inc.</w:t>
      </w:r>
    </w:p>
    <w:p>
      <w:pPr>
        <w:spacing w:after="0" w:line="20"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w:t>
      </w:r>
    </w:p>
    <w:p>
      <w:pPr>
        <w:ind w:left="980"/>
        <w:spacing w:after="0"/>
        <w:rPr>
          <w:sz w:val="20"/>
          <w:szCs w:val="20"/>
          <w:color w:val="auto"/>
        </w:rPr>
      </w:pPr>
      <w:r>
        <w:rPr>
          <w:rFonts w:ascii="Times New Roman" w:cs="Times New Roman" w:eastAsia="Times New Roman" w:hAnsi="Times New Roman"/>
          <w:sz w:val="22"/>
          <w:szCs w:val="22"/>
          <w:color w:val="auto"/>
        </w:rPr>
        <w:t>2650 North Military Trail, Suite 300, Boca Raton, FLORIDA , 33431.</w:t>
      </w:r>
    </w:p>
    <w:p>
      <w:pPr>
        <w:spacing w:after="0" w:line="20" w:lineRule="exact"/>
        <w:rPr>
          <w:sz w:val="20"/>
          <w:szCs w:val="20"/>
          <w:color w:val="auto"/>
        </w:rPr>
      </w:pPr>
    </w:p>
    <w:p>
      <w:pPr>
        <w:ind w:left="40"/>
        <w:spacing w:after="0"/>
        <w:tabs>
          <w:tab w:leader="none" w:pos="960" w:val="left"/>
        </w:tabs>
        <w:rPr>
          <w:sz w:val="20"/>
          <w:szCs w:val="20"/>
          <w:color w:val="auto"/>
        </w:rPr>
      </w:pPr>
      <w:r>
        <w:rPr>
          <w:rFonts w:ascii="Times New Roman" w:cs="Times New Roman" w:eastAsia="Times New Roman" w:hAnsi="Times New Roman"/>
          <w:sz w:val="22"/>
          <w:szCs w:val="22"/>
          <w:color w:val="auto"/>
        </w:rPr>
        <w:t>Item 2.</w:t>
      </w:r>
      <w:r>
        <w:rPr>
          <w:sz w:val="20"/>
          <w:szCs w:val="20"/>
          <w:color w:val="auto"/>
        </w:rPr>
        <w:tab/>
      </w:r>
      <w:r>
        <w:rPr>
          <w:rFonts w:ascii="Times New Roman" w:cs="Times New Roman" w:eastAsia="Times New Roman" w:hAnsi="Times New Roman"/>
          <w:sz w:val="21"/>
          <w:szCs w:val="21"/>
          <w:color w:val="auto"/>
        </w:rPr>
        <w:t>Identity and Background</w:t>
      </w:r>
    </w:p>
    <w:p>
      <w:pPr>
        <w:spacing w:after="0" w:line="71" w:lineRule="exact"/>
        <w:rPr>
          <w:sz w:val="20"/>
          <w:szCs w:val="20"/>
          <w:color w:val="auto"/>
        </w:rPr>
      </w:pPr>
    </w:p>
    <w:p>
      <w:pPr>
        <w:ind w:left="980" w:right="280"/>
        <w:spacing w:after="0" w:line="253" w:lineRule="auto"/>
        <w:rPr>
          <w:sz w:val="20"/>
          <w:szCs w:val="20"/>
          <w:color w:val="auto"/>
        </w:rPr>
      </w:pPr>
      <w:r>
        <w:rPr>
          <w:rFonts w:ascii="Times New Roman" w:cs="Times New Roman" w:eastAsia="Times New Roman" w:hAnsi="Times New Roman"/>
          <w:sz w:val="21"/>
          <w:szCs w:val="21"/>
          <w:color w:val="auto"/>
        </w:rPr>
        <w:t>(1) Derek Dubner, the Company's Chief Executive Officer and Chairman of the Board of Directors of the Company ("Mr. Dubner"); (2) Daniel MacLachlan, the Company's Chief Financial Officer ("Mr. MacLachlan"); (3) James</w:t>
      </w:r>
    </w:p>
    <w:p>
      <w:pPr>
        <w:ind w:left="980" w:right="280" w:hanging="932"/>
        <w:spacing w:after="0" w:line="235" w:lineRule="auto"/>
        <w:tabs>
          <w:tab w:leader="none" w:pos="980" w:val="left"/>
        </w:tabs>
        <w:numPr>
          <w:ilvl w:val="0"/>
          <w:numId w:val="1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Patrick Reilly, the Company's President ("Mr. Reilly"); and (4) Jeffrey Alan Dell, the Company's Chief Information Officer ("Mr. Dell" and, collectively with each of the other persons named in response to this Item 2(a), the "Reporting Persons").</w:t>
      </w:r>
    </w:p>
    <w:p>
      <w:pPr>
        <w:spacing w:after="0" w:line="15" w:lineRule="exact"/>
        <w:rPr>
          <w:rFonts w:ascii="Times New Roman" w:cs="Times New Roman" w:eastAsia="Times New Roman" w:hAnsi="Times New Roman"/>
          <w:sz w:val="22"/>
          <w:szCs w:val="22"/>
          <w:color w:val="auto"/>
        </w:rPr>
      </w:pPr>
    </w:p>
    <w:p>
      <w:pPr>
        <w:ind w:left="980" w:right="440" w:hanging="932"/>
        <w:spacing w:after="0" w:line="280" w:lineRule="auto"/>
        <w:tabs>
          <w:tab w:leader="none" w:pos="980" w:val="left"/>
        </w:tabs>
        <w:numPr>
          <w:ilvl w:val="0"/>
          <w:numId w:val="1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address of each of the Reporting Persons is 2650 North Military Trail, Suite 300, Boca Raton, Florida 33431. Mr. Dubner serves as the Company's Chief Executive Officer and Chairman of the Board of Directors of the</w:t>
      </w:r>
    </w:p>
    <w:p>
      <w:pPr>
        <w:ind w:left="980" w:right="520" w:hanging="932"/>
        <w:spacing w:after="0" w:line="237" w:lineRule="auto"/>
        <w:tabs>
          <w:tab w:leader="none" w:pos="980" w:val="left"/>
        </w:tabs>
        <w:numPr>
          <w:ilvl w:val="0"/>
          <w:numId w:val="1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Company. Mr. MacLachlan serves as the Company's Chief Financial Officer. Mr. Reilly serves as the Company's President. Mr. Dell serves as the Company's Chief Information Officer.</w:t>
      </w:r>
    </w:p>
    <w:p>
      <w:pPr>
        <w:spacing w:after="0" w:line="16" w:lineRule="exact"/>
        <w:rPr>
          <w:rFonts w:ascii="Times New Roman" w:cs="Times New Roman" w:eastAsia="Times New Roman" w:hAnsi="Times New Roman"/>
          <w:sz w:val="22"/>
          <w:szCs w:val="22"/>
          <w:color w:val="auto"/>
        </w:rPr>
      </w:pPr>
    </w:p>
    <w:p>
      <w:pPr>
        <w:ind w:left="980" w:right="520" w:hanging="932"/>
        <w:spacing w:after="0" w:line="185" w:lineRule="auto"/>
        <w:tabs>
          <w:tab w:leader="none" w:pos="980" w:val="left"/>
        </w:tabs>
        <w:numPr>
          <w:ilvl w:val="0"/>
          <w:numId w:val="11"/>
        </w:numPr>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20"/>
          <w:szCs w:val="20"/>
          <w:color w:val="auto"/>
        </w:rPr>
        <w:t>During the last five years, none of the Reporting Persons has been convicted in a criminal proceeding (excluding traffic violations or similar misdemeanors).</w:t>
      </w:r>
    </w:p>
    <w:p>
      <w:pPr>
        <w:spacing w:after="0" w:line="17" w:lineRule="exact"/>
        <w:rPr>
          <w:rFonts w:ascii="Times New Roman" w:cs="Times New Roman" w:eastAsia="Times New Roman" w:hAnsi="Times New Roman"/>
          <w:sz w:val="39"/>
          <w:szCs w:val="39"/>
          <w:color w:val="auto"/>
          <w:vertAlign w:val="subscript"/>
        </w:rPr>
      </w:pPr>
    </w:p>
    <w:p>
      <w:pPr>
        <w:ind w:left="980"/>
        <w:spacing w:after="0"/>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22"/>
          <w:szCs w:val="22"/>
          <w:color w:val="auto"/>
        </w:rPr>
        <w:t>During the last five years, none of the Reporting Persons has been a party to a civil proceeding of a judicial or</w:t>
      </w:r>
    </w:p>
    <w:p>
      <w:pPr>
        <w:spacing w:after="0" w:line="14" w:lineRule="exact"/>
        <w:rPr>
          <w:rFonts w:ascii="Times New Roman" w:cs="Times New Roman" w:eastAsia="Times New Roman" w:hAnsi="Times New Roman"/>
          <w:sz w:val="39"/>
          <w:szCs w:val="39"/>
          <w:color w:val="auto"/>
          <w:vertAlign w:val="subscript"/>
        </w:rPr>
      </w:pPr>
    </w:p>
    <w:p>
      <w:pPr>
        <w:ind w:left="980" w:right="300" w:hanging="932"/>
        <w:spacing w:after="0" w:line="184" w:lineRule="auto"/>
        <w:tabs>
          <w:tab w:leader="none" w:pos="980" w:val="left"/>
        </w:tabs>
        <w:numPr>
          <w:ilvl w:val="0"/>
          <w:numId w:val="11"/>
        </w:numPr>
        <w:rPr>
          <w:rFonts w:ascii="Times New Roman" w:cs="Times New Roman" w:eastAsia="Times New Roman" w:hAnsi="Times New Roman"/>
          <w:sz w:val="42"/>
          <w:szCs w:val="42"/>
          <w:color w:val="auto"/>
          <w:vertAlign w:val="subscript"/>
        </w:rPr>
      </w:pPr>
      <w:r>
        <w:rPr>
          <w:rFonts w:ascii="Times New Roman" w:cs="Times New Roman" w:eastAsia="Times New Roman" w:hAnsi="Times New Roman"/>
          <w:sz w:val="21"/>
          <w:szCs w:val="21"/>
          <w:color w:val="auto"/>
        </w:rPr>
        <w:t>administrative body of competent jurisdiction and as a result of such proceeding was or is subject to a judgment, decree or final order enjoining future violations of, or prohibiting or mandating activities subject to, federal or state securities laws or finding any violation with respect to such laws.</w:t>
      </w:r>
    </w:p>
    <w:p>
      <w:pPr>
        <w:spacing w:after="0" w:line="18" w:lineRule="exact"/>
        <w:rPr>
          <w:rFonts w:ascii="Times New Roman" w:cs="Times New Roman" w:eastAsia="Times New Roman" w:hAnsi="Times New Roman"/>
          <w:sz w:val="42"/>
          <w:szCs w:val="42"/>
          <w:color w:val="auto"/>
          <w:vertAlign w:val="subscript"/>
        </w:rPr>
      </w:pPr>
    </w:p>
    <w:p>
      <w:pPr>
        <w:ind w:left="980" w:hanging="932"/>
        <w:spacing w:after="0"/>
        <w:tabs>
          <w:tab w:leader="none" w:pos="980" w:val="left"/>
        </w:tabs>
        <w:numPr>
          <w:ilvl w:val="0"/>
          <w:numId w:val="1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Each of Messrs. Dubner, MacLachlan, Reilly and Dell is a citizen of the United States.</w:t>
      </w:r>
    </w:p>
    <w:p>
      <w:pPr>
        <w:spacing w:after="0" w:line="44" w:lineRule="exact"/>
        <w:rPr>
          <w:sz w:val="20"/>
          <w:szCs w:val="20"/>
          <w:color w:val="auto"/>
        </w:rPr>
      </w:pPr>
    </w:p>
    <w:p>
      <w:pPr>
        <w:ind w:left="40"/>
        <w:spacing w:after="0"/>
        <w:tabs>
          <w:tab w:leader="none" w:pos="960" w:val="left"/>
        </w:tabs>
        <w:rPr>
          <w:sz w:val="20"/>
          <w:szCs w:val="20"/>
          <w:color w:val="auto"/>
        </w:rPr>
      </w:pPr>
      <w:r>
        <w:rPr>
          <w:rFonts w:ascii="Times New Roman" w:cs="Times New Roman" w:eastAsia="Times New Roman" w:hAnsi="Times New Roman"/>
          <w:sz w:val="22"/>
          <w:szCs w:val="22"/>
          <w:color w:val="auto"/>
        </w:rPr>
        <w:t>Item 3.</w:t>
      </w:r>
      <w:r>
        <w:rPr>
          <w:sz w:val="20"/>
          <w:szCs w:val="20"/>
          <w:color w:val="auto"/>
        </w:rPr>
        <w:tab/>
      </w:r>
      <w:r>
        <w:rPr>
          <w:rFonts w:ascii="Times New Roman" w:cs="Times New Roman" w:eastAsia="Times New Roman" w:hAnsi="Times New Roman"/>
          <w:sz w:val="21"/>
          <w:szCs w:val="21"/>
          <w:color w:val="auto"/>
        </w:rPr>
        <w:t>Source and Amount of Funds or Other Consideration</w:t>
      </w:r>
    </w:p>
    <w:p>
      <w:pPr>
        <w:spacing w:after="0" w:line="44" w:lineRule="exact"/>
        <w:rPr>
          <w:sz w:val="20"/>
          <w:szCs w:val="20"/>
          <w:color w:val="auto"/>
        </w:rPr>
      </w:pPr>
    </w:p>
    <w:p>
      <w:pPr>
        <w:ind w:left="980" w:right="80"/>
        <w:spacing w:after="0" w:line="239" w:lineRule="auto"/>
        <w:rPr>
          <w:sz w:val="20"/>
          <w:szCs w:val="20"/>
          <w:color w:val="auto"/>
        </w:rPr>
      </w:pPr>
      <w:r>
        <w:rPr>
          <w:rFonts w:ascii="Times New Roman" w:cs="Times New Roman" w:eastAsia="Times New Roman" w:hAnsi="Times New Roman"/>
          <w:sz w:val="22"/>
          <w:szCs w:val="22"/>
          <w:color w:val="auto"/>
        </w:rPr>
        <w:t>The shares of Common Stock reported herein as beneficially owned by each Reporting Person and for which he holds sole voting and dispositive power were acquired upon the vesting of restricted stock units ("RSUs") granted by the Company to each such individual in consideration for his service as an employee of the Company or through purchases of shares of Common Stock in the open market from third parties through a broker.</w:t>
      </w:r>
    </w:p>
    <w:p>
      <w:pPr>
        <w:spacing w:after="0" w:line="18" w:lineRule="exact"/>
        <w:rPr>
          <w:sz w:val="20"/>
          <w:szCs w:val="20"/>
          <w:color w:val="auto"/>
        </w:rPr>
      </w:pPr>
    </w:p>
    <w:p>
      <w:pPr>
        <w:ind w:left="40"/>
        <w:spacing w:after="0"/>
        <w:tabs>
          <w:tab w:leader="none" w:pos="96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Purpose of Transaction</w:t>
      </w:r>
    </w:p>
    <w:p>
      <w:pPr>
        <w:spacing w:after="0" w:line="44" w:lineRule="exact"/>
        <w:rPr>
          <w:sz w:val="20"/>
          <w:szCs w:val="20"/>
          <w:color w:val="auto"/>
        </w:rPr>
      </w:pPr>
    </w:p>
    <w:p>
      <w:pPr>
        <w:ind w:left="980" w:right="60"/>
        <w:spacing w:after="0" w:line="235" w:lineRule="auto"/>
        <w:rPr>
          <w:sz w:val="20"/>
          <w:szCs w:val="20"/>
          <w:color w:val="auto"/>
        </w:rPr>
      </w:pPr>
      <w:r>
        <w:rPr>
          <w:rFonts w:ascii="Times New Roman" w:cs="Times New Roman" w:eastAsia="Times New Roman" w:hAnsi="Times New Roman"/>
          <w:sz w:val="22"/>
          <w:szCs w:val="22"/>
          <w:color w:val="auto"/>
        </w:rPr>
        <w:t>The Reporting Persons mutually agreed that (i) Messrs. Dubner, MacLachlan and Reilly would each sell 12,000 shares of Common Stock and (ii) Mr. Dell would sell 10,000 shares of Common Stock on the same date and for the same price, for an aggregate amount of 46,000 shares of Common Stock for tax and estate planning purposes. Additionally, each of the Reporting Persons may be awarded additional equity in consideration for their service as executive officers of the Company as described in Item 2 herein. The Reporting Persons have no present plans or proposals which would result in, or are related to, any of the transactions described in subparagraphs (a) through (j) of Item 4 under Schedule 13D.</w:t>
      </w:r>
    </w:p>
    <w:p>
      <w:pPr>
        <w:spacing w:after="0" w:line="21" w:lineRule="exact"/>
        <w:rPr>
          <w:sz w:val="20"/>
          <w:szCs w:val="20"/>
          <w:color w:val="auto"/>
        </w:rPr>
      </w:pPr>
    </w:p>
    <w:p>
      <w:pPr>
        <w:ind w:left="40"/>
        <w:spacing w:after="0"/>
        <w:tabs>
          <w:tab w:leader="none" w:pos="960" w:val="left"/>
        </w:tabs>
        <w:rPr>
          <w:sz w:val="20"/>
          <w:szCs w:val="20"/>
          <w:color w:val="auto"/>
        </w:rPr>
      </w:pPr>
      <w:r>
        <w:rPr>
          <w:rFonts w:ascii="Times New Roman" w:cs="Times New Roman" w:eastAsia="Times New Roman" w:hAnsi="Times New Roman"/>
          <w:sz w:val="22"/>
          <w:szCs w:val="22"/>
          <w:color w:val="auto"/>
        </w:rPr>
        <w:t>Item 5.</w:t>
      </w:r>
      <w:r>
        <w:rPr>
          <w:sz w:val="20"/>
          <w:szCs w:val="20"/>
          <w:color w:val="auto"/>
        </w:rPr>
        <w:tab/>
      </w:r>
      <w:r>
        <w:rPr>
          <w:rFonts w:ascii="Times New Roman" w:cs="Times New Roman" w:eastAsia="Times New Roman" w:hAnsi="Times New Roman"/>
          <w:sz w:val="21"/>
          <w:szCs w:val="21"/>
          <w:color w:val="auto"/>
        </w:rPr>
        <w:t>Interest in Securities of the Issuer</w:t>
      </w:r>
    </w:p>
    <w:p>
      <w:pPr>
        <w:spacing w:after="0" w:line="44" w:lineRule="exact"/>
        <w:rPr>
          <w:sz w:val="20"/>
          <w:szCs w:val="20"/>
          <w:color w:val="auto"/>
        </w:rPr>
      </w:pPr>
    </w:p>
    <w:p>
      <w:pPr>
        <w:ind w:left="980" w:right="120" w:hanging="932"/>
        <w:spacing w:after="0" w:line="249" w:lineRule="auto"/>
        <w:tabs>
          <w:tab w:leader="none" w:pos="980" w:val="left"/>
        </w:tabs>
        <w:numPr>
          <w:ilvl w:val="0"/>
          <w:numId w:val="1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information contained in rows 7, 8, 9, 10, 11 and 13 on the cover page of this Schedule 13D (including footnotes thereto) is incorporated herein by reference. As of the date of this filing, the Reporting Persons together, beneficially own 8.2% of the shares of Common Stock outstanding as of April 30, 2026, as reported on the Quarterly Report on Form 10-Q filed by Red Violet, Inc. with the SEC on May 6, 2026, and individually as follows: (1) Mr. Dubner beneficially owns an aggregate of 516,420 shares of Common Stock, or 3.7%. (2) Mr. MacLachlan beneficially owns an aggregate of 318,049 shares of Common Stock, or 2.3%. (3) Mr. Reilly beneficially owns an aggregate of 191,498</w:t>
      </w:r>
    </w:p>
    <w:p>
      <w:pPr>
        <w:sectPr>
          <w:pgSz w:w="11900" w:h="16838" w:orient="portrait"/>
          <w:cols w:equalWidth="0" w:num="1">
            <w:col w:w="11240"/>
          </w:cols>
          <w:pgMar w:left="320" w:top="112" w:right="339" w:bottom="0" w:gutter="0" w:footer="0" w:header="0"/>
        </w:sectPr>
      </w:pPr>
    </w:p>
    <w:bookmarkStart w:id="5" w:name="page6"/>
    <w:bookmarkEnd w:id="5"/>
    <w:p>
      <w:pPr>
        <w:ind w:left="940" w:right="20"/>
        <w:spacing w:after="0" w:line="247" w:lineRule="auto"/>
        <w:rPr>
          <w:sz w:val="20"/>
          <w:szCs w:val="20"/>
          <w:color w:val="auto"/>
        </w:rPr>
      </w:pPr>
      <w:r>
        <w:rPr>
          <w:rFonts w:ascii="Times New Roman" w:cs="Times New Roman" w:eastAsia="Times New Roman" w:hAnsi="Times New Roman"/>
          <w:sz w:val="21"/>
          <w:szCs w:val="21"/>
          <w:color w:val="auto"/>
        </w:rPr>
        <w:t>shares of Common Stock, or 1.4%. (4) Mr. Dell beneficially owns an aggregate of 126,249 shares of Common Stock, or 0.9%. As of the date of this filing, the Reporting Persons comprise a group within the meaning of Section 13 (d)(3) of the Act, and beneficially own the shares of Common Stock as set forth next to their names: Shareholder Name: Derek Dubner No. of Shares Beneficially Owned (1) 516,420 Percentage Ownership 3.7% (2) Sole Voting Power</w:t>
      </w:r>
    </w:p>
    <w:p>
      <w:pPr>
        <w:spacing w:after="0" w:line="2" w:lineRule="exact"/>
        <w:rPr>
          <w:sz w:val="20"/>
          <w:szCs w:val="20"/>
          <w:color w:val="auto"/>
        </w:rPr>
      </w:pPr>
    </w:p>
    <w:p>
      <w:pPr>
        <w:ind w:left="940" w:right="80"/>
        <w:spacing w:after="0" w:line="231" w:lineRule="auto"/>
        <w:rPr>
          <w:sz w:val="20"/>
          <w:szCs w:val="20"/>
          <w:color w:val="auto"/>
        </w:rPr>
      </w:pPr>
      <w:r>
        <w:rPr>
          <w:rFonts w:ascii="Times New Roman" w:cs="Times New Roman" w:eastAsia="Times New Roman" w:hAnsi="Times New Roman"/>
          <w:sz w:val="22"/>
          <w:szCs w:val="22"/>
          <w:color w:val="auto"/>
        </w:rPr>
        <w:t>516,420 Shared Voting Power 0 Sole Dispositive Power 516,420 Shared Dispositive Power 0 Shareholder Name: Daniel MacLachlan No. of Shares Beneficially Owned (1) 318,049 Percentage Ownership 2.3% (2) Sole Voting Power 318,049 Shared Voting Power 0 Sole Dispositive Power 318,049 Shared Dispositive Power 0 Shareholder Name: James Patrick Reilly No. of Shares Beneficially Owned (1) 191,498 Percentage Ownership 1.4% (2) Sole Voting Power 191,498 Shared Voting Power 0 Sole Dispositive Power 191,498 Shared Dispositive Power 0 Shareholder Name: Jeffrey Alan Dell No. of Shares Beneficially Owned (1) 126,249 Percentage Ownership 0.9% (2) Sole Voting Power 126,249 Shared Voting Power 0 Sole Dispositive Power 126,249 Shared Dispositive Power 0 (1) Each Reporting Person expressly disclaims beneficial ownership of the shares of Common Stock beneficially owned by the other Reporting Persons. No Reporting Person is responsible for the completeness and accuracy of the information concerning any other Reporting Person. (2) The beneficial ownership percentage used in this Schedule 13D is calculated based upon a total of 14,108,921 shares of common stock of Red Violet, Inc. outstanding as of April 30, 2026, as reported on the Quarterly Report on Form 10-Q filed by Red Violet, Inc. with the SEC on May 6, 2026.</w:t>
      </w:r>
    </w:p>
    <w:p>
      <w:pPr>
        <w:spacing w:after="0" w:line="24" w:lineRule="exact"/>
        <w:rPr>
          <w:sz w:val="20"/>
          <w:szCs w:val="20"/>
          <w:color w:val="auto"/>
        </w:rPr>
      </w:pPr>
    </w:p>
    <w:p>
      <w:pPr>
        <w:ind w:left="940" w:right="160" w:hanging="932"/>
        <w:spacing w:after="0" w:line="185" w:lineRule="auto"/>
        <w:tabs>
          <w:tab w:leader="none" w:pos="940" w:val="left"/>
        </w:tabs>
        <w:numPr>
          <w:ilvl w:val="0"/>
          <w:numId w:val="13"/>
        </w:numPr>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20"/>
          <w:szCs w:val="20"/>
          <w:color w:val="auto"/>
        </w:rPr>
        <w:t>The persons named in response to Item 5(a) above have the sole voting power, shared voting power, sole dispositive power, and shared dispositive power with respect to the Common Stock as set forth in Item 5(a).</w:t>
      </w:r>
    </w:p>
    <w:p>
      <w:pPr>
        <w:spacing w:after="0" w:line="17" w:lineRule="exact"/>
        <w:rPr>
          <w:rFonts w:ascii="Times New Roman" w:cs="Times New Roman" w:eastAsia="Times New Roman" w:hAnsi="Times New Roman"/>
          <w:sz w:val="39"/>
          <w:szCs w:val="39"/>
          <w:color w:val="auto"/>
          <w:vertAlign w:val="subscript"/>
        </w:rPr>
      </w:pPr>
    </w:p>
    <w:p>
      <w:pPr>
        <w:ind w:left="940" w:hanging="932"/>
        <w:spacing w:after="0"/>
        <w:tabs>
          <w:tab w:leader="none" w:pos="940" w:val="left"/>
        </w:tabs>
        <w:numPr>
          <w:ilvl w:val="0"/>
          <w:numId w:val="1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During the past 60 days, the Reporting Persons have not effected any transactions of shares of common stock.</w:t>
      </w:r>
    </w:p>
    <w:p>
      <w:pPr>
        <w:spacing w:after="0" w:line="44" w:lineRule="exact"/>
        <w:rPr>
          <w:rFonts w:ascii="Times New Roman" w:cs="Times New Roman" w:eastAsia="Times New Roman" w:hAnsi="Times New Roman"/>
          <w:sz w:val="22"/>
          <w:szCs w:val="22"/>
          <w:color w:val="auto"/>
        </w:rPr>
      </w:pPr>
    </w:p>
    <w:p>
      <w:pPr>
        <w:ind w:left="94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1"/>
          <w:szCs w:val="21"/>
          <w:color w:val="auto"/>
        </w:rPr>
        <w:t>To the best knowledge of each Reporting Person, no one other than the Reporting Person is known to have the right to</w:t>
      </w:r>
    </w:p>
    <w:p>
      <w:pPr>
        <w:spacing w:after="0" w:line="25" w:lineRule="exact"/>
        <w:rPr>
          <w:rFonts w:ascii="Times New Roman" w:cs="Times New Roman" w:eastAsia="Times New Roman" w:hAnsi="Times New Roman"/>
          <w:sz w:val="22"/>
          <w:szCs w:val="22"/>
          <w:color w:val="auto"/>
        </w:rPr>
      </w:pPr>
    </w:p>
    <w:p>
      <w:pPr>
        <w:ind w:left="940" w:right="200" w:hanging="932"/>
        <w:spacing w:after="0" w:line="237" w:lineRule="auto"/>
        <w:tabs>
          <w:tab w:leader="none" w:pos="940" w:val="left"/>
        </w:tabs>
        <w:numPr>
          <w:ilvl w:val="0"/>
          <w:numId w:val="1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receive or the power to direct the receipt of dividends from, or the proceeds from the sale of, the shares of Common Stock reported herein as beneficially owned by such Reporting Person.</w:t>
      </w:r>
    </w:p>
    <w:p>
      <w:pPr>
        <w:spacing w:after="0" w:line="16" w:lineRule="exact"/>
        <w:rPr>
          <w:rFonts w:ascii="Times New Roman" w:cs="Times New Roman" w:eastAsia="Times New Roman" w:hAnsi="Times New Roman"/>
          <w:sz w:val="22"/>
          <w:szCs w:val="22"/>
          <w:color w:val="auto"/>
        </w:rPr>
      </w:pPr>
    </w:p>
    <w:p>
      <w:pPr>
        <w:ind w:left="940" w:hanging="932"/>
        <w:spacing w:after="0"/>
        <w:tabs>
          <w:tab w:leader="none" w:pos="940" w:val="left"/>
        </w:tabs>
        <w:numPr>
          <w:ilvl w:val="0"/>
          <w:numId w:val="1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22"/>
          <w:szCs w:val="22"/>
          <w:color w:val="auto"/>
        </w:rPr>
        <w:t>Item 6.</w:t>
      </w:r>
      <w:r>
        <w:rPr>
          <w:sz w:val="20"/>
          <w:szCs w:val="20"/>
          <w:color w:val="auto"/>
        </w:rPr>
        <w:tab/>
      </w:r>
      <w:r>
        <w:rPr>
          <w:rFonts w:ascii="Times New Roman" w:cs="Times New Roman" w:eastAsia="Times New Roman" w:hAnsi="Times New Roman"/>
          <w:sz w:val="21"/>
          <w:szCs w:val="21"/>
          <w:color w:val="auto"/>
        </w:rPr>
        <w:t>Contracts, Arrangements, Understandings or Relationships With Respect to Securities of the Issuer</w:t>
      </w:r>
    </w:p>
    <w:p>
      <w:pPr>
        <w:spacing w:after="0" w:line="44" w:lineRule="exact"/>
        <w:rPr>
          <w:sz w:val="20"/>
          <w:szCs w:val="20"/>
          <w:color w:val="auto"/>
        </w:rPr>
      </w:pPr>
    </w:p>
    <w:p>
      <w:pPr>
        <w:ind w:left="940" w:right="40"/>
        <w:spacing w:after="0" w:line="235" w:lineRule="auto"/>
        <w:rPr>
          <w:sz w:val="20"/>
          <w:szCs w:val="20"/>
          <w:color w:val="auto"/>
        </w:rPr>
      </w:pPr>
      <w:r>
        <w:rPr>
          <w:rFonts w:ascii="Times New Roman" w:cs="Times New Roman" w:eastAsia="Times New Roman" w:hAnsi="Times New Roman"/>
          <w:sz w:val="22"/>
          <w:szCs w:val="22"/>
          <w:color w:val="auto"/>
        </w:rPr>
        <w:t>The responses to Items 3 and 4 are incorporated herein by reference. Other than as disclosed in this Item 6, there are no other contracts, arrangements, understandings or relationships between the Reporting Persons and any person with respect to securities of the Company. The Reporting Persons have an informal oral agreement to act as a group for purposes of Regulation 13D solely with respect to the Common Stock of the Company. Except as otherwise set forth in this statement, the Reporting Persons expressly disclaim beneficial ownership of any of the shares of Common Stock, and the filing of this statement shall not be construed as an admission that, for the purposes of Sections 13(d) and 13(g) or under any provision of the Exchange Act or the rules promulgated thereunder or for any other purpose, any Reporting Person is a beneficial owner of any such shares.</w:t>
      </w:r>
    </w:p>
    <w:p>
      <w:pPr>
        <w:spacing w:after="0" w:line="16"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22"/>
          <w:szCs w:val="22"/>
          <w:color w:val="auto"/>
        </w:rPr>
        <w:t>Item 7.</w:t>
      </w:r>
      <w:r>
        <w:rPr>
          <w:sz w:val="20"/>
          <w:szCs w:val="20"/>
          <w:color w:val="auto"/>
        </w:rPr>
        <w:tab/>
      </w:r>
      <w:r>
        <w:rPr>
          <w:rFonts w:ascii="Times New Roman" w:cs="Times New Roman" w:eastAsia="Times New Roman" w:hAnsi="Times New Roman"/>
          <w:sz w:val="21"/>
          <w:szCs w:val="21"/>
          <w:color w:val="auto"/>
        </w:rPr>
        <w:t>Material to be Filed as Exhibits.</w:t>
      </w:r>
    </w:p>
    <w:p>
      <w:pPr>
        <w:spacing w:after="0" w:line="44"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48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22"/>
          <w:szCs w:val="22"/>
          <w:color w:val="auto"/>
        </w:rPr>
        <w:t>Dubner Derek</w:t>
      </w:r>
    </w:p>
    <w:p>
      <w:pPr>
        <w:spacing w:after="0" w:line="152" w:lineRule="exact"/>
        <w:rPr>
          <w:sz w:val="20"/>
          <w:szCs w:val="20"/>
          <w:color w:val="auto"/>
        </w:rPr>
      </w:pPr>
    </w:p>
    <w:p>
      <w:pPr>
        <w:ind w:left="2780"/>
        <w:spacing w:after="0"/>
        <w:tabs>
          <w:tab w:leader="none" w:pos="38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Derek Dubner</w:t>
      </w:r>
    </w:p>
    <w:p>
      <w:pPr>
        <w:spacing w:after="0" w:line="44"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color w:val="auto"/>
        </w:rPr>
        <w:t>Name/Title: Derek Dubner</w:t>
      </w:r>
    </w:p>
    <w:p>
      <w:pPr>
        <w:spacing w:after="0" w:line="44" w:lineRule="exact"/>
        <w:rPr>
          <w:sz w:val="20"/>
          <w:szCs w:val="20"/>
          <w:color w:val="auto"/>
        </w:rPr>
      </w:pPr>
    </w:p>
    <w:p>
      <w:pPr>
        <w:ind w:left="2780"/>
        <w:spacing w:after="0"/>
        <w:tabs>
          <w:tab w:leader="none" w:pos="384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06/01/2026</w:t>
      </w:r>
    </w:p>
    <w:p>
      <w:pPr>
        <w:spacing w:after="0" w:line="152" w:lineRule="exact"/>
        <w:rPr>
          <w:sz w:val="20"/>
          <w:szCs w:val="20"/>
          <w:color w:val="auto"/>
        </w:rPr>
      </w:pPr>
    </w:p>
    <w:p>
      <w:pPr>
        <w:ind w:left="1900"/>
        <w:spacing w:after="0"/>
        <w:rPr>
          <w:sz w:val="20"/>
          <w:szCs w:val="20"/>
          <w:color w:val="auto"/>
        </w:rPr>
      </w:pPr>
      <w:r>
        <w:rPr>
          <w:rFonts w:ascii="Times New Roman" w:cs="Times New Roman" w:eastAsia="Times New Roman" w:hAnsi="Times New Roman"/>
          <w:sz w:val="22"/>
          <w:szCs w:val="22"/>
          <w:color w:val="auto"/>
        </w:rPr>
        <w:t>MacLachlan Daniel</w:t>
      </w:r>
    </w:p>
    <w:p>
      <w:pPr>
        <w:spacing w:after="0" w:line="152" w:lineRule="exact"/>
        <w:rPr>
          <w:sz w:val="20"/>
          <w:szCs w:val="20"/>
          <w:color w:val="auto"/>
        </w:rPr>
      </w:pPr>
    </w:p>
    <w:p>
      <w:pPr>
        <w:ind w:left="3240"/>
        <w:spacing w:after="0"/>
        <w:tabs>
          <w:tab w:leader="none" w:pos="43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Daniel MacLachlan</w:t>
      </w:r>
    </w:p>
    <w:p>
      <w:pPr>
        <w:spacing w:after="0" w:line="44" w:lineRule="exact"/>
        <w:rPr>
          <w:sz w:val="20"/>
          <w:szCs w:val="20"/>
          <w:color w:val="auto"/>
        </w:rPr>
      </w:pPr>
    </w:p>
    <w:p>
      <w:pPr>
        <w:ind w:left="3240"/>
        <w:spacing w:after="0"/>
        <w:rPr>
          <w:sz w:val="20"/>
          <w:szCs w:val="20"/>
          <w:color w:val="auto"/>
        </w:rPr>
      </w:pPr>
      <w:r>
        <w:rPr>
          <w:rFonts w:ascii="Times New Roman" w:cs="Times New Roman" w:eastAsia="Times New Roman" w:hAnsi="Times New Roman"/>
          <w:sz w:val="22"/>
          <w:szCs w:val="22"/>
          <w:color w:val="auto"/>
        </w:rPr>
        <w:t>Name/Title: Daniel MacLachlan</w:t>
      </w:r>
    </w:p>
    <w:p>
      <w:pPr>
        <w:spacing w:after="0" w:line="44" w:lineRule="exact"/>
        <w:rPr>
          <w:sz w:val="20"/>
          <w:szCs w:val="20"/>
          <w:color w:val="auto"/>
        </w:rPr>
      </w:pPr>
    </w:p>
    <w:p>
      <w:pPr>
        <w:ind w:left="3240"/>
        <w:spacing w:after="0"/>
        <w:tabs>
          <w:tab w:leader="none" w:pos="43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06/01/2026</w:t>
      </w:r>
    </w:p>
    <w:p>
      <w:pPr>
        <w:spacing w:after="0" w:line="152"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22"/>
          <w:szCs w:val="22"/>
          <w:color w:val="auto"/>
        </w:rPr>
        <w:t>Reilly James Patrick</w:t>
      </w:r>
    </w:p>
    <w:p>
      <w:pPr>
        <w:spacing w:after="0" w:line="152" w:lineRule="exact"/>
        <w:rPr>
          <w:sz w:val="20"/>
          <w:szCs w:val="20"/>
          <w:color w:val="auto"/>
        </w:rPr>
      </w:pPr>
    </w:p>
    <w:p>
      <w:pPr>
        <w:ind w:left="3320"/>
        <w:spacing w:after="0"/>
        <w:tabs>
          <w:tab w:leader="none" w:pos="438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James Patrick Reilly</w:t>
      </w:r>
    </w:p>
    <w:p>
      <w:pPr>
        <w:spacing w:after="0" w:line="44" w:lineRule="exact"/>
        <w:rPr>
          <w:sz w:val="20"/>
          <w:szCs w:val="20"/>
          <w:color w:val="auto"/>
        </w:rPr>
      </w:pPr>
    </w:p>
    <w:p>
      <w:pPr>
        <w:ind w:left="3320"/>
        <w:spacing w:after="0"/>
        <w:rPr>
          <w:sz w:val="20"/>
          <w:szCs w:val="20"/>
          <w:color w:val="auto"/>
        </w:rPr>
      </w:pPr>
      <w:r>
        <w:rPr>
          <w:rFonts w:ascii="Times New Roman" w:cs="Times New Roman" w:eastAsia="Times New Roman" w:hAnsi="Times New Roman"/>
          <w:sz w:val="22"/>
          <w:szCs w:val="22"/>
          <w:color w:val="auto"/>
        </w:rPr>
        <w:t>Name/Title: James Patrick Reilly</w:t>
      </w:r>
    </w:p>
    <w:p>
      <w:pPr>
        <w:spacing w:after="0" w:line="44" w:lineRule="exact"/>
        <w:rPr>
          <w:sz w:val="20"/>
          <w:szCs w:val="20"/>
          <w:color w:val="auto"/>
        </w:rPr>
      </w:pPr>
    </w:p>
    <w:p>
      <w:pPr>
        <w:ind w:left="3320"/>
        <w:spacing w:after="0"/>
        <w:tabs>
          <w:tab w:leader="none" w:pos="438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06/01/2026</w:t>
      </w:r>
    </w:p>
    <w:p>
      <w:pPr>
        <w:spacing w:after="0" w:line="152" w:lineRule="exact"/>
        <w:rPr>
          <w:sz w:val="20"/>
          <w:szCs w:val="20"/>
          <w:color w:val="auto"/>
        </w:rPr>
      </w:pPr>
    </w:p>
    <w:p>
      <w:pPr>
        <w:ind w:left="1680"/>
        <w:spacing w:after="0"/>
        <w:rPr>
          <w:sz w:val="20"/>
          <w:szCs w:val="20"/>
          <w:color w:val="auto"/>
        </w:rPr>
      </w:pPr>
      <w:r>
        <w:rPr>
          <w:rFonts w:ascii="Times New Roman" w:cs="Times New Roman" w:eastAsia="Times New Roman" w:hAnsi="Times New Roman"/>
          <w:sz w:val="22"/>
          <w:szCs w:val="22"/>
          <w:color w:val="auto"/>
        </w:rPr>
        <w:t>Dell Jeffrey Alan</w:t>
      </w:r>
    </w:p>
    <w:p>
      <w:pPr>
        <w:spacing w:after="0" w:line="152" w:lineRule="exact"/>
        <w:rPr>
          <w:sz w:val="20"/>
          <w:szCs w:val="20"/>
          <w:color w:val="auto"/>
        </w:rPr>
      </w:pPr>
    </w:p>
    <w:p>
      <w:pPr>
        <w:ind w:left="3040"/>
        <w:spacing w:after="0"/>
        <w:tabs>
          <w:tab w:leader="none" w:pos="410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Jeffrey Alan Dell</w:t>
      </w:r>
    </w:p>
    <w:p>
      <w:pPr>
        <w:spacing w:after="0" w:line="44" w:lineRule="exact"/>
        <w:rPr>
          <w:sz w:val="20"/>
          <w:szCs w:val="20"/>
          <w:color w:val="auto"/>
        </w:rPr>
      </w:pPr>
    </w:p>
    <w:p>
      <w:pPr>
        <w:ind w:left="3040"/>
        <w:spacing w:after="0"/>
        <w:rPr>
          <w:sz w:val="20"/>
          <w:szCs w:val="20"/>
          <w:color w:val="auto"/>
        </w:rPr>
      </w:pPr>
      <w:r>
        <w:rPr>
          <w:rFonts w:ascii="Times New Roman" w:cs="Times New Roman" w:eastAsia="Times New Roman" w:hAnsi="Times New Roman"/>
          <w:sz w:val="22"/>
          <w:szCs w:val="22"/>
          <w:color w:val="auto"/>
        </w:rPr>
        <w:t>Name/Title: Jeffrey Alan Dell</w:t>
      </w:r>
    </w:p>
    <w:p>
      <w:pPr>
        <w:spacing w:after="0" w:line="44" w:lineRule="exact"/>
        <w:rPr>
          <w:sz w:val="20"/>
          <w:szCs w:val="20"/>
          <w:color w:val="auto"/>
        </w:rPr>
      </w:pPr>
    </w:p>
    <w:p>
      <w:pPr>
        <w:ind w:left="3040"/>
        <w:spacing w:after="0"/>
        <w:tabs>
          <w:tab w:leader="none" w:pos="410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06/01/2026</w:t>
      </w:r>
    </w:p>
    <w:sectPr>
      <w:pgSz w:w="11900" w:h="16838" w:orient="portrait"/>
      <w:cols w:equalWidth="0" w:num="1">
        <w:col w:w="11140"/>
      </w:cols>
      <w:pgMar w:left="360" w:top="111" w:right="399" w:bottom="289"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41B71EFB"/>
    <w:multiLevelType w:val="hybridMultilevel"/>
    <w:lvl w:ilvl="0">
      <w:lvlJc w:val="left"/>
      <w:lvlText w:val="2"/>
      <w:numFmt w:val="bullet"/>
      <w:start w:val="1"/>
    </w:lvl>
  </w:abstractNum>
  <w:abstractNum w:abstractNumId="1">
    <w:nsid w:val="79E2A9E3"/>
    <w:multiLevelType w:val="hybridMultilevel"/>
    <w:lvl w:ilvl="0">
      <w:lvlJc w:val="left"/>
      <w:lvlText w:val="3"/>
      <w:numFmt w:val="bullet"/>
      <w:start w:val="1"/>
    </w:lvl>
  </w:abstractNum>
  <w:abstractNum w:abstractNumId="2">
    <w:nsid w:val="7545E146"/>
    <w:multiLevelType w:val="hybridMultilevel"/>
    <w:lvl w:ilvl="0">
      <w:lvlJc w:val="left"/>
      <w:lvlText w:val="4"/>
      <w:numFmt w:val="bullet"/>
      <w:start w:val="1"/>
    </w:lvl>
  </w:abstractNum>
  <w:abstractNum w:abstractNumId="3">
    <w:nsid w:val="515F007C"/>
    <w:multiLevelType w:val="hybridMultilevel"/>
    <w:lvl w:ilvl="0">
      <w:lvlJc w:val="left"/>
      <w:lvlText w:val="2"/>
      <w:numFmt w:val="bullet"/>
      <w:start w:val="1"/>
    </w:lvl>
  </w:abstractNum>
  <w:abstractNum w:abstractNumId="4">
    <w:nsid w:val="5BD062C2"/>
    <w:multiLevelType w:val="hybridMultilevel"/>
    <w:lvl w:ilvl="0">
      <w:lvlJc w:val="left"/>
      <w:lvlText w:val="3"/>
      <w:numFmt w:val="bullet"/>
      <w:start w:val="1"/>
    </w:lvl>
  </w:abstractNum>
  <w:abstractNum w:abstractNumId="5">
    <w:nsid w:val="12200854"/>
    <w:multiLevelType w:val="hybridMultilevel"/>
    <w:lvl w:ilvl="0">
      <w:lvlJc w:val="left"/>
      <w:lvlText w:val="7"/>
      <w:numFmt w:val="bullet"/>
      <w:start w:val="1"/>
    </w:lvl>
  </w:abstractNum>
  <w:abstractNum w:abstractNumId="6">
    <w:nsid w:val="4DB127F8"/>
    <w:multiLevelType w:val="hybridMultilevel"/>
    <w:lvl w:ilvl="0">
      <w:lvlJc w:val="left"/>
      <w:lvlText w:val="2"/>
      <w:numFmt w:val="bullet"/>
      <w:start w:val="1"/>
    </w:lvl>
  </w:abstractNum>
  <w:abstractNum w:abstractNumId="7">
    <w:nsid w:val="216231B"/>
    <w:multiLevelType w:val="hybridMultilevel"/>
    <w:lvl w:ilvl="0">
      <w:lvlJc w:val="left"/>
      <w:lvlText w:val="3"/>
      <w:numFmt w:val="bullet"/>
      <w:start w:val="1"/>
    </w:lvl>
  </w:abstractNum>
  <w:abstractNum w:abstractNumId="8">
    <w:nsid w:val="1F16E9E8"/>
    <w:multiLevelType w:val="hybridMultilevel"/>
    <w:lvl w:ilvl="0">
      <w:lvlJc w:val="left"/>
      <w:lvlText w:val="2"/>
      <w:numFmt w:val="bullet"/>
      <w:start w:val="1"/>
    </w:lvl>
  </w:abstractNum>
  <w:abstractNum w:abstractNumId="9">
    <w:nsid w:val="1190CDE7"/>
    <w:multiLevelType w:val="hybridMultilevel"/>
    <w:lvl w:ilvl="0">
      <w:lvlJc w:val="left"/>
      <w:lvlText w:val="%1"/>
      <w:numFmt w:val="decimal"/>
      <w:start w:val="13"/>
    </w:lvl>
  </w:abstractNum>
  <w:abstractNum w:abstractNumId="10">
    <w:nsid w:val="66EF438D"/>
    <w:multiLevelType w:val="hybridMultilevel"/>
    <w:lvl w:ilvl="0">
      <w:lvlJc w:val="left"/>
      <w:lvlText w:val="(%1)"/>
      <w:numFmt w:val="lowerLetter"/>
      <w:start w:val="1"/>
    </w:lvl>
  </w:abstractNum>
  <w:abstractNum w:abstractNumId="11">
    <w:nsid w:val="140E0F76"/>
    <w:multiLevelType w:val="hybridMultilevel"/>
    <w:lvl w:ilvl="0">
      <w:lvlJc w:val="left"/>
      <w:lvlText w:val="(%1)"/>
      <w:numFmt w:val="lowerLetter"/>
      <w:start w:val="1"/>
    </w:lvl>
  </w:abstractNum>
  <w:abstractNum w:abstractNumId="12">
    <w:nsid w:val="3352255A"/>
    <w:multiLevelType w:val="hybridMultilevel"/>
    <w:lvl w:ilvl="0">
      <w:lvlJc w:val="left"/>
      <w:lvlText w:val="(%1)"/>
      <w:numFmt w:val="lowerLetter"/>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 Id="rId33" Type="http://schemas.openxmlformats.org/officeDocument/2006/relationships/image" Target="media/image26.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2026-06-01T18:28:52Z</dcterms:created>
  <dcterms:modified xsi:type="dcterms:W3CDTF">2026-06-01T18:28:52Z</dcterms:modified>
</cp:coreProperties>
</file>