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63500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 (d) OF THE SECURITIES EXCHANGE ACT OF 1934</w:t>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Pr>
          <w:p>
            <w:pPr>
              <w:spacing w:after="0"/>
              <w:rPr>
                <w:sz w:val="16"/>
                <w:szCs w:val="16"/>
                <w:color w:val="auto"/>
              </w:rPr>
            </w:pPr>
          </w:p>
        </w:tc>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r>
      <w:tr>
        <w:trPr>
          <w:trHeight w:val="271"/>
        </w:trPr>
        <w:tc>
          <w:tcPr>
            <w:tcW w:w="21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980" w:type="dxa"/>
            <w:vAlign w:val="bottom"/>
          </w:tcPr>
          <w:p>
            <w:pPr>
              <w:ind w:left="480"/>
              <w:spacing w:after="0"/>
              <w:rPr>
                <w:sz w:val="20"/>
                <w:szCs w:val="20"/>
                <w:color w:val="auto"/>
              </w:rPr>
            </w:pPr>
            <w:r>
              <w:rPr>
                <w:rFonts w:ascii="Arial" w:cs="Arial" w:eastAsia="Arial" w:hAnsi="Arial"/>
                <w:sz w:val="16"/>
                <w:szCs w:val="16"/>
                <w:b w:val="1"/>
                <w:bCs w:val="1"/>
                <w:color w:val="auto"/>
                <w:w w:val="90"/>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46990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443"/>
        </w:trPr>
        <w:tc>
          <w:tcPr>
            <w:tcW w:w="20" w:type="dxa"/>
            <w:vAlign w:val="bottom"/>
          </w:tcPr>
          <w:p>
            <w:pPr>
              <w:spacing w:after="0"/>
              <w:rPr>
                <w:sz w:val="24"/>
                <w:szCs w:val="24"/>
                <w:color w:val="auto"/>
              </w:rPr>
            </w:pPr>
          </w:p>
        </w:tc>
        <w:tc>
          <w:tcPr>
            <w:tcW w:w="7340" w:type="dxa"/>
            <w:vAlign w:val="bottom"/>
            <w:gridSpan w:val="5"/>
          </w:tcPr>
          <w:p>
            <w:pPr>
              <w:jc w:val="center"/>
              <w:ind w:left="3978"/>
              <w:spacing w:after="0"/>
              <w:rPr>
                <w:sz w:val="20"/>
                <w:szCs w:val="20"/>
                <w:color w:val="auto"/>
              </w:rPr>
            </w:pPr>
            <w:r>
              <w:rPr>
                <w:rFonts w:ascii="Arial" w:cs="Arial" w:eastAsia="Arial" w:hAnsi="Arial"/>
                <w:sz w:val="36"/>
                <w:szCs w:val="36"/>
                <w:b w:val="1"/>
                <w:bCs w:val="1"/>
                <w:color w:val="auto"/>
              </w:rPr>
              <w:t>RED VIOLET, INC.</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6"/>
          </w:tcPr>
          <w:p>
            <w:pPr>
              <w:jc w:val="center"/>
              <w:ind w:left="3558"/>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5"/>
          </w:tcPr>
          <w:p>
            <w:pPr>
              <w:jc w:val="center"/>
              <w:ind w:right="1640"/>
              <w:spacing w:after="0"/>
              <w:rPr>
                <w:sz w:val="20"/>
                <w:szCs w:val="20"/>
                <w:color w:val="auto"/>
              </w:rPr>
            </w:pPr>
            <w:r>
              <w:rPr>
                <w:rFonts w:ascii="Arial" w:cs="Arial" w:eastAsia="Arial" w:hAnsi="Arial"/>
                <w:sz w:val="16"/>
                <w:szCs w:val="16"/>
                <w:b w:val="1"/>
                <w:bCs w:val="1"/>
                <w:color w:val="auto"/>
                <w:w w:val="93"/>
              </w:rPr>
              <w:t>Delaware</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80" w:type="dxa"/>
            <w:vAlign w:val="bottom"/>
          </w:tcPr>
          <w:p>
            <w:pPr>
              <w:jc w:val="center"/>
              <w:ind w:right="2319"/>
              <w:spacing w:after="0"/>
              <w:rPr>
                <w:sz w:val="20"/>
                <w:szCs w:val="20"/>
                <w:color w:val="auto"/>
              </w:rPr>
            </w:pPr>
            <w:r>
              <w:rPr>
                <w:rFonts w:ascii="Arial" w:cs="Arial" w:eastAsia="Arial" w:hAnsi="Arial"/>
                <w:sz w:val="16"/>
                <w:szCs w:val="16"/>
                <w:b w:val="1"/>
                <w:bCs w:val="1"/>
                <w:color w:val="auto"/>
                <w:w w:val="91"/>
              </w:rPr>
              <w:t>82-2408531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gridSpan w:val="5"/>
          </w:tcPr>
          <w:p>
            <w:pPr>
              <w:jc w:val="center"/>
              <w:ind w:right="164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00" w:type="dxa"/>
            <w:vAlign w:val="bottom"/>
          </w:tcPr>
          <w:p>
            <w:pPr>
              <w:spacing w:after="0"/>
              <w:rPr>
                <w:sz w:val="11"/>
                <w:szCs w:val="11"/>
                <w:color w:val="auto"/>
              </w:rPr>
            </w:pPr>
          </w:p>
        </w:tc>
        <w:tc>
          <w:tcPr>
            <w:tcW w:w="3660" w:type="dxa"/>
            <w:vAlign w:val="bottom"/>
            <w:gridSpan w:val="2"/>
          </w:tcPr>
          <w:p>
            <w:pPr>
              <w:jc w:val="center"/>
              <w:ind w:right="1859"/>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40" w:type="dxa"/>
            <w:vAlign w:val="bottom"/>
            <w:gridSpan w:val="5"/>
          </w:tcPr>
          <w:p>
            <w:pPr>
              <w:jc w:val="center"/>
              <w:ind w:right="1660"/>
              <w:spacing w:after="0"/>
              <w:rPr>
                <w:sz w:val="20"/>
                <w:szCs w:val="20"/>
                <w:color w:val="auto"/>
              </w:rPr>
            </w:pPr>
            <w:r>
              <w:rPr>
                <w:rFonts w:ascii="Arial" w:cs="Arial" w:eastAsia="Arial" w:hAnsi="Arial"/>
                <w:sz w:val="13"/>
                <w:szCs w:val="13"/>
                <w:b w:val="1"/>
                <w:bCs w:val="1"/>
                <w:color w:val="auto"/>
                <w:w w:val="88"/>
              </w:rPr>
              <w:t>incorporation or organization)</w:t>
            </w:r>
          </w:p>
        </w:tc>
        <w:tc>
          <w:tcPr>
            <w:tcW w:w="400" w:type="dxa"/>
            <w:vAlign w:val="bottom"/>
          </w:tcPr>
          <w:p>
            <w:pPr>
              <w:spacing w:after="0"/>
              <w:rPr>
                <w:sz w:val="14"/>
                <w:szCs w:val="14"/>
                <w:color w:val="auto"/>
              </w:rPr>
            </w:pPr>
          </w:p>
        </w:tc>
        <w:tc>
          <w:tcPr>
            <w:tcW w:w="3660" w:type="dxa"/>
            <w:vAlign w:val="bottom"/>
            <w:gridSpan w:val="2"/>
          </w:tcPr>
          <w:p>
            <w:pPr>
              <w:jc w:val="center"/>
              <w:ind w:right="183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340" w:type="dxa"/>
            <w:vAlign w:val="bottom"/>
            <w:gridSpan w:val="5"/>
          </w:tcPr>
          <w:p>
            <w:pPr>
              <w:jc w:val="center"/>
              <w:ind w:left="3958"/>
              <w:spacing w:after="0"/>
              <w:rPr>
                <w:sz w:val="20"/>
                <w:szCs w:val="20"/>
                <w:color w:val="auto"/>
              </w:rPr>
            </w:pPr>
            <w:r>
              <w:rPr>
                <w:rFonts w:ascii="Arial" w:cs="Arial" w:eastAsia="Arial" w:hAnsi="Arial"/>
                <w:sz w:val="16"/>
                <w:szCs w:val="16"/>
                <w:b w:val="1"/>
                <w:bCs w:val="1"/>
                <w:color w:val="auto"/>
                <w:w w:val="95"/>
              </w:rPr>
              <w:t>2650 North Military Trail, Suite 300,</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78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1"/>
              </w:rPr>
              <w:t>Boca Raton, Florida 33431</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40" w:type="dxa"/>
            <w:vAlign w:val="bottom"/>
            <w:gridSpan w:val="5"/>
          </w:tcPr>
          <w:p>
            <w:pPr>
              <w:jc w:val="center"/>
              <w:ind w:left="3958"/>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6"/>
          </w:tcPr>
          <w:p>
            <w:pPr>
              <w:jc w:val="center"/>
              <w:ind w:left="3558"/>
              <w:spacing w:after="0"/>
              <w:rPr>
                <w:sz w:val="20"/>
                <w:szCs w:val="20"/>
                <w:color w:val="auto"/>
              </w:rPr>
            </w:pPr>
            <w:r>
              <w:rPr>
                <w:rFonts w:ascii="Arial" w:cs="Arial" w:eastAsia="Arial" w:hAnsi="Arial"/>
                <w:sz w:val="13"/>
                <w:szCs w:val="13"/>
                <w:b w:val="1"/>
                <w:bCs w:val="1"/>
                <w:color w:val="auto"/>
                <w:w w:val="86"/>
              </w:rPr>
              <w:t>Registrant’s telephone number, including area code: (561) 757-4000</w:t>
            </w:r>
          </w:p>
        </w:tc>
        <w:tc>
          <w:tcPr>
            <w:tcW w:w="4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740" w:type="dxa"/>
            <w:vAlign w:val="bottom"/>
            <w:gridSpan w:val="6"/>
          </w:tcPr>
          <w:p>
            <w:pPr>
              <w:jc w:val="center"/>
              <w:ind w:left="3578"/>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5"/>
          </w:tcPr>
          <w:p>
            <w:pPr>
              <w:jc w:val="center"/>
              <w:ind w:right="1640"/>
              <w:spacing w:after="0"/>
              <w:rPr>
                <w:sz w:val="20"/>
                <w:szCs w:val="20"/>
                <w:color w:val="auto"/>
              </w:rPr>
            </w:pPr>
            <w:r>
              <w:rPr>
                <w:rFonts w:ascii="Arial" w:cs="Arial" w:eastAsia="Arial" w:hAnsi="Arial"/>
                <w:sz w:val="13"/>
                <w:szCs w:val="13"/>
                <w:b w:val="1"/>
                <w:bCs w:val="1"/>
                <w:color w:val="auto"/>
                <w:w w:val="83"/>
              </w:rPr>
              <w:t>Title of each class</w:t>
            </w:r>
          </w:p>
        </w:tc>
        <w:tc>
          <w:tcPr>
            <w:tcW w:w="4060" w:type="dxa"/>
            <w:vAlign w:val="bottom"/>
            <w:gridSpan w:val="3"/>
          </w:tcPr>
          <w:p>
            <w:pPr>
              <w:jc w:val="center"/>
              <w:ind w:right="143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100" w:type="dxa"/>
            <w:vAlign w:val="bottom"/>
          </w:tcPr>
          <w:p>
            <w:pPr>
              <w:spacing w:after="0"/>
              <w:rPr>
                <w:sz w:val="17"/>
                <w:szCs w:val="17"/>
                <w:color w:val="auto"/>
              </w:rPr>
            </w:pPr>
          </w:p>
        </w:tc>
        <w:tc>
          <w:tcPr>
            <w:tcW w:w="1540" w:type="dxa"/>
            <w:vAlign w:val="bottom"/>
            <w:tcBorders>
              <w:top w:val="single" w:sz="8" w:color="auto"/>
            </w:tcBorders>
            <w:gridSpan w:val="2"/>
          </w:tcPr>
          <w:p>
            <w:pPr>
              <w:spacing w:after="0"/>
              <w:rPr>
                <w:sz w:val="17"/>
                <w:szCs w:val="17"/>
                <w:color w:val="auto"/>
              </w:rPr>
            </w:pPr>
          </w:p>
        </w:tc>
        <w:tc>
          <w:tcPr>
            <w:tcW w:w="4060" w:type="dxa"/>
            <w:vAlign w:val="bottom"/>
            <w:tcBorders>
              <w:top w:val="single" w:sz="8" w:color="auto"/>
            </w:tcBorders>
            <w:gridSpan w:val="3"/>
          </w:tcPr>
          <w:p>
            <w:pPr>
              <w:jc w:val="center"/>
              <w:ind w:right="1459"/>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gridSpan w:val="7"/>
          </w:tcPr>
          <w:p>
            <w:pPr>
              <w:jc w:val="center"/>
              <w:ind w:left="3098"/>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4580" w:type="dxa"/>
            <w:vAlign w:val="bottom"/>
            <w:gridSpan w:val="2"/>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900" w:type="dxa"/>
            <w:vAlign w:val="bottom"/>
            <w:gridSpan w:val="2"/>
          </w:tcPr>
          <w:p>
            <w:pPr>
              <w:spacing w:after="0"/>
              <w:rPr>
                <w:sz w:val="6"/>
                <w:szCs w:val="6"/>
                <w:color w:val="auto"/>
              </w:rPr>
            </w:pPr>
          </w:p>
        </w:tc>
        <w:tc>
          <w:tcPr>
            <w:tcW w:w="48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180" w:type="dxa"/>
            <w:vAlign w:val="bottom"/>
            <w:vMerge w:val="restart"/>
          </w:tcPr>
          <w:p>
            <w:pPr>
              <w:jc w:val="center"/>
              <w:ind w:right="235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22"/>
                <w:szCs w:val="22"/>
                <w:color w:val="auto"/>
              </w:rPr>
            </w:pPr>
          </w:p>
        </w:tc>
        <w:tc>
          <w:tcPr>
            <w:tcW w:w="3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3180" w:type="dxa"/>
            <w:vAlign w:val="bottom"/>
          </w:tcPr>
          <w:p>
            <w:pPr>
              <w:jc w:val="center"/>
              <w:ind w:right="237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62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ind w:right="20"/>
        <w:spacing w:after="0" w:line="284" w:lineRule="auto"/>
        <w:rPr>
          <w:sz w:val="20"/>
          <w:szCs w:val="20"/>
          <w:color w:val="auto"/>
        </w:rPr>
      </w:pPr>
      <w:r>
        <w:rPr>
          <w:rFonts w:ascii="Arial" w:cs="Arial" w:eastAsia="Arial" w:hAnsi="Arial"/>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780" w:type="dxa"/>
            <w:vAlign w:val="bottom"/>
          </w:tcPr>
          <w:p>
            <w:pPr>
              <w:ind w:left="25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1" w:lineRule="exact"/>
        <w:rPr>
          <w:sz w:val="24"/>
          <w:szCs w:val="24"/>
          <w:color w:val="auto"/>
        </w:rPr>
      </w:pPr>
    </w:p>
    <w:p>
      <w:pPr>
        <w:ind w:right="140"/>
        <w:spacing w:after="0" w:line="27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spacing w:after="0" w:line="184" w:lineRule="exact"/>
        <w:tabs>
          <w:tab w:leader="none" w:pos="6780" w:val="left"/>
          <w:tab w:leader="none" w:pos="74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40"/>
        <w:spacing w:after="0" w:line="293" w:lineRule="auto"/>
        <w:rPr>
          <w:sz w:val="20"/>
          <w:szCs w:val="20"/>
          <w:color w:val="auto"/>
        </w:rPr>
      </w:pPr>
      <w:r>
        <w:rPr>
          <w:rFonts w:ascii="Arial" w:cs="Arial" w:eastAsia="Arial" w:hAnsi="Arial"/>
          <w:sz w:val="16"/>
          <w:szCs w:val="16"/>
          <w:color w:val="auto"/>
        </w:rPr>
        <w:t>On June 29, 2018, the last business day of the registrant’s most recently completed second fiscal quarter, the aggregate market value (based on the closing per share sales price of its common stock on that date) of the voting stock held by non-affiliates of the registrant was approximately $48.6 million.</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March 4, 2019, was 10,266,613.</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right="80"/>
        <w:spacing w:after="0" w:line="293" w:lineRule="auto"/>
        <w:rPr>
          <w:sz w:val="20"/>
          <w:szCs w:val="20"/>
          <w:color w:val="auto"/>
        </w:rPr>
      </w:pPr>
      <w:r>
        <w:rPr>
          <w:rFonts w:ascii="Arial" w:cs="Arial" w:eastAsia="Arial" w:hAnsi="Arial"/>
          <w:sz w:val="16"/>
          <w:szCs w:val="16"/>
          <w:color w:val="auto"/>
        </w:rPr>
        <w:t>Portions of the registrant’s Proxy Statement relating to its 2019 Annual Meeting of Stockholders to be filed with the SEC within 120 days after the end of the fiscal year ended December 31, 2018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rPr>
              <w:t>RED VIOLET, INC.</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60" w:type="dxa"/>
            <w:vAlign w:val="bottom"/>
            <w:gridSpan w:val="11"/>
          </w:tcPr>
          <w:p>
            <w:pPr>
              <w:jc w:val="center"/>
              <w:ind w:right="2460"/>
              <w:spacing w:after="0"/>
              <w:rPr>
                <w:sz w:val="20"/>
                <w:szCs w:val="20"/>
                <w:color w:val="auto"/>
              </w:rPr>
            </w:pPr>
            <w:r>
              <w:rPr>
                <w:rFonts w:ascii="Arial" w:cs="Arial" w:eastAsia="Arial" w:hAnsi="Arial"/>
                <w:sz w:val="18"/>
                <w:szCs w:val="18"/>
                <w:b w:val="1"/>
                <w:bCs w:val="1"/>
                <w:color w:val="auto"/>
                <w:w w:val="99"/>
              </w:rPr>
              <w:t>TABLE OF CONTENTS FOR FORM 10-K</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90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600" w:type="dxa"/>
            <w:vAlign w:val="bottom"/>
            <w:tcBorders>
              <w:bottom w:val="single" w:sz="8" w:color="0000EE"/>
            </w:tcBorders>
            <w:vMerge w:val="continue"/>
          </w:tcPr>
          <w:p>
            <w:pPr>
              <w:spacing w:after="0"/>
              <w:rPr>
                <w:sz w:val="16"/>
                <w:szCs w:val="16"/>
                <w:color w:val="auto"/>
              </w:rPr>
            </w:pPr>
          </w:p>
        </w:tc>
        <w:tc>
          <w:tcPr>
            <w:tcW w:w="90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w:t>
            </w:r>
          </w:p>
        </w:tc>
        <w:tc>
          <w:tcPr>
            <w:tcW w:w="88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7900" w:type="dxa"/>
            <w:vAlign w:val="bottom"/>
            <w:gridSpan w:val="17"/>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Unresolved Staff Comments</w:t>
              </w:r>
            </w:hyperlink>
          </w:p>
        </w:tc>
        <w:tc>
          <w:tcPr>
            <w:tcW w:w="6760" w:type="dxa"/>
            <w:vAlign w:val="bottom"/>
            <w:gridSpan w:val="11"/>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8080" w:type="dxa"/>
            <w:vAlign w:val="bottom"/>
            <w:gridSpan w:val="18"/>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3.</w:t>
            </w:r>
          </w:p>
        </w:tc>
        <w:tc>
          <w:tcPr>
            <w:tcW w:w="882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4.</w:t>
            </w:r>
          </w:p>
        </w:tc>
        <w:tc>
          <w:tcPr>
            <w:tcW w:w="882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500" w:type="dxa"/>
            <w:vAlign w:val="bottom"/>
            <w:gridSpan w:val="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color w:val="auto"/>
              </w:rPr>
              <w:t>Item 5.</w:t>
            </w:r>
          </w:p>
        </w:tc>
        <w:tc>
          <w:tcPr>
            <w:tcW w:w="840" w:type="dxa"/>
            <w:vAlign w:val="bottom"/>
            <w:gridSpan w:val="4"/>
          </w:tcPr>
          <w:p>
            <w:pPr>
              <w:spacing w:after="0"/>
              <w:rPr>
                <w:sz w:val="24"/>
                <w:szCs w:val="24"/>
                <w:color w:val="auto"/>
              </w:rPr>
            </w:pPr>
          </w:p>
        </w:tc>
        <w:tc>
          <w:tcPr>
            <w:tcW w:w="8820" w:type="dxa"/>
            <w:vAlign w:val="bottom"/>
            <w:gridSpan w:val="20"/>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Market for Registrant’s Common Equity, Related Stockholder Matters and Issuer Purchases of Equity Securities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7.</w:t>
            </w:r>
          </w:p>
        </w:tc>
        <w:tc>
          <w:tcPr>
            <w:tcW w:w="882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360" w:type="dxa"/>
            <w:vAlign w:val="bottom"/>
            <w:gridSpan w:val="4"/>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460" w:type="dxa"/>
            <w:vAlign w:val="bottom"/>
            <w:gridSpan w:val="6"/>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w:t>
            </w:r>
          </w:p>
        </w:tc>
        <w:tc>
          <w:tcPr>
            <w:tcW w:w="882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Accountants on Accounting and Financial Disclosure</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2340" w:type="dxa"/>
            <w:vAlign w:val="bottom"/>
            <w:gridSpan w:val="3"/>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9B.</w:t>
            </w:r>
          </w:p>
        </w:tc>
        <w:tc>
          <w:tcPr>
            <w:tcW w:w="882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7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10.</w:t>
            </w:r>
          </w:p>
        </w:tc>
        <w:tc>
          <w:tcPr>
            <w:tcW w:w="882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Directors, Executive Officers and Corporate Governance</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4720" w:type="dxa"/>
            <w:vAlign w:val="bottom"/>
            <w:gridSpan w:val="7"/>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Security Ownership of Certain Beneficial Owners and Management and Related Stockholder Matters</w:t>
              </w:r>
            </w:hyperlink>
          </w:p>
        </w:tc>
        <w:tc>
          <w:tcPr>
            <w:tcW w:w="1520" w:type="dxa"/>
            <w:vAlign w:val="bottom"/>
            <w:gridSpan w:val="2"/>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Certain Relationships and Related Transactions, and Director Independence</w:t>
              </w:r>
            </w:hyperlink>
          </w:p>
        </w:tc>
        <w:tc>
          <w:tcPr>
            <w:tcW w:w="3360" w:type="dxa"/>
            <w:vAlign w:val="bottom"/>
            <w:gridSpan w:val="5"/>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14.</w:t>
            </w:r>
          </w:p>
        </w:tc>
        <w:tc>
          <w:tcPr>
            <w:tcW w:w="882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500" w:type="dxa"/>
            <w:vAlign w:val="bottom"/>
            <w:gridSpan w:val="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0" w:type="dxa"/>
            <w:vAlign w:val="bottom"/>
            <w:tcBorders>
              <w:top w:val="single" w:sz="8" w:color="0000EE"/>
            </w:tcBorders>
            <w:gridSpan w:val="3"/>
          </w:tcPr>
          <w:p>
            <w:pPr>
              <w:ind w:left="20"/>
              <w:spacing w:after="0"/>
              <w:rPr>
                <w:sz w:val="20"/>
                <w:szCs w:val="20"/>
                <w:color w:val="auto"/>
              </w:rPr>
            </w:pPr>
            <w:r>
              <w:rPr>
                <w:rFonts w:ascii="Arial" w:cs="Arial" w:eastAsia="Arial" w:hAnsi="Arial"/>
                <w:sz w:val="18"/>
                <w:szCs w:val="18"/>
                <w:color w:val="auto"/>
              </w:rPr>
              <w:t>Item 15.</w:t>
            </w:r>
          </w:p>
        </w:tc>
        <w:tc>
          <w:tcPr>
            <w:tcW w:w="780" w:type="dxa"/>
            <w:vAlign w:val="bottom"/>
            <w:gridSpan w:val="3"/>
          </w:tcPr>
          <w:p>
            <w:pPr>
              <w:spacing w:after="0"/>
              <w:rPr>
                <w:sz w:val="24"/>
                <w:szCs w:val="24"/>
                <w:color w:val="auto"/>
              </w:rPr>
            </w:pPr>
          </w:p>
        </w:tc>
        <w:tc>
          <w:tcPr>
            <w:tcW w:w="88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 Financial Statement Schedules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5920" w:type="dxa"/>
            <w:vAlign w:val="bottom"/>
            <w:gridSpan w:val="9"/>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50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5"/>
        </w:trPr>
        <w:tc>
          <w:tcPr>
            <w:tcW w:w="6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2018 (the “2018 Form 10-K”), which are incorporated herein by this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Red Violet, Inc. (“we,” “us,” “our,” “red violet,” or the “Company”), a Delaware corporation, is a software and services company specializing in big data analysis, providing cloud-based, mission-critical solutions to enterprises in a variety of industries. red violet’s mission is to transform data into intelligence utilizing our proprietary technology platform to solve complex problems for our clients. Harnessing the power of data fusion and powerful analytics, we transform data into intelligence, in a fast and efficient manner, so our clients can spend their time on what matters most -- running their organizations with confidence.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 We empower clients across markets and industries to better execute all aspects of their business, from managing risk, identifying fraud and abuse, and ensuring legislative compliance, to debt recovery.</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unique and compelling solutions essential to the daily workflow of organizations within both the public and private sectors. Our cloud-based data fusion platform, combined with our massive database consisting of public-record, proprietary and publicly-available data, as well as a unique repository of self-reported information on millions of consumers, enables the delivery of differentiated products and solutions used for a variety of essential functions. These essential functions include identification and authentication, and investigation and validation.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Leveraging leading-edge technology, proprietary algorithms, and massive datasets, and through intuitive and powerful analytical applications, we provide solutions to organizations within the risk management industry. CORE is our next generation data fusion platform, providing mission-critical information about individuals, businesses and assets to a variety of markets and industries. Through machine learning and advanced analytics, we use the power of data fusion to ingest and analyze data at a massive scale. The derived information from the data fusion process ultimately serves to generate unique solutions for banking and financial services companies, insurance companies, healthcare companies, law enforcement and government, the collection industry, law firms, retail, telecommunications companies, corporate security and investigative firms.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Built in a secure payment card industry (“PCI”) compliant environment, our cloud-based next generation technology delivers greater than four 9s of service uptime. By leveraging our proprietary infrastructure design within the cloud, we currently operate in datacenters across the U.S. and are able to dynamically and seamlessly scale as needed. Using our intelligent framework, and leveraging a microservices architecture where appropriate, we reduce operational cost and complexity, thus delivering superior performance at greatly reduced costs compared to traditional datacenter architectures. Since the release of our CORE platform in May 2016, we have added billions of data records and continue to add over a billion records per month on average. Our average query response time for a comprehensive profile is less than 250 milliseconds versus competitive platforms that measure comprehensive profile response times in seconds.</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March 26, 2018, Fluent, Inc. (“Fluent”), formerly known as Cogint, Inc. (“cogint”), a Delaware corporation, completed a spin-off (the “Spin-off”) of its risk management business from its digital marketing business by way of a distribution of all the shares of common stock of Fluent’s wholly-owned subsidiary, red violet, to Fluent’s stockholders of record as of March 19, 2018 (the “Record Date”) and certain warrant holders.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10,266,613 shares of red violet common stock. Upon the Spin-off, red violet owns Fluent subsidiaries which previously operated Fluent’s risk management business.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Spin-off, red violet is an independent public company and red violet’s common stock began regular-way trading on The NASDAQ Capital Market under the symbol “RDVT” on March 27,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 w:name="page4"/>
    <w:bookmarkEnd w:id="3"/>
    <w:p>
      <w:pPr>
        <w:ind w:right="20"/>
        <w:spacing w:after="0" w:line="273" w:lineRule="auto"/>
        <w:rPr>
          <w:sz w:val="20"/>
          <w:szCs w:val="20"/>
          <w:color w:val="auto"/>
        </w:rPr>
      </w:pPr>
      <w:r>
        <w:rPr>
          <w:rFonts w:ascii="Arial" w:cs="Arial" w:eastAsia="Arial" w:hAnsi="Arial"/>
          <w:sz w:val="17"/>
          <w:szCs w:val="17"/>
          <w:color w:val="auto"/>
        </w:rPr>
        <w:t>From inception of our risk management business in September 2014 through December 2016, the majority of our operations were dedicated to the early-stage development of our business model, including the development of our proprietary, cloud-based technology platform, CORE, and the buildout of our initial-phase suite of products, powered by CORE, to serve a variety of industries within risk management. Beginning January 2017, with our technology platform production ready and hardened, our initial suite of products released into the marketplace, and a multi-year product roadmap defined, we transformed from a development organization to a sales-driven organization with sales increasing from a $5.8 million annual run-rate for the month ended January 31, 2017 to a $18.6 million annual run-rate for the month ended December 31, 2018.</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years ended December 31, 2018 and 2017, we had revenue of $16.3 million and $8.6 million, net loss of $6.9 million and $21.5 million, and adjusted EBITDA of negative $4.3 million and negative $8.3 million, respectively. For periods prior to the Spin-off, all the financial information of red violet referred to red violet and Fluent subsidiaries that previously operated Fluent’s risk management business. For periods prior to the Spin-off, the Company’s financial statements were prepared on a consolidated and combined basis because certain of the entities were under common control. All intercompany accounts and transactions have been eliminated between the consolidated and combined entities. Adjusted EBITDA is a non-GAAP financial measure equal to net loss, the most directly comparable financial measure based on US GAAP, excluding interest income, net, depreciation and amortization, share-based compensation expense, litigation costs, insurance proceeds in relation to settled litigation, transition service income, and write-off of long-lived assets and others, as noted in the tables included in “Use and Reconciliation of Non-GAAP Financial Measures” of Item 7, “Management’s Discussion and Analysis of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target market for our products and solutions today consists primarily of organizations within the risk management industry.</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big data and analytics sector continues to grow at an accelerated pace due to the proliferation of data generated over the past two decades from both traditional and emerging sources, including e-commerce, mobile and social media. International Data Corporation, a global provider of market intelligence and advisory services, estimates that worldwide revenue for big data and business analytics services is expected to reach $260.0 billion in the year 2022, representing a compound annual growth rate (“CAGR”) of 11.9% from 2017 through 2022. Continued, rapid innovation and adoption of new technologies presents enormous challenges for organizations of all types to sort through this sea of data to glean actionable intelligence and address their mission-critical business functions. These challenges serve as key drivers of the sector’s growth. Our industry-agnostic platform, solutions, and analytical capabilities are designed to solve the myriad of complex problems that organizations face on a daily basis.</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Risk management and fraud analytics has become increasingly important not only in the banking and financial services sectors but across multiple other industries and use cases. According to the market research company MarketsAndMarkets, the risk analytics software market is projected to grow to $35.9 billion by 2022, representing CAGR of 15.3% from 2017 through 2022, with North America estimated to hold the largest market share in the risk analytics market. Data fusion analytics and the information derived therefrom is now the primary service product for risk management associated with key purchasers such as banking and financial services companies, insurance companies, healthcare companies, law enforcement and government, collection agencies, law firms, retail, telecommunications companies and investigative firms. Primary use cases include, but are not limited to, obtaining information on consumers, businesses and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Challenges Facing our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products and solutions address the challenges that the industry faces today, which include: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Actionable Big Data Insights Through A Single Platform</w:t>
      </w:r>
      <w:r>
        <w:rPr>
          <w:rFonts w:ascii="Arial" w:cs="Arial" w:eastAsia="Arial" w:hAnsi="Arial"/>
          <w:sz w:val="17"/>
          <w:szCs w:val="17"/>
          <w:color w:val="auto"/>
        </w:rPr>
        <w:t>— As the velocity and volume of data continues to grow exponentially, enterprises have become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overwhelmed with data and their inability to glean intelligence from such data to derive successful business decisions in real-time. Customers demand full-suite, turn-key solutions that are agile, flexible, and available on-demand in order to gain the speed, scale and insight necessary to drive their business models. As the breadth and depth of data increases, providers will need to deploy new technologies that enable both the ingestion of data at massive scale in real-time, irrespective of structure or form, and the analytics components necessary to function across multiple channels. The continued digitization of human interactions, and the corresponding availability of the data resulting therefrom, is driving demand for data capture, management and analysis software. As a result, customers are looking for flexible and efficient solutions to fuse disparate sets of not only transactional data but also demographic, ethnographic and behavioral data as well, in order to provide insights that are truly actionable.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4" w:name="page5"/>
    <w:bookmarkEnd w:id="4"/>
    <w:p>
      <w:pPr>
        <w:ind w:right="80"/>
        <w:spacing w:after="0" w:line="276" w:lineRule="auto"/>
        <w:rPr>
          <w:sz w:val="20"/>
          <w:szCs w:val="20"/>
          <w:color w:val="auto"/>
        </w:rPr>
      </w:pPr>
      <w:r>
        <w:rPr>
          <w:rFonts w:ascii="Arial" w:cs="Arial" w:eastAsia="Arial" w:hAnsi="Arial"/>
          <w:sz w:val="17"/>
          <w:szCs w:val="17"/>
          <w:b w:val="1"/>
          <w:bCs w:val="1"/>
          <w:i w:val="1"/>
          <w:iCs w:val="1"/>
          <w:color w:val="auto"/>
        </w:rPr>
        <w:t>Cost and Performance Pressures</w:t>
      </w:r>
      <w:r>
        <w:rPr>
          <w:rFonts w:ascii="Arial" w:cs="Arial" w:eastAsia="Arial" w:hAnsi="Arial"/>
          <w:sz w:val="17"/>
          <w:szCs w:val="17"/>
          <w:color w:val="auto"/>
        </w:rPr>
        <w:t>—As our customers face constant cost pressures, they need to continually improve the value they receive from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solutions. Whether it is right-party contact, managing risk, skip tracing or regulatory compliance, customers are increasingly more sophisticated, requiring enhanced performance that provides fast, accurate, and cost-effective solutions to satisfy their business objectives. Improving performance can mean delivering the right data at the right time, or providing the most intuitive information as rapidly as possible to capitalize on opportunities or reduce risk. Superior data fusion with unique data sources delivers customers an advantage as they cope with these pressures.</w:t>
      </w:r>
    </w:p>
    <w:p>
      <w:pPr>
        <w:spacing w:after="0" w:line="17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Delivering Solutions for Complex Problems Using Scalable Data Analytics</w:t>
      </w:r>
      <w:r>
        <w:rPr>
          <w:rFonts w:ascii="Arial" w:cs="Arial" w:eastAsia="Arial" w:hAnsi="Arial"/>
          <w:sz w:val="17"/>
          <w:szCs w:val="17"/>
          <w:color w:val="auto"/>
        </w:rPr>
        <w:t>—The larger and more complex a data repository, the more difficult it is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sustained levels of performance and insight. The highly-fragmented nature of data across multiple mediums, proliferation of data and lack of robust technology limits the ability to aggregate actionable information into a comprehensive view. There is an inherent need for information solutions that allow businesses to leverage data that provides actionable intelligence to support debt recovery, fraud detection and prevention, investigations, due diligence, identity verification, and legislative compliance in a more efficient manner.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our leading-edge technology platform, massive database of consumer profiles, and dynamic and intuitive solutions deliver superior capabilities to our customers. Our solutions enable our customers to make more informed inquiries regarding their problems and better decisions to solve their most complex problems. We believe the following competitive strengths will continue to deliver an unrivaled value proposition that further drives our differentiation:</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Transformative and Innovative Technology Platform</w:t>
      </w:r>
      <w:r>
        <w:rPr>
          <w:rFonts w:ascii="Arial" w:cs="Arial" w:eastAsia="Arial" w:hAnsi="Arial"/>
          <w:sz w:val="18"/>
          <w:szCs w:val="18"/>
          <w:color w:val="auto"/>
        </w:rPr>
        <w:t>—Through the power of our platform, CORE, we offer a comprehensive suite of information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cloud-based, data and industry agnostic platform allows us to assimilate, structure, and fuse billions of disparate records to create comprehensive profiles of individuals and to present these insights in real-time via analytical applications. We believe our platform’s speed, power, and scalability are key differentiators in the marketplace.</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Massive Database of Holistic Consumer Profiles</w:t>
      </w:r>
      <w:r>
        <w:rPr>
          <w:rFonts w:ascii="Arial" w:cs="Arial" w:eastAsia="Arial" w:hAnsi="Arial"/>
          <w:sz w:val="16"/>
          <w:szCs w:val="16"/>
          <w:color w:val="auto"/>
        </w:rPr>
        <w:t>—Data is the lifeblood of our technology platform. We leverage our CORE platform to build massive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datasets and apply analytics in real-time to provide actionable insights. Our data is compiled from a myriad of online and offline sources, both structured and unstructured, including public record, publicly-available, proprietary, and self-reported data. Public record data includes personally identifiable information, as well as property, identity, bankruptcy, lien, judgment, automotive, phone and other information aggregated from companies specializing in data aggregation, public record repositories, and publicly-available sources. Proprietary data includes data internally generated by proprietary algorithms and analytic processes. Through next-generation technology and proprietary algorithms, we efficiently ingest these datasets, structure them into normalized form, and utilize the process of data fusion to resolve unique identities so as to create an actionable, real-time view of the data for various use cases, delivering greater intelligence to our customers and enhancing their decision-making capabilities across all markets and industries.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Solutions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Leveraging leading-edge technology, proprietary algorithms, and massive datasets, and through intuitive and powerful analytics, we provide industry-agnostic analytical solutions for organizations within the risk management industry. These organizations use our services to perform due diligence, collect debt, verify consumer identities, investigate fraud and abuse, mitigate risk, and locate assets, among other things. Our core capabilities and technology platform allow us to serve a broad and diverse set of industries and to solve a wide range of issues facing organizations daily.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CORE—our advanced analytical platform, provides cloud-based, mission-critical solutions to a variety of markets and industries. Our primary investigative solution, idiCORE, provides instant, comprehensive views of individuals, businesses, assets and their interrelationships to multiple industries, including law enforcement, government, financial services, insurance, and corporate risk for purposes such as identity verification, risk assessment, fraud detection, and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Distribution and Marketing</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Inside Sales</w:t>
      </w:r>
      <w:r>
        <w:rPr>
          <w:rFonts w:ascii="Arial" w:cs="Arial" w:eastAsia="Arial" w:hAnsi="Arial"/>
          <w:sz w:val="16"/>
          <w:szCs w:val="16"/>
          <w:i w:val="1"/>
          <w:iCs w:val="1"/>
          <w:color w:val="auto"/>
        </w:rPr>
        <w:t>—</w:t>
      </w:r>
      <w:r>
        <w:rPr>
          <w:rFonts w:ascii="Arial" w:cs="Arial" w:eastAsia="Arial" w:hAnsi="Arial"/>
          <w:sz w:val="16"/>
          <w:szCs w:val="16"/>
          <w:color w:val="auto"/>
        </w:rPr>
        <w:t>Our inside sales team cultivates relationships, and ultimately closes business, with their end-user markets. These professionals are relationship-based sellers with experience in identifying clients’ needs and clearly explaining and defining products that provide solutions to those needs.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5" w:name="page6"/>
    <w:bookmarkEnd w:id="5"/>
    <w:p>
      <w:pPr>
        <w:ind w:right="160"/>
        <w:spacing w:after="0" w:line="308" w:lineRule="auto"/>
        <w:rPr>
          <w:sz w:val="20"/>
          <w:szCs w:val="20"/>
          <w:color w:val="auto"/>
        </w:rPr>
      </w:pPr>
      <w:r>
        <w:rPr>
          <w:rFonts w:ascii="Arial" w:cs="Arial" w:eastAsia="Arial" w:hAnsi="Arial"/>
          <w:sz w:val="17"/>
          <w:szCs w:val="17"/>
          <w:b w:val="1"/>
          <w:bCs w:val="1"/>
          <w:i w:val="1"/>
          <w:iCs w:val="1"/>
          <w:color w:val="auto"/>
        </w:rPr>
        <w:t>Strategic Sales</w:t>
      </w:r>
      <w:r>
        <w:rPr>
          <w:rFonts w:ascii="Arial" w:cs="Arial" w:eastAsia="Arial" w:hAnsi="Arial"/>
          <w:sz w:val="17"/>
          <w:szCs w:val="17"/>
          <w:i w:val="1"/>
          <w:iCs w:val="1"/>
          <w:color w:val="auto"/>
        </w:rPr>
        <w:t>—</w:t>
      </w:r>
      <w:r>
        <w:rPr>
          <w:rFonts w:ascii="Arial" w:cs="Arial" w:eastAsia="Arial" w:hAnsi="Arial"/>
          <w:sz w:val="17"/>
          <w:szCs w:val="17"/>
          <w:color w:val="auto"/>
        </w:rPr>
        <w:t>While the majority of our direct sales efforts are supported through professional inside sales staff, major accounts within certain industries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a more personal, face-to-face strategic sales approach. We continue to expand this team to meet the demand of the markets.</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Distributors, Resellers, and Strategic Partners</w:t>
      </w:r>
      <w:r>
        <w:rPr>
          <w:rFonts w:ascii="Arial" w:cs="Arial" w:eastAsia="Arial" w:hAnsi="Arial"/>
          <w:sz w:val="16"/>
          <w:szCs w:val="16"/>
          <w:i w:val="1"/>
          <w:iCs w:val="1"/>
          <w:color w:val="auto"/>
        </w:rPr>
        <w:t>—</w:t>
      </w:r>
      <w:r>
        <w:rPr>
          <w:rFonts w:ascii="Arial" w:cs="Arial" w:eastAsia="Arial" w:hAnsi="Arial"/>
          <w:sz w:val="16"/>
          <w:szCs w:val="16"/>
          <w:color w:val="auto"/>
        </w:rPr>
        <w:t>In conjunction with direct-to-client sales efforts, we engage value-added distributors, resellers, and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Marketing</w:t>
      </w:r>
      <w:r>
        <w:rPr>
          <w:rFonts w:ascii="Arial" w:cs="Arial" w:eastAsia="Arial" w:hAnsi="Arial"/>
          <w:sz w:val="18"/>
          <w:szCs w:val="18"/>
          <w:i w:val="1"/>
          <w:iCs w:val="1"/>
          <w:color w:val="auto"/>
        </w:rPr>
        <w:t>—</w:t>
      </w:r>
      <w:r>
        <w:rPr>
          <w:rFonts w:ascii="Arial" w:cs="Arial" w:eastAsia="Arial" w:hAnsi="Arial"/>
          <w:sz w:val="18"/>
          <w:szCs w:val="18"/>
          <w:color w:val="auto"/>
        </w:rPr>
        <w:t>We have implemented several methods to market our products, including participation in trade shows and seminars, advertising, public relations,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sales literature and product specifications and ongoing communication with prospective clients, distributors, resellers, strategic partners and our installed base of current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developing unique technology and using our analytical capabilities to deliver solutions that transform the way organizations view data.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our business through the following strategic approach:</w:t>
      </w:r>
    </w:p>
    <w:p>
      <w:pPr>
        <w:spacing w:after="0" w:line="207" w:lineRule="exact"/>
        <w:rPr>
          <w:sz w:val="20"/>
          <w:szCs w:val="20"/>
          <w:color w:val="auto"/>
        </w:rPr>
      </w:pPr>
    </w:p>
    <w:p>
      <w:pPr>
        <w:ind w:left="300" w:right="20" w:hanging="292"/>
        <w:spacing w:after="0" w:line="282"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 Risk Management Industry</w:t>
      </w:r>
      <w:r>
        <w:rPr>
          <w:rFonts w:ascii="Arial" w:cs="Arial" w:eastAsia="Arial" w:hAnsi="Arial"/>
          <w:sz w:val="18"/>
          <w:szCs w:val="18"/>
          <w:color w:val="auto"/>
        </w:rPr>
        <w:t>—providing actionable intelligence in support of a multitude of use cases, such as the verification and authentication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identities, due diligence, prevention of fraud and abuse, legislative compliance, and debt collection.</w:t>
      </w:r>
    </w:p>
    <w:p>
      <w:pPr>
        <w:spacing w:after="0" w:line="53" w:lineRule="exact"/>
        <w:rPr>
          <w:rFonts w:ascii="Arial" w:cs="Arial" w:eastAsia="Arial" w:hAnsi="Arial"/>
          <w:sz w:val="18"/>
          <w:szCs w:val="18"/>
          <w:color w:val="auto"/>
        </w:rPr>
      </w:pPr>
    </w:p>
    <w:p>
      <w:pPr>
        <w:ind w:left="300" w:right="240" w:hanging="292"/>
        <w:spacing w:after="0" w:line="282"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Custom Analytics</w:t>
      </w:r>
      <w:r>
        <w:rPr>
          <w:rFonts w:ascii="Arial" w:cs="Arial" w:eastAsia="Arial" w:hAnsi="Arial"/>
          <w:sz w:val="18"/>
          <w:szCs w:val="18"/>
          <w:color w:val="auto"/>
        </w:rPr>
        <w:t>—enabling the public and private sectors to leverage our advanced data fusion platform and analytical applications to obtain insight</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 to decision-making processes throughout each client organization.</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will remain focused on building the business organically and will continue to devote resources to the following to ensure that we are well positioned within the industry: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Continuous Advancement of Our Technology and Data to Cross-sell and Upsell</w:t>
      </w:r>
      <w:r>
        <w:rPr>
          <w:rFonts w:ascii="Arial" w:cs="Arial" w:eastAsia="Arial" w:hAnsi="Arial"/>
          <w:sz w:val="17"/>
          <w:szCs w:val="17"/>
          <w:color w:val="auto"/>
        </w:rPr>
        <w:t>—We strongly believe that our ability to continually innovate and invest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into our technology and data is a key foundation to our success. In addition to improving our predictive software and underlying technology platform, we aim to provide new solutions from our data repository in an effort to offer the greatest value to our clients. We believe this allocation of resources will augment our value proposition for both existing and prospective clients. As we invest in our technology platform and data assets, we will always do so with a view towards providing solutions that deliver scalability, functionality and interoperability. Our technology platform is designed to deliver reliable and accurate information with the scale of global populations and cohorts in mind. Derived semantic insight increases exponentially with each new data asset, creating compounded additional value that can be used by supervised and unsupervised machine learning algorithms. As a result of our ability to process transactional data, self-reported data, and other proprietary datasets at massive scale, we are focused on creating a dynamic platform that maximizes interoperability and continues to drive growth opportunities within our installed customer base.</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Selective Acquisitions</w:t>
      </w:r>
      <w:r>
        <w:rPr>
          <w:rFonts w:ascii="Arial" w:cs="Arial" w:eastAsia="Arial" w:hAnsi="Arial"/>
          <w:sz w:val="17"/>
          <w:szCs w:val="17"/>
          <w:i w:val="1"/>
          <w:iCs w:val="1"/>
          <w:color w:val="auto"/>
        </w:rPr>
        <w:t>—</w:t>
      </w:r>
      <w:r>
        <w:rPr>
          <w:rFonts w:ascii="Arial" w:cs="Arial" w:eastAsia="Arial" w:hAnsi="Arial"/>
          <w:sz w:val="17"/>
          <w:szCs w:val="17"/>
          <w:color w:val="auto"/>
        </w:rPr>
        <w:t>In addition to organic growth, we may, in the future, make acquisitions of businesses or technologies that advance our objectives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enhance shareholder value. We are focused on identifying complementary technologies and businesses that advance our strategic approach. While we maintain our long-term strategy of increasing revenue, gaining market share and enhancing shareholder value through internal development and organic growth, we will continually seek to identify and pursue acquisition opportunities that fit within our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Competition in the big data and analytics sector centers on innovation, product stability, pricing and customer service. The market for our products and services is highly competitive and is subject to constant change. We compete on the basis of differentiated solutions, analytical capabilities, integration with our clients’ technology, client relationships, service stability, innovation and price. We believe we are well-positioned to effectively compete on all fronts.</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next-generation data fusion technology, analytical capabilities, robust database, and the intelligent design of our cloud-based infrastructure will allow us to differentiate ourselves from our competition in flexibility, capability, service and price.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6" w:name="page7"/>
    <w:bookmarkEnd w:id="6"/>
    <w:p>
      <w:pPr>
        <w:ind w:right="180"/>
        <w:spacing w:after="0" w:line="264" w:lineRule="auto"/>
        <w:rPr>
          <w:sz w:val="20"/>
          <w:szCs w:val="20"/>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Certain companies in the big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big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Customers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December 31, 2018, there was one customer that accounted for 11% of total revenue. During the year ended December 31, 2017, no individual customer accounted for more than 10% of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no individual customer accounted for more than 10% of the Company’s accounts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the major credit bureaus, including our largest data supplier. The Company’s other data suppliers include strategic partners, as well as various government and public records repositories. Our largest data supplier, with whom we have expanded our relationship while securing favorable business terms over the years, accounted for approximately 46% of our total data acquisition costs for the year ended December 31, 2018, compared to approximately 43% for the year ended December 31, 2017.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us and we may terminate this agreement by providing not less than 24 months’ advance written notice to this supplier. The remaining minimum purchase commitments through the end of the initial term is $14.9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use data acquired through licensing rights from approximately 20 providers. The loss of any one of these providers could have an immediate near-term impact on our financial position, results of operations, and liquidity. Also see “Concentration of Suppliers”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various federal, state, and local laws, rules, and regulations, including, without limitation, the Gramm-Leach-Bliley Act (15 U.S.C.</w:t>
      </w:r>
    </w:p>
    <w:p>
      <w:pPr>
        <w:spacing w:after="0" w:line="46" w:lineRule="exact"/>
        <w:rPr>
          <w:sz w:val="20"/>
          <w:szCs w:val="20"/>
          <w:color w:val="auto"/>
        </w:rPr>
      </w:pPr>
    </w:p>
    <w:p>
      <w:pPr>
        <w:ind w:right="80" w:firstLine="8"/>
        <w:spacing w:after="0" w:line="252"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6801- 6809) (“GLBA”), the Driver’s Privacy Protection Act (18 U.S.C. §§ 2721- 2725) (“DPPA”) and the Federal Trade Commission Act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are subject to seasonal fluctuation. Historically, certain products experience seasonal pressure during the fourth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big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employ 95 full-time and 2 part-time employees as of December 31, 2018. None of our employees are represented by a labor organization, and none are party to any collective bargaining agreement. We have not experienced any work stoppages and consider our relations with our employees to be good. Competition in the recruiting of personnel in the big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Our principal executive offices are located at 2650 North Military Trail, Suite 300, Boca Raton, Florida 33431 and our telephone number is (561) 757-4000. Our internet website is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The website address provided in this 2018 Form 10-K is not intended to function as a hyperlink and information obtained on the websites is not and should not be considered part of this 2018 Form 10-K and is not incorporated by reference in this 2018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on our investor relations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as soon as reasonably practicable after we electronically file such material with, or furnish it to, the SEC. The SEC maintains an internet website located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that contains the information we file or furnish electronically with the SEC.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220" w:type="dxa"/>
            <w:vAlign w:val="bottom"/>
          </w:tcPr>
          <w:p>
            <w:pPr>
              <w:spacing w:after="0"/>
              <w:rPr>
                <w:sz w:val="20"/>
                <w:szCs w:val="20"/>
                <w:color w:val="auto"/>
              </w:rPr>
            </w:pPr>
            <w:r>
              <w:rPr>
                <w:rFonts w:ascii="Arial" w:cs="Arial" w:eastAsia="Arial" w:hAnsi="Arial"/>
                <w:sz w:val="18"/>
                <w:szCs w:val="18"/>
                <w:color w:val="auto"/>
              </w:rPr>
              <w:t>Our executive officers are as follows: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4"/>
                <w:szCs w:val="24"/>
                <w:color w:val="auto"/>
              </w:rPr>
            </w:pPr>
          </w:p>
        </w:tc>
      </w:tr>
      <w:tr>
        <w:trPr>
          <w:trHeight w:val="195"/>
        </w:trPr>
        <w:tc>
          <w:tcPr>
            <w:tcW w:w="4220" w:type="dxa"/>
            <w:vAlign w:val="bottom"/>
          </w:tcPr>
          <w:p>
            <w:pPr>
              <w:spacing w:after="0" w:line="195" w:lineRule="exact"/>
              <w:rPr>
                <w:sz w:val="20"/>
                <w:szCs w:val="20"/>
                <w:color w:val="auto"/>
              </w:rPr>
            </w:pPr>
            <w:r>
              <w:rPr>
                <w:rFonts w:ascii="Arial" w:cs="Arial" w:eastAsia="Arial" w:hAnsi="Arial"/>
                <w:sz w:val="18"/>
                <w:szCs w:val="18"/>
                <w:color w:val="auto"/>
              </w:rPr>
              <w:t>Derek Dubner</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Chief Executive Officer and Interim Chairman</w:t>
            </w:r>
          </w:p>
        </w:tc>
        <w:tc>
          <w:tcPr>
            <w:tcW w:w="20" w:type="dxa"/>
            <w:vAlign w:val="bottom"/>
          </w:tcPr>
          <w:p>
            <w:pPr>
              <w:spacing w:after="0"/>
              <w:rPr>
                <w:sz w:val="16"/>
                <w:szCs w:val="16"/>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James Reilly</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Daniel MacLachlan</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Jeff Dell</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Information Officer</w:t>
            </w:r>
          </w:p>
        </w:tc>
        <w:tc>
          <w:tcPr>
            <w:tcW w:w="2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69" w:right="219" w:bottom="1440" w:gutter="0" w:footer="0" w:header="0"/>
        </w:sectPr>
      </w:pPr>
    </w:p>
    <w:bookmarkStart w:id="8" w:name="page9"/>
    <w:bookmarkEnd w:id="8"/>
    <w:p>
      <w:pPr>
        <w:ind w:right="100"/>
        <w:spacing w:after="0" w:line="287" w:lineRule="auto"/>
        <w:rPr>
          <w:sz w:val="20"/>
          <w:szCs w:val="20"/>
          <w:color w:val="auto"/>
        </w:rPr>
      </w:pPr>
      <w:r>
        <w:rPr>
          <w:rFonts w:ascii="Arial" w:cs="Arial" w:eastAsia="Arial" w:hAnsi="Arial"/>
          <w:sz w:val="16"/>
          <w:szCs w:val="16"/>
          <w:b w:val="1"/>
          <w:bCs w:val="1"/>
          <w:color w:val="auto"/>
        </w:rPr>
        <w:t>Mr. Derek Dubner</w:t>
      </w:r>
      <w:r>
        <w:rPr>
          <w:rFonts w:ascii="Arial" w:cs="Arial" w:eastAsia="Arial" w:hAnsi="Arial"/>
          <w:sz w:val="16"/>
          <w:szCs w:val="16"/>
          <w:color w:val="auto"/>
        </w:rPr>
        <w:t>, 47, has served as the Chief Executive Officer and a director of the Company since its formation in August 2017 and continuing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the Spin-off from cogint. Mr. Dubner was appointed as Interim Chairman of our board of directors in September 2018. Mr. Dubner served as the Chief Executive Officer and a director of cogint, from March 2016 until the Spin-off. Mr. Dubner served as our Co-Chief Executive Officer from March 2015 until March 2016, when he was appointed cogint’s Chief Executive Officer. Mr. Dubner has over 20 years of experience in the data and analytics industry.</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Mr. James Reilly</w:t>
      </w:r>
      <w:r>
        <w:rPr>
          <w:rFonts w:ascii="Arial" w:cs="Arial" w:eastAsia="Arial" w:hAnsi="Arial"/>
          <w:sz w:val="18"/>
          <w:szCs w:val="18"/>
          <w:color w:val="auto"/>
        </w:rPr>
        <w:t>, 44, has served as President of the Company since its formation in August 2017 and continuing through its Spin-off from cogint. Mr. Reilly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of cogint from July 2017 until the Spin-off, and previously from June 2015 until June 30,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color w:val="auto"/>
        </w:rPr>
        <w:t>Mr. Daniel MacLachlan</w:t>
      </w:r>
      <w:r>
        <w:rPr>
          <w:rFonts w:ascii="Arial" w:cs="Arial" w:eastAsia="Arial" w:hAnsi="Arial"/>
          <w:sz w:val="17"/>
          <w:szCs w:val="17"/>
          <w:color w:val="auto"/>
        </w:rPr>
        <w:t>, 40, has served as the Chief Financial Officer of the Company since its formation in August 2017 and continuing through its Spin-off from cogint. Mr. MacLachlan served as Chief Financial Officer of cogint from March 2016 until the Spin-off and brings over a decade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substantially all of the assets of TLO, through a 363 sale process in December 2013. Mr. MacLachlan was the Chief Financial Officer of TLO from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Mr. Jeff Dell</w:t>
      </w:r>
      <w:r>
        <w:rPr>
          <w:rFonts w:ascii="Arial" w:cs="Arial" w:eastAsia="Arial" w:hAnsi="Arial"/>
          <w:sz w:val="18"/>
          <w:szCs w:val="18"/>
          <w:color w:val="auto"/>
        </w:rPr>
        <w:t>, 47, has served as the Chief Information Officer of the Company since its formation in August 2017 and continuing through its Spin-off from</w:t>
      </w:r>
      <w:r>
        <w:rPr>
          <w:rFonts w:ascii="Arial" w:cs="Arial" w:eastAsia="Arial" w:hAnsi="Arial"/>
          <w:sz w:val="18"/>
          <w:szCs w:val="18"/>
          <w:b w:val="1"/>
          <w:bCs w:val="1"/>
          <w:color w:val="auto"/>
        </w:rPr>
        <w:t xml:space="preserve"> </w:t>
      </w:r>
      <w:r>
        <w:rPr>
          <w:rFonts w:ascii="Arial" w:cs="Arial" w:eastAsia="Arial" w:hAnsi="Arial"/>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business, financial condition, operating results, and cash flows may be impacted by a number of factors, many of which are beyond our control, including those set forth below and elsewhere in this 2018 Form 10-K, the occurrence of any one of which could have a material adverse effect on our actual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negative cash flow from operations which makes our future results uncertain.</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Since inception, we have incurred operating losses and negative cash flow from operations. We need to generate greater revenue from the sale of our products and services if we are to achieve and sustain profitability. If we are unable to generate greater revenue, we may not be able to achieve profitability or generate positive cash flow from operations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personally identifiable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Arial" w:cs="Arial" w:eastAsia="Arial" w:hAnsi="Arial"/>
          <w:sz w:val="18"/>
          <w:szCs w:val="18"/>
          <w:b w:val="1"/>
          <w:bCs w:val="1"/>
          <w:color w:val="auto"/>
        </w:rPr>
        <w:t>.</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also rely heavily on large information technology databases and the ability to provide services using that information.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throughout the United States. If we grow and obtain more visibility, we may be more vulnerable to hacking or other attempts to gain unauthorized access to our system. Moreover, the increased use of mobile devices also increases the risk of intentional and unintentional theft or disclosure of data including personal information. We may be unable to anticipate all of these vulnerabilities and implement adequate preventative measures and, in some cases, we may not be able to immediately detect a security incident. Any security incident may also result in a misappropriation of our proprietary information or that of our users, clients, and third-party vendors, which could result in legal and financial liability, as well as harm to our reputation.</w:t>
      </w:r>
    </w:p>
    <w:p>
      <w:pPr>
        <w:spacing w:after="0" w:line="19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Privacy concerns relating to the collection, use, accuracy, correction and sharing of personal information and any perceived or actual unauthorized disclosure of personally identifiable information, whether through breach of our network by an unauthorized party, employee theft, misuse, or error could harm our reputation, impair our ability to attract website visitors and to attract and retain clients, result in a loss of confidence in the security of our products and services, or subject us to claims or litigation arising from damages suffered by consumers, and thereby harm our business and results of operations. In addition, we could incur significant costs for which our insurance policies may not adequately cover and cause us to expend significant resources in protecting against security breaches and complying with the multitude of state and federal laws regarding data privacy and data breach notification obligations.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must adequately protect our intellectual property in order to prevent loss of valuable proprietary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 In addition, others may independently discover trade secrets and proprietary information, and in such cases we could not assert any trade secret rights against such parties.</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4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important focus of our business is to identify business partners who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consummate any future acquisitions, we will be subject to the risks inherent in identifying, acquiring and operating a newly acquired business</w:t>
      </w:r>
      <w:r>
        <w:rPr>
          <w:rFonts w:ascii="Arial" w:cs="Arial" w:eastAsia="Arial" w:hAnsi="Arial"/>
          <w:sz w:val="16"/>
          <w:szCs w:val="16"/>
          <w:i w:val="1"/>
          <w:iCs w:val="1"/>
          <w:color w:val="auto"/>
        </w:rPr>
        <w:t>.</w:t>
      </w:r>
    </w:p>
    <w:p>
      <w:pPr>
        <w:spacing w:after="0" w:line="24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59"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disruption of our existing businesses, including the diversion of management attention and the redeployment of resources;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entering new markets or industries in which we have limited prior experience;</w:t>
      </w:r>
    </w:p>
    <w:p>
      <w:pPr>
        <w:spacing w:after="0" w:line="117" w:lineRule="exact"/>
        <w:rPr>
          <w:rFonts w:ascii="Arial" w:cs="Arial" w:eastAsia="Arial" w:hAnsi="Arial"/>
          <w:sz w:val="18"/>
          <w:szCs w:val="18"/>
          <w:color w:val="auto"/>
        </w:rPr>
      </w:pPr>
    </w:p>
    <w:p>
      <w:pPr>
        <w:ind w:left="380" w:right="42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 w:name="page12"/>
    <w:bookmarkEnd w:id="11"/>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hidden or fraudulent liabilities;</w:t>
      </w:r>
    </w:p>
    <w:p>
      <w:pPr>
        <w:spacing w:after="0" w:line="117"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difficulties in integrating, aligning and coordinating organizations which will likely be geographically separated and may involve diverse business operations and corporate cultures;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difficulties in integrating and retaining key management, sales, research and development, production and other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key employees, customers or distribution partners of the acquired businesses;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difficulties in incorporating the acquired business into our organization;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customers, distributors or suppliers;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difficulties in integrating or expanding information technology systems and other business processes to accommodate the acquired business;</w:t>
      </w:r>
    </w:p>
    <w:p>
      <w:pPr>
        <w:spacing w:after="0" w:line="128" w:lineRule="exact"/>
        <w:rPr>
          <w:rFonts w:ascii="Arial" w:cs="Arial" w:eastAsia="Arial" w:hAnsi="Arial"/>
          <w:sz w:val="17"/>
          <w:szCs w:val="17"/>
          <w:color w:val="auto"/>
        </w:rPr>
      </w:pPr>
    </w:p>
    <w:p>
      <w:pPr>
        <w:ind w:left="380" w:right="80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future impairments of goodwill and other intangible assets if the acquired business does not perform as expected;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obtain necessary government approvals for the acquisition, if any;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successfully operating the acquired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is subject to regulation under the GLBA, the DPPA, the FTC Act, and various other federal, state and local laws and regulations. These laws and regulations, which generally are designed to protect the privacy of the public and to prevent the misuse of personal information are complex, change frequently and have tended to become more stringent over time. We have already incurred significant expenses in our attempt to ensure compliance with these laws.</w:t>
      </w:r>
    </w:p>
    <w:p>
      <w:pPr>
        <w:spacing w:after="0" w:line="18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Currently, public concern is high with regard to the collection, use, accuracy, correction and sharing of personal information, including Social Security numbers, dates of birth, financial information, department of motor vehicle data and other behavioral data. In addition, many consumer advocates, privacy advocates, legislatures and government regulators believe that existing laws and regulations do not adequately protect privacy and have become increasingly concerned with the collection and use of this type of personal information. A number of data incidents announced recently by companies in various industries has resulted in significantly increased legislative and regulatory activity at the federal and state levels as lawmakers and regulators continue to propose a wide range of further restrictions on the collection, dissemination or commercial use of personal information, information security standards, and data security incident disclosure standards. This and additional legislative or regulatory efforts in the United States, or action by Executive Order of the President of the United States, could further regulate the collection, use, communication, access, accuracy, obsolescence, sharing, correction and security of this personal information. In addition, any perception that our practices or products are an invasion of privacy, whether or not consistent with current or future regulations and industry practices, may subject us to public criticism, private class actions, reputational harm, or claims by regulators, which could disrupt our business and expose us to increased liability.</w:t>
      </w:r>
    </w:p>
    <w:p>
      <w:pPr>
        <w:spacing w:after="0" w:line="18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clients could affect the activities or strategies of such clients and, therefore, lead to reductions in their level of business with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legal and regulatory developments also could have a material adverse effect on our business, financial condition or results of operations:</w:t>
      </w:r>
    </w:p>
    <w:p>
      <w:pPr>
        <w:spacing w:after="0" w:line="129" w:lineRule="exact"/>
        <w:rPr>
          <w:sz w:val="20"/>
          <w:szCs w:val="20"/>
          <w:color w:val="auto"/>
        </w:rPr>
      </w:pPr>
    </w:p>
    <w:p>
      <w:pPr>
        <w:ind w:left="580" w:right="120" w:hanging="518"/>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62" w:lineRule="exact"/>
        <w:rPr>
          <w:rFonts w:ascii="Arial" w:cs="Arial" w:eastAsia="Arial" w:hAnsi="Arial"/>
          <w:sz w:val="18"/>
          <w:szCs w:val="18"/>
          <w:color w:val="auto"/>
        </w:rPr>
      </w:pPr>
    </w:p>
    <w:p>
      <w:pPr>
        <w:ind w:left="580" w:right="240" w:hanging="518"/>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cultural and consumer attitudes in favor of further restrictions on information collection and sharing, which may lead to regulations that prevent full utilization of our solutions;</w:t>
      </w:r>
    </w:p>
    <w:p>
      <w:pPr>
        <w:spacing w:after="0" w:line="62" w:lineRule="exact"/>
        <w:rPr>
          <w:rFonts w:ascii="Arial" w:cs="Arial" w:eastAsia="Arial" w:hAnsi="Arial"/>
          <w:sz w:val="18"/>
          <w:szCs w:val="18"/>
          <w:color w:val="auto"/>
        </w:rPr>
      </w:pPr>
    </w:p>
    <w:p>
      <w:pPr>
        <w:ind w:left="580" w:hanging="51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data suppliers or customers to comply with laws or regulations, where mutual compliance is required;</w:t>
      </w:r>
    </w:p>
    <w:p>
      <w:pPr>
        <w:spacing w:after="0" w:line="117" w:lineRule="exact"/>
        <w:rPr>
          <w:rFonts w:ascii="Arial" w:cs="Arial" w:eastAsia="Arial" w:hAnsi="Arial"/>
          <w:sz w:val="18"/>
          <w:szCs w:val="18"/>
          <w:color w:val="auto"/>
        </w:rPr>
      </w:pPr>
    </w:p>
    <w:p>
      <w:pPr>
        <w:ind w:left="580" w:hanging="51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solutions to comply with current laws and regulations; and</w:t>
      </w:r>
    </w:p>
    <w:p>
      <w:pPr>
        <w:spacing w:after="0" w:line="117" w:lineRule="exact"/>
        <w:rPr>
          <w:rFonts w:ascii="Arial" w:cs="Arial" w:eastAsia="Arial" w:hAnsi="Arial"/>
          <w:sz w:val="18"/>
          <w:szCs w:val="18"/>
          <w:color w:val="auto"/>
        </w:rPr>
      </w:pPr>
    </w:p>
    <w:p>
      <w:pPr>
        <w:ind w:left="580" w:hanging="51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solutions to adapt to changes in the regulatory environment in an efficient, cost-effective manner.</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82"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Arial" w:cs="Arial" w:eastAsia="Arial" w:hAnsi="Arial"/>
          <w:sz w:val="15"/>
          <w:szCs w:val="15"/>
          <w:b w:val="1"/>
          <w:bCs w:val="1"/>
          <w:color w:val="auto"/>
        </w:rPr>
        <w:t>.</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Legal proceedings arise frequently as part of the normal course of our business. These may include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relationships with key customers may be materially diminished or terminated.</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it could adversely affect our business.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future success depends, in part, on our ability to attract and retain key personnel. Our future also depends on the continued services of Derek Dubner, our Chief Executive Officer and Interim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respond to rapid technological changes in the big data and analytics sector, we may lose customers and/or our products and/or services may become obsolete.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big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among certain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For example, the banking and financial market downturn that began to affect U.S. businesses in 2008 caused a greater focus on expense reduction by customers of businesses similar to ours. If businesses in these industries experience economic hardship, we cannot assure you that we will be able to generate future revenue growth. These types of disruptions could lead to a decline in the volumes of services we provide our customers and could negatively impact our revenue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could lose our access to data sources which could prevent us from providing our services.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customers, strategic partners and various government and public records repositories. In some cases, we compete with our data providers. Our data providers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w:t>
      </w:r>
    </w:p>
    <w:p>
      <w:pPr>
        <w:spacing w:after="0" w:line="16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own and host a large amount of sensitive and confidential consumer information including financial information and personally identifiable information. This data is often accessed through secure transmissions over public and private networks, including the internet. Despite our physical security, implementation of technical controls and contractual precautions to identify, detect and prevent the unauthorized access to and alteration and disclosure of our data,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We must continually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nationwide provider of risk and information solutions, we collect, store and transmit files on millions of consumers. These files may contain non-public personal information and other information, and we have implemented technical and physical security policies, procedures and systems we believe are reasonably designed to protect this information from unauthorized access. However, due to the sensitive nature of the information we collect, store and transmit, it is not unusual for efforts to occur (coordinated or otherwise) by unauthorized persons to attempt to obtain access to our systems or data, or to inhibit our ability to deliver products or services to a customer.</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Due to concerns about data security and integrity, a growing number of legislative and regulatory bodies have adopted consumer notification and other requirements in the event that consumer information is accessed by unauthorized persons and additional regulations regarding the use, access, accuracy and security of such data are possible. In the United States, federal and state laws provide for over 40 disparate notification regimes, all of which we are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We face intense competition from both start-up and established companies that may have significant advantages over us and our products.</w:t>
      </w:r>
    </w:p>
    <w:p>
      <w:pPr>
        <w:spacing w:after="0" w:line="23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market for our products and services is intensely competitive. There are numerous companies competing with us in various segments of the big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competitors in the big data and analytics sector include Palantir, RELX Group (LexisNexis), TransUnion, and Thomson Reuters. Current and potential competitors may have one or more of the following significant advantages:</w:t>
      </w:r>
    </w:p>
    <w:p>
      <w:pPr>
        <w:spacing w:after="0" w:line="6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financial, technical and marketing resources;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better name recognition;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comprehensive solutions;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better or more extensive cooperative relationships;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larger customer base.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further consolidation in our end-customer markets, which may adversely affect our revenue.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newer products do not achieve market acceptance, revenue growth may suffer.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products have been in the market 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8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6" w:name="page17"/>
    <w:bookmarkEnd w:id="16"/>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and improve our systems, our technology, and our interfaces with data sources and customers, demand for our services could be adversely affected.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7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respond to changing customer needs and regulatory requirements, including being able to bring our new products to the market quickly; and</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transition customers and data sources successfully to new interfaces or other technologies.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big data and analytics sector may limit market acceptance of our products and services.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Further, business combinations are creating companies with larger market shares, customer bases, sales forces, product offerings and technology and marketing expertise, which may make it more difficult for us to compete.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may incur substantial expenses defending the Company against claims of infringement.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6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the Spin-off and through the date hereof, 2,121,000 shares underlying awards have been granted under the Red Violet, Inc. 2018 Stock Incentive Plan (the “2018 Plan”), which might vest and be delivered through 2022. Pursuant to the 2018 Plan, our board of directors may grant stock options, restricted stock units (“RSUs”), or other equity awards to our directors and employees. Future acquisitions may involve the issuance of our common stock as payment, in part or in full, for the business or assets acquired. The benefits derived by us from an acquisition might not exceed the dilutive effect of the shares issued as part of the acquisition. Pursuant to the potential plans, our board of directors may grant stock options, RSUs, or other equity awards to our directors and employees. When these awards vest or are exercised, the issuance of shares of common stock underlying these awards will have a dilutive effect on our common stock.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The concentration of our stock ownership may limit individual stockholder ability to influence corporate matters.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December 31, 2018, officers and directors of the Company owned 4% of our common stock (12% on a fully diluted basis). In addition, two other significant stockholders of the Company owned 42% of our common stock (38%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available to emerging growth companies will make our shares of common stock less attractive to investors.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we expect that we may need additional capital in the future, we cannot be certain that it will be available to us on acceptable terms when required, or at all. Disruptions in the global equity and credit markets may limit our ability to access capital.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headquarters are located at 2650 North Military Trail, Suite 300, Boca Raton, Florida 33431, where the Company leases 21,020 rentable square feet of office space in accordance with an 89-month lease agreement as amended and effective in January 2017. Our Seattle office is located at 1111 Third Avenue, Seattle, Washington 98101, where we lease 6,003 rentable square feet of office space in accordance with a 90-month lease agreement entered into in April 2017.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t>On July 22, 2017, the Company entered into a settlement agreement with TransUnion and TRADS, settling all litigation with TransUnion and TRADS (collectively, the “TRADS Litigation”). Company subsidiary, IDI Holdings, paid $7.0 million to TRADS over the course of one year to settle the TRADS Litigation. The terms of the settlement agreement are confidential. The Company recorded the expense of $7.0 million in general and administrative expenses during the second quarter of 2017</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common stock is listed on The NASDAQ Capital Market (“NASDAQ”) under the symbol “RDVT,” and began regular-way trading on March 27, 2018. We paid no dividends or made any other distributions in respect of our common stock since March 27, 2018, and we have no plans to pay any dividends or make any other distributions in the future.</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4, 2019, there were 10,266,613 shares of our common stock issued and outstanding. As of March 4, 2019, there were 32 record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compensation plan under which our equity securities are authorized for issuance as of December 31, 2018.</w:t>
      </w:r>
    </w:p>
    <w:p>
      <w:pPr>
        <w:sectPr>
          <w:pgSz w:w="11900" w:h="16838" w:orient="portrait"/>
          <w:cols w:equalWidth="0" w:num="1">
            <w:col w:w="11320"/>
          </w:cols>
          <w:pgMar w:left="24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25"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r>
        <w:rPr>
          <w:rFonts w:ascii="Arial" w:cs="Arial" w:eastAsia="Arial" w:hAnsi="Arial"/>
          <w:sz w:val="18"/>
          <w:szCs w:val="18"/>
          <w:color w:val="auto"/>
        </w:rPr>
        <w:t xml:space="preserve"> Equity compensation plans not approved by security 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Weighted-average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be issued upon exercise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exercise price of</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of outstanding options,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outstanding options,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62"/>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warrants and rights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4"/>
        </w:trPr>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2,121,000</w:t>
            </w:r>
          </w:p>
        </w:tc>
        <w:tc>
          <w:tcPr>
            <w:tcW w:w="40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879,000</w:t>
            </w:r>
          </w:p>
        </w:tc>
        <w:tc>
          <w:tcPr>
            <w:tcW w:w="0" w:type="dxa"/>
            <w:vAlign w:val="bottom"/>
          </w:tcPr>
          <w:p>
            <w:pPr>
              <w:spacing w:after="0"/>
              <w:rPr>
                <w:sz w:val="1"/>
                <w:szCs w:val="1"/>
                <w:color w:val="auto"/>
              </w:rPr>
            </w:pPr>
          </w:p>
        </w:tc>
      </w:tr>
      <w:tr>
        <w:trPr>
          <w:trHeight w:val="337"/>
        </w:trPr>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2,121,000</w:t>
            </w:r>
          </w:p>
        </w:tc>
        <w:tc>
          <w:tcPr>
            <w:tcW w:w="4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879,000</w:t>
            </w: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-179705</wp:posOffset>
            </wp:positionV>
            <wp:extent cx="72466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-616585</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80"/>
          </w:cols>
          <w:pgMar w:left="240" w:top="553" w:right="339" w:bottom="1440" w:gutter="0" w:footer="0" w:header="0"/>
          <w:type w:val="continuous"/>
        </w:sectPr>
      </w:pPr>
    </w:p>
    <w:p>
      <w:pPr>
        <w:spacing w:after="0" w:line="2" w:lineRule="exact"/>
        <w:rPr>
          <w:sz w:val="20"/>
          <w:szCs w:val="20"/>
          <w:color w:val="auto"/>
        </w:rPr>
      </w:pPr>
    </w:p>
    <w:p>
      <w:pPr>
        <w:ind w:left="380" w:right="140" w:hanging="372"/>
        <w:spacing w:after="0" w:line="277" w:lineRule="auto"/>
        <w:tabs>
          <w:tab w:leader="none" w:pos="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equity compensation plan approved by security holders is the 2018 Plan, as defined in Note 11, “Share-based compensation,” to the Consolidated Financial Statements.</w:t>
      </w:r>
    </w:p>
    <w:p>
      <w:pPr>
        <w:spacing w:after="0" w:line="75" w:lineRule="exact"/>
        <w:rPr>
          <w:rFonts w:ascii="Arial" w:cs="Arial" w:eastAsia="Arial" w:hAnsi="Arial"/>
          <w:sz w:val="15"/>
          <w:szCs w:val="15"/>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Represents 2,121,000 shares of common stock to be issued upon the vesting of RSUs.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type w:val="continuous"/>
        </w:sectPr>
      </w:pPr>
    </w:p>
    <w:bookmarkStart w:id="21" w:name="page22"/>
    <w:bookmarkEnd w:id="21"/>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related notes included in this Annual Report on Form 10-K (“2018 Form 10-K”). This 2018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2018 Form 10-K.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Red Violet, Inc. (“we,” “us,” “our,” “red violet,” or the “Company”), a Delaware corporation, is a software and services company specializing in big data analysis, providing cloud-based, mission-critical solutions to enterprises in a variety of industries. red violet’s mission is to transform data into intelligence utilizing our proprietary technology platform to solve complex problems for our clients. Harnessing the power of data fusion and powerful analytics, we transform data into intelligence, in a fast and efficient manner, so our clients can spend their time on what matters most -- running their organizations with confidence.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 We empower clients across markets and industries to better execute all aspects of their business, from managing risk, identifying fraud and abuse, and ensuring legislative compliance, to debt recovery.</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unique and compelling solutions essential to the daily workflow of organizations within both the public and private sectors. Our cloud-based data fusion platform, combined with our massive database consisting of public-records, proprietary and publicly-available data, as well as a unique repository of self-reported information on millions of consumers, enables the delivery of differentiated products and solutions used for a variety of essential functions. These essential functions include identification and authentication, and investigation and validation.</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Leveraging leading-edge technology, proprietary algorithms, and massive datasets, and through intuitive and powerful analytical applications, we provide solutions to organizations within the risk management industry. CORE is our next generation data fusion platform, providing mission-critical information about individuals, businesses and assets to a variety of markets and industries. Through machine learning and advanced analytics, we use the power of data fusion to ingest and analyze data at a massive scale. The derived information from the data fusion process ultimately serves to generate unique solutions for banking and financial services companies, insurance companies, healthcare companies, law enforcement and government, the collection industry, law firms, retail, telecommunications companies, corporate security and investigative firms.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Built in a secure payment card industry (“PCI”) compliant environment, our cloud-based next generation technology delivers greater than four 9s of service uptime. By leveraging our proprietary infrastructure design within the cloud, we currently operate in six datacenters spread geographically across the U.S. and are able to dynamically and seamlessly scale as needed. Using our intelligent framework, and leveraging a microservices architecture where appropriate, we reduce operational cost and complexity, thus delivering superior performance at greatly reduced costs compared to traditional datacenter architectures. Since the release of our CORE platform in May 2016, we have added billions of data records and continue to add over a billion records per month on average. Our average query response time for a comprehensive profile is less than 250 milliseconds versus competitive platforms that measure comprehensive profile response times in seconds.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2" w:name="page23"/>
    <w:bookmarkEnd w:id="22"/>
    <w:p>
      <w:pPr>
        <w:spacing w:after="0" w:line="273" w:lineRule="auto"/>
        <w:rPr>
          <w:sz w:val="20"/>
          <w:szCs w:val="20"/>
          <w:color w:val="auto"/>
        </w:rPr>
      </w:pPr>
      <w:r>
        <w:rPr>
          <w:rFonts w:ascii="Arial" w:cs="Arial" w:eastAsia="Arial" w:hAnsi="Arial"/>
          <w:sz w:val="17"/>
          <w:szCs w:val="17"/>
          <w:color w:val="auto"/>
        </w:rPr>
        <w:t>On March 26, 2018, Fluent, Inc. (“Fluent”), a Delaware corporation, completed a spin-off (the “Spin-off”) of its risk management business from its digital marketing business by way of a distribution of all the shares of common stock of Fluent’s wholly-owned subsidiary, red violet, to Fluent’s stockholders of record as of March 19, 2018 (the “Record Date”) and certain warrant holders.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red violet owns Fluent subsidiaries which previously operated Fluent’s risk management business.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Spin-off, red violet is an independent public company and red violet’s common stock began regular-way trading on The NASDAQ Capital Market under the symbol “RDVT” on March 27, 2018.</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Although the Spin-off was completed on March 26, 2018, we have reflected the Spin-off in the financial statements included in this Form 10-K as if it occurred on March 31, 2018 as we have determined that the impact is not material to the consolidated financial statements.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financial statements present the consolidated results of operations, financial condition, and cash flows of red violet and its subsidiaries. For periods prior to the Spin-off, these financial statements were prepared on a consolidated and combined basis because certain of the entities were under common control. All intercompany accounts and transactions have been eliminated between the consolidated and combined entities.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From the inception of our risk management business in September 2014 through December 2016, the majority of our operations were dedicated to the early-stage development of our business model, including the development of our proprietary, cloud-based technology platform, CORE, and the buildout of our initial-phase suite of products, powered by CORE, to serve a variety of industries within risk management. Beginning in January 2017, with our technology platform production ready and hardened, our initial suite of products released into the marketplace, and a multi-year product roadmap defined, we transformed from a development organization to a sales-driven organization with sales increasing from a $5.8 million annual run-rate for the month ended January 31, 2017 to a $18.6 million annual run-rate for the month ended December 31, 2018.</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are building out our sales organization to drive current products and to introduce new products into the market place. We will incur increased compensation expenses relating to our sales and marketing, executive and administrative, and infrastructure-related personnel as we increase headcount in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affected by the following factors that impact the big data and analytics sector in the United States:</w:t>
      </w:r>
    </w:p>
    <w:p>
      <w:pPr>
        <w:spacing w:after="0" w:line="117" w:lineRule="exact"/>
        <w:rPr>
          <w:sz w:val="20"/>
          <w:szCs w:val="20"/>
          <w:color w:val="auto"/>
        </w:rPr>
      </w:pPr>
    </w:p>
    <w:p>
      <w:pPr>
        <w:ind w:left="380" w:right="160" w:hanging="318"/>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clients serve could reduce the technology and marketing expenditures of our clients and prospective customers.</w:t>
      </w:r>
    </w:p>
    <w:p>
      <w:pPr>
        <w:spacing w:after="0" w:line="80" w:lineRule="exact"/>
        <w:rPr>
          <w:rFonts w:ascii="Arial" w:cs="Arial" w:eastAsia="Arial" w:hAnsi="Arial"/>
          <w:sz w:val="18"/>
          <w:szCs w:val="18"/>
          <w:color w:val="auto"/>
        </w:rPr>
      </w:pPr>
    </w:p>
    <w:p>
      <w:pPr>
        <w:ind w:left="380" w:right="120" w:hanging="318"/>
        <w:spacing w:after="0" w:line="297"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revenue is also significantly influenced by industry trends, including the demand for business analytics services in the industries we serve. Companies are increasingly relying on business analytics and big-data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big data and analytic sector more challenging.</w:t>
      </w:r>
    </w:p>
    <w:p>
      <w:pPr>
        <w:spacing w:after="0" w:line="50" w:lineRule="exact"/>
        <w:rPr>
          <w:rFonts w:ascii="Arial" w:cs="Arial" w:eastAsia="Arial" w:hAnsi="Arial"/>
          <w:sz w:val="16"/>
          <w:szCs w:val="16"/>
          <w:color w:val="auto"/>
        </w:rPr>
      </w:pPr>
    </w:p>
    <w:p>
      <w:pPr>
        <w:ind w:left="380" w:right="220" w:hanging="318"/>
        <w:spacing w:after="0" w:line="297"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clients’ requirements and our profitability and cash flow targets.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Company Specific Trends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also directly affected by company-specific factors, including the following:</w:t>
      </w:r>
    </w:p>
    <w:p>
      <w:pPr>
        <w:spacing w:after="0" w:line="117" w:lineRule="exact"/>
        <w:rPr>
          <w:sz w:val="20"/>
          <w:szCs w:val="20"/>
          <w:color w:val="auto"/>
        </w:rPr>
      </w:pPr>
    </w:p>
    <w:p>
      <w:pPr>
        <w:ind w:left="380" w:right="280" w:hanging="372"/>
        <w:spacing w:after="0" w:line="26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73"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companies in the big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big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the following critical accounting policies govern our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spacing w:after="0" w:line="221" w:lineRule="exact"/>
        <w:rPr>
          <w:sz w:val="20"/>
          <w:szCs w:val="20"/>
          <w:color w:val="auto"/>
        </w:rPr>
      </w:pPr>
      <w:r>
        <w:rPr>
          <w:rFonts w:ascii="Arial" w:cs="Arial" w:eastAsia="Arial" w:hAnsi="Arial"/>
          <w:sz w:val="18"/>
          <w:szCs w:val="18"/>
          <w:color w:val="auto"/>
        </w:rPr>
        <w:t>On January 1, 2018, we adopted Accounting Standards Update (“ASU”) No. 2014-09, “Revenue from Contracts with Customers (Topic 606)”, using the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cit as of January 1, 2018 due to the adoption of Topic 606.</w:t>
      </w:r>
    </w:p>
    <w:p>
      <w:pPr>
        <w:spacing w:after="0" w:line="20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year ended December 31, 2018, 58% of total revenue was attributable to customers with pricing contracts versus 42% attributable to transactional customers. For the year ended December 31, 2017, 36% of total revenue was attributable to customers with pricing contracts versus 64% attributable to transactional customers. Pricing contracts are generally annual contracts or longer, with auto renewal.</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market our services primarily through our own sales force. We also market our services through indirect channels such as resellers, who sell directly to businesses and consumers, which account for a small portion of revenue.</w:t>
      </w:r>
    </w:p>
    <w:p>
      <w:pPr>
        <w:spacing w:after="0" w:line="170"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Revenue is recognized when control of goods or services is transferred to our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we expect to be entitled to in exchange for those goods or services. Our performance obligation is to provide on demand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24" w:name="page25"/>
    <w:bookmarkEnd w:id="24"/>
    <w:p>
      <w:pPr>
        <w:ind w:right="300"/>
        <w:spacing w:after="0" w:line="312" w:lineRule="auto"/>
        <w:rPr>
          <w:sz w:val="20"/>
          <w:szCs w:val="20"/>
          <w:color w:val="auto"/>
        </w:rPr>
      </w:pPr>
      <w:r>
        <w:rPr>
          <w:rFonts w:ascii="Arial" w:cs="Arial" w:eastAsia="Arial" w:hAnsi="Arial"/>
          <w:sz w:val="16"/>
          <w:szCs w:val="16"/>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is recognized over a period of time since the performance obligation is delivered in a series. Our customers simultaneously receive and consume the benefits provided by the Company’s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The Company's revenue arrangements do not contain significant financing components.</w:t>
      </w:r>
    </w:p>
    <w:p>
      <w:pPr>
        <w:spacing w:after="0" w:line="171" w:lineRule="exact"/>
        <w:rPr>
          <w:sz w:val="20"/>
          <w:szCs w:val="20"/>
          <w:color w:val="auto"/>
        </w:rPr>
      </w:pPr>
    </w:p>
    <w:p>
      <w:pPr>
        <w:ind w:right="440"/>
        <w:spacing w:after="0" w:line="224" w:lineRule="exact"/>
        <w:rPr>
          <w:sz w:val="20"/>
          <w:szCs w:val="20"/>
          <w:color w:val="auto"/>
        </w:rPr>
      </w:pPr>
      <w:r>
        <w:rPr>
          <w:rFonts w:ascii="Arial" w:cs="Arial" w:eastAsia="Arial" w:hAnsi="Arial"/>
          <w:sz w:val="17"/>
          <w:szCs w:val="17"/>
          <w:color w:val="auto"/>
        </w:rPr>
        <w:t>If a customer pays consideration before we transfer services to the customer, those amounts are classi</w:t>
      </w:r>
      <w:r>
        <w:rPr>
          <w:rFonts w:ascii="Arial Unicode MS" w:cs="Arial Unicode MS" w:eastAsia="Arial Unicode MS" w:hAnsi="Arial Unicode MS"/>
          <w:sz w:val="17"/>
          <w:szCs w:val="17"/>
          <w:color w:val="auto"/>
        </w:rPr>
        <w:t></w:t>
      </w:r>
      <w:r>
        <w:rPr>
          <w:rFonts w:ascii="Arial" w:cs="Arial" w:eastAsia="Arial" w:hAnsi="Arial"/>
          <w:sz w:val="17"/>
          <w:szCs w:val="17"/>
          <w:color w:val="auto"/>
        </w:rPr>
        <w:t>ed as deferred revenue. In relation to the deferred revenue balance as of December 31, 2017, all was recognized into revenue during the year ended December 31, 2018.</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2018, approximately $0.9 million of revenue is expected to be recognized in the future for outstanding performance obligations, primarily related to pricing contracts that have a term of more than 12 months. Approximately $0.6 million of revenue will be recognized in 2019 and the remainder in 2020.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jc w:val="both"/>
        <w:ind w:right="460"/>
        <w:spacing w:after="0" w:line="223" w:lineRule="exact"/>
        <w:rPr>
          <w:sz w:val="20"/>
          <w:szCs w:val="20"/>
          <w:color w:val="auto"/>
        </w:rPr>
      </w:pPr>
      <w:r>
        <w:rPr>
          <w:rFonts w:ascii="Arial" w:cs="Arial" w:eastAsia="Arial" w:hAnsi="Arial"/>
          <w:sz w:val="16"/>
          <w:szCs w:val="16"/>
          <w:color w:val="auto"/>
        </w:rPr>
        <w:t>In addition, we elected the practical expedient to not disclose the value of unsatis</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performance obligations for (i) contracts with an original expected length of one year or less and (ii) contracts for which we recognize revenue at the amount to which we have the right to invoice for services performed.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doubtful accounts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$0.1 million and $0.2 million as of December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2018, we have a valuation allowance of $2.3 million. Future changes in such valuation allowance are included in the provision for deferred income taxes in the period of change.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22, 2017, the Tax Cuts and Jobs Act of 2017 (the “Act”) was enacted, resulting in significant modifications to existing law, including lowering the U.S. corporate statutory income tax rate to 21%, among other changes. As a full valuation allowance was provided as of December 31, 2018 and 2017, the Act does not have any material net impact on our consolidated financial statements, however, certain income tax disclosures, including the re-measurement of deferred tax assets and liabilities and related valuation allowance, and the effective income tax rate reconciliation, are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we capitalize eligible costs, including salaries and staff benefits, share-based compensation expense, traveling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In January 2017, the FASB issued Accounting Standards Update No. 2017-04 (“ASU</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which eliminates step two from the goodwill impairment test. Under ASU 2017-04, an entity should recognize an impairment charge for the amount by which the carrying amount of a reporting unit exceeds its fair value up to the amount of goodwill allocated to that reporting unit. The Company early adopted ASU 2017-04 in the fourth quarter of 2017.</w:t>
      </w:r>
    </w:p>
    <w:p>
      <w:pPr>
        <w:spacing w:after="0" w:line="1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October 1, 2018, we performed a qualitative assessment on the reporting unit and, based on this assessment, no events have occurred to indicate that it is more likely than not that the fair value of the reporting unit is less than its carry amount. On October 1, 2017, we performed a quantitative assessment on the reporting unit and the result of our assessment indicated that the estimated fair value of the reporting unit exceeded its carrying value. We concluded that goodwill was not impaired as of December 31, 2018 and 2017.</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values of the reporting unit, including market multiples, discount rates, etc.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We concluded there was no impairment as of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We account for share-based compensation to employees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ASC 718, we measure the cost of employee services received in exchange for an award of equity instruments based on the grant-date fair value of the award and generally recognizes the costs on a straight-line basis over the period the employee is required to provide service in exchange for the award, which generally is the vesting period. For awards with performance conditions, we begin recording share-based compensation when achieving the performance criteria is probable.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restricted stock units (“RSUs”) is determined based on the number of shares granted and the quoted price of our common stock. 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issued share-based awards with performance-based vesting criteria. Achievement of the milestones must be probable before we begin recording share-based compensation expense. At each reporting date, we review the likelihood that these awards will vest and if the vesting is deemed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If ultimately performance goals are not met, for any share-based awards where vesting was previously deemed probable, previously recognized compensation cost will be reversed.</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second quarter of 2018, we early adopted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which generally expands the scope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 include share-based payment transactions for acquiring goods and services from nonemployees and to supersede the guidance in ASC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which previously included the accounting for nonemployee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See Item 8 of Part II, “Financial Statements and Supplementary Data – Note 2. Summary of significant accounting policies - </w:t>
      </w:r>
      <w:r>
        <w:rPr>
          <w:rFonts w:ascii="Arial" w:cs="Arial" w:eastAsia="Arial" w:hAnsi="Arial"/>
          <w:sz w:val="18"/>
          <w:szCs w:val="18"/>
          <w:i w:val="1"/>
          <w:iCs w:val="1"/>
          <w:color w:val="auto"/>
        </w:rPr>
        <w:t>(s) Recently issued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2018, as compared to the three months ended December 31, 2017:</w:t>
      </w:r>
    </w:p>
    <w:p>
      <w:pPr>
        <w:spacing w:after="0" w:line="117"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revenue increased 74% to $4.7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improved by $1.1 million to $2.0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per share improved by $0.11 to $0.20.</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gross profit increased 186% to $2.4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gross margin increased to 51% from 31%.</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improved by $1.1 million to negative $1.0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as compared to the year ended December 31, 2017:</w:t>
      </w:r>
    </w:p>
    <w:p>
      <w:pPr>
        <w:spacing w:after="0" w:line="117"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 increased 90% to $16.3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improved by $14.6 million to $6.9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per share improved by $1.42 to $0.67.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773" w:right="319" w:bottom="1440" w:gutter="0" w:footer="0" w:header="0"/>
        </w:sectPr>
      </w:pPr>
    </w:p>
    <w:bookmarkStart w:id="27" w:name="page28"/>
    <w:bookmarkEnd w:id="27"/>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gross profit increased 407% to $7.7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gross margin increased to 47% from 18%.</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improved by $4.0 million to negative $4.3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insurance proceeds in relation to settled litigation,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Three Months Ended December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income, net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Insurance proceeds in relation to settled litigation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 income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Three Months Ended December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gross profit</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Adjusted gross margin</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present adjusted EBITDA, adjusted gross profit and adjusted gross margin as supplemental measures of our operating performance because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of our business, evaluate the performance of our senior management and measure the operating strength of our business.</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Adjusted EBITDA, adjusted gross profit and adjusted gross margin are measures frequently used by securities analysts, investors and other interested parties in their evaluation of the operating performance of companies similar to ours and are indicators of the operational strength of our business. Adjusted EBITDA eliminates the uneven effect of considerable amounts of non-cash depreciation and amortization, share-based compensation expense and the impact of other items. Adjusted gross profit and adjusted gross margin are calculated by using cost of revenue (exclusive of depreciation and amortization).</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Adjusted EBITDA, adjusted gross profit and adjusted gross margin are not intended to be performance measures that should be regarded as an alternative to, or more meaningful than, either loss before income taxes or net loss as indicators of operating performance or to cash flows from operating activities as a measure of liquidity.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 compared to year ended December 31, 2017</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$7.7 million or 90% to $16.3 million for the year ended December 31, 2018 from $8.6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This increase was driven by strong growth in volume from onboarding of new customers and usage from existing customers. Our core billable customer base grew from 2,703 customers for the month ended December 31, 2017 to 3,627 customers for the month ended December 31, 2018.</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increased $1.5 million or 22% to $8.6 million for the year ended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2018 from $7.1 million for the year ended December 31, 2017. Our cost of revenue primarily includes data acquisition costs. Data acquisition costs consist primarily of the costs to acquire data either on a transactional basis or through flat-fee data licensing agreements, including unlimited usage agreements. We continue to expand our relationships with our key data suppliers, including our largest data supplier which accounted for approximately 46% of our total data acquisition costs for the year ended December 31, 2018 compared to approximately 43% for the year ended December 31, 2017. Other cost of revenue items include expenses related to third-party infrastructure fees.</w:t>
      </w:r>
    </w:p>
    <w:p>
      <w:pPr>
        <w:spacing w:after="0" w:line="17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the construct of our data costs is a flat-fee, unlimited usage model, the cost of revenue as a percentage of revenue decreased to 53% for the year ended December 31, 2018 from 82% for the year ended December 31, 2017.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$0.4 million or 8% to $4.8 million for the year ended December 31, 2018 from $4.4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2017. The increase resulted from increased headcount as we continue to invest in the expansion of our sales organization. Sales and marketing expenses consist of salaries and benefits, advertising and marketing, traveling expenses, and share-based compensation expense, incurred by our sales team.</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decreased $9.1 million or 52% to $8.4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from $17.5 million for the year ended December 31, 2017. The decrease resulted from decreases in litigation costs and share-based compensation expense, which were partially offset by increases in employee salaries and benefits and other professional fees. For the years ended December 31, 2018 and 2017, our general and administrative expenses consisted primarily of litigation costs of $0.4 million and $9.2 million, share-based compensation expense of $0.6 million and $2.6 million, employee salaries and benefits of $3.3 million and $2.8 million, and other professional fees of $1.8 million and $1.0 million, respectively.</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Depreciation and amortization</w:t>
      </w:r>
      <w:r>
        <w:rPr>
          <w:rFonts w:ascii="Arial" w:cs="Arial" w:eastAsia="Arial" w:hAnsi="Arial"/>
          <w:sz w:val="17"/>
          <w:szCs w:val="17"/>
          <w:color w:val="auto"/>
        </w:rPr>
        <w:t>. Depreciation and amortization expenses increased $0.9 million or 75% to $2.0 million for the year ended December 31,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$1.1 million for the year ended December 31, 2017. The increase in depreciation and amortization for the year ended December 31, 2018 resulted primarily from the amortization of software developed for internal use that became ready for its intended use after December 31, 2017.</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Other income, net</w:t>
      </w:r>
      <w:r>
        <w:rPr>
          <w:rFonts w:ascii="Arial" w:cs="Arial" w:eastAsia="Arial" w:hAnsi="Arial"/>
          <w:sz w:val="18"/>
          <w:szCs w:val="18"/>
          <w:color w:val="auto"/>
        </w:rPr>
        <w:t>. For the year ended December 31, 2018, other income, net consisted primarily of transition service income of $0.2 million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proceeds of $0.4 million in relation to previously settled litigation.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Loss before income taxes</w:t>
      </w:r>
      <w:r>
        <w:rPr>
          <w:rFonts w:ascii="Arial" w:cs="Arial" w:eastAsia="Arial" w:hAnsi="Arial"/>
          <w:sz w:val="18"/>
          <w:szCs w:val="18"/>
          <w:color w:val="auto"/>
        </w:rPr>
        <w:t>. We had a loss before income taxes of $6.9 million for the year ended December 31, 2018 as compared to $21.5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The decrease in loss before income taxes resulted from the increase in revenue, decrease in our cost of revenue as a percentage of revenue, decreases in litigation costs and share-based compensation expense, which were partially offset by increases in salaries and benefits, other professional fees and depreciation and amortization.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years ended December 31, 2018 and 2017.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December 31, 2018 and 2017. On December 22, 2017, the Act was enacted, with the statutory federal income tax rate lowered to 21% among other changes, effective on January 1, 2018. As a full valuation allowance was provided as of December 31, 2018 and 2017, the Act does not have a material net impact on our consolidated financial statements. See Note 9, “Income Taxes,” included in “Notes to Consolidated Financial Statements,” for details.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$6.9 million was recognized for the year ended December 31, 2018 as compared to $21.5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as a result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6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Cash flows used in operating activities</w:t>
      </w:r>
      <w:r>
        <w:rPr>
          <w:rFonts w:ascii="Arial" w:cs="Arial" w:eastAsia="Arial" w:hAnsi="Arial"/>
          <w:sz w:val="16"/>
          <w:szCs w:val="16"/>
          <w:color w:val="auto"/>
        </w:rPr>
        <w:t>. For the year ended December 31, 2018, net cash used in operating activities was $8.1 million, primarily the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loss of $6.9 million, adjusted for certain non-cash items totaling $3.4 million, consisting of share-based compensation expense, depreciation and amortization, write-off of long-lived assets, provision for bad debts and allocation of expenses from Fluent, Inc. In addition, the net working capital increased $4.6 million, primarily the result of the decrease in accounts payable and accrued expenses and other current liabilities and the increase in accounts receivable following the increase in revenue. For the year ended December 31, 2017, net cash used in operating activities was $10.4 million, primarily the result of the net loss of $21.5 million, adjusted for certain non-cash items of an aggregate of $7.9 million, and the cash provided by net working capital of $3.2 million.</w:t>
      </w:r>
    </w:p>
    <w:p>
      <w:pPr>
        <w:spacing w:after="0" w:line="16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Cash flows used in investing activities</w:t>
      </w:r>
      <w:r>
        <w:rPr>
          <w:rFonts w:ascii="Arial" w:cs="Arial" w:eastAsia="Arial" w:hAnsi="Arial"/>
          <w:sz w:val="16"/>
          <w:szCs w:val="16"/>
          <w:color w:val="auto"/>
        </w:rPr>
        <w:t>. Net cash used in investing activities for the years ended December 31, 2018 and 2017 was $6.0 million and $6.5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primarily as a result of capitalized costs included in intangible assets of $5.9 million and $6.0 million for the corresponding periods.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Cash flows provided by financing activities</w:t>
      </w:r>
      <w:r>
        <w:rPr>
          <w:rFonts w:ascii="Arial" w:cs="Arial" w:eastAsia="Arial" w:hAnsi="Arial"/>
          <w:sz w:val="18"/>
          <w:szCs w:val="18"/>
          <w:color w:val="auto"/>
        </w:rPr>
        <w:t>. Net cash provided by financing activities for the years ended December 31, 2018 and 2017 was $23.9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(inclusive of the $20.0 million cash contribution by Fluent to red violet upon the Spin-off) and $16.7 million, respectively, as a result of capital contributed by Fluent during the corresponding periods.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we had material commitments under certain data licensing agreements of $21.8 million. We anticipate funding our operations using available cash and cash flow generated from operations within the next twelve months.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reported net loss of $6.9 million for the year ended December 31, 2018 as compared to $21.5 million for the year ended December 31, 2017. As of December 31, 2018, we had a total shareholders’ equity balance of $36.3 million.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2018, we had cash and cash equivalents of approximately $10.0 million. Prior to the Spin-off, we funded our operations via intercompany transfers from Fluent on an as needed basis. Based on projections of growth in revenue and operating results in the coming year, and the available cash and cash equivalents held by us, we believe that we will have sufficient cash resources to finance our operations and expected capital expenditures for the next twelve months. Subject to revenue growth, we may have to raise capital through the issuance of additional equity and/or debt, which, if we are able to obtain, could have the effect of diluting stockholders. Any equity or debt financings, if available at all, may be on terms which are not favorable to us. If our operations do not generate positive cash flow in the upcoming year, or if we are not able to obtain additional equity or debt financing on terms and conditions acceptable to us, if at all, we may be unable to implement our business plan, or even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2018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Many factors could cause our actual activities or results to differ materially from the activities and results anticipated in forward-looking statements. These factors include the following:</w:t>
      </w:r>
    </w:p>
    <w:p>
      <w:pPr>
        <w:spacing w:after="0" w:line="62" w:lineRule="exact"/>
        <w:rPr>
          <w:sz w:val="20"/>
          <w:szCs w:val="20"/>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history of losses and negative cash flow from operations which makes our future results uncertain.</w:t>
      </w:r>
    </w:p>
    <w:p>
      <w:pPr>
        <w:spacing w:after="0" w:line="117" w:lineRule="exact"/>
        <w:rPr>
          <w:rFonts w:ascii="Arial" w:cs="Arial" w:eastAsia="Arial" w:hAnsi="Arial"/>
          <w:sz w:val="18"/>
          <w:szCs w:val="18"/>
          <w:color w:val="auto"/>
        </w:rPr>
      </w:pPr>
    </w:p>
    <w:p>
      <w:pPr>
        <w:ind w:left="580" w:right="32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62" w:lineRule="exact"/>
        <w:rPr>
          <w:rFonts w:ascii="Arial" w:cs="Arial" w:eastAsia="Arial" w:hAnsi="Arial"/>
          <w:sz w:val="18"/>
          <w:szCs w:val="18"/>
          <w:color w:val="auto"/>
        </w:rPr>
      </w:pPr>
    </w:p>
    <w:p>
      <w:pPr>
        <w:ind w:left="580" w:right="240" w:hanging="518"/>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73"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adequately protect our intellectual property in order to prevent loss of valuable proprietary information.</w:t>
      </w:r>
    </w:p>
    <w:p>
      <w:pPr>
        <w:spacing w:after="0" w:line="117" w:lineRule="exact"/>
        <w:rPr>
          <w:rFonts w:ascii="Arial" w:cs="Arial" w:eastAsia="Arial" w:hAnsi="Arial"/>
          <w:sz w:val="18"/>
          <w:szCs w:val="18"/>
          <w:color w:val="auto"/>
        </w:rPr>
      </w:pPr>
    </w:p>
    <w:p>
      <w:pPr>
        <w:ind w:left="580" w:right="30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62"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consummate any future acquisitions, we will be subject to the risks inherent in identifying, acquiring and operating a newly acquired business.</w:t>
      </w:r>
    </w:p>
    <w:p>
      <w:pPr>
        <w:spacing w:after="0" w:line="140" w:lineRule="exact"/>
        <w:rPr>
          <w:rFonts w:ascii="Arial" w:cs="Arial" w:eastAsia="Arial" w:hAnsi="Arial"/>
          <w:sz w:val="16"/>
          <w:szCs w:val="16"/>
          <w:color w:val="auto"/>
        </w:rPr>
      </w:pPr>
    </w:p>
    <w:p>
      <w:pPr>
        <w:jc w:val="both"/>
        <w:ind w:left="580" w:right="240" w:hanging="518"/>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73" w:lineRule="exact"/>
        <w:rPr>
          <w:rFonts w:ascii="Arial" w:cs="Arial" w:eastAsia="Arial" w:hAnsi="Arial"/>
          <w:sz w:val="18"/>
          <w:szCs w:val="18"/>
          <w:color w:val="auto"/>
        </w:rPr>
      </w:pPr>
    </w:p>
    <w:p>
      <w:pPr>
        <w:ind w:left="580" w:right="140" w:hanging="518"/>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73"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relationships with key customers may be materially diminished or terminated.</w:t>
      </w:r>
    </w:p>
    <w:p>
      <w:pPr>
        <w:spacing w:after="0" w:line="117"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lose the services of key personnel, it could adversely affect our business.</w:t>
      </w:r>
    </w:p>
    <w:p>
      <w:pPr>
        <w:spacing w:after="0" w:line="117" w:lineRule="exact"/>
        <w:rPr>
          <w:rFonts w:ascii="Arial" w:cs="Arial" w:eastAsia="Arial" w:hAnsi="Arial"/>
          <w:sz w:val="18"/>
          <w:szCs w:val="18"/>
          <w:color w:val="auto"/>
        </w:rPr>
      </w:pPr>
    </w:p>
    <w:p>
      <w:pPr>
        <w:ind w:left="580" w:right="26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respond to rapid technological changes in the big data and analytics sector, we may lose customers and/or our products and/or services may become obsolete.</w:t>
      </w:r>
    </w:p>
    <w:p>
      <w:pPr>
        <w:spacing w:after="0" w:line="62" w:lineRule="exact"/>
        <w:rPr>
          <w:rFonts w:ascii="Arial" w:cs="Arial" w:eastAsia="Arial" w:hAnsi="Arial"/>
          <w:sz w:val="18"/>
          <w:szCs w:val="18"/>
          <w:color w:val="auto"/>
        </w:rPr>
      </w:pPr>
    </w:p>
    <w:p>
      <w:pPr>
        <w:ind w:left="58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62"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lose our access to data sources which could prevent us from providing our services.</w:t>
      </w:r>
    </w:p>
    <w:p>
      <w:pPr>
        <w:spacing w:after="0" w:line="117" w:lineRule="exact"/>
        <w:rPr>
          <w:rFonts w:ascii="Arial" w:cs="Arial" w:eastAsia="Arial" w:hAnsi="Arial"/>
          <w:sz w:val="18"/>
          <w:szCs w:val="18"/>
          <w:color w:val="auto"/>
        </w:rPr>
      </w:pPr>
    </w:p>
    <w:p>
      <w:pPr>
        <w:ind w:left="580" w:right="200" w:hanging="518"/>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73"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intense competition from both start-up and established companies that may have significant advantages over us and our products.</w:t>
      </w:r>
    </w:p>
    <w:p>
      <w:pPr>
        <w:spacing w:after="0" w:line="128" w:lineRule="exact"/>
        <w:rPr>
          <w:rFonts w:ascii="Arial" w:cs="Arial" w:eastAsia="Arial" w:hAnsi="Arial"/>
          <w:sz w:val="17"/>
          <w:szCs w:val="17"/>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further consolidation in our end-customer markets, which may adversely affect our revenue.</w:t>
      </w:r>
    </w:p>
    <w:p>
      <w:pPr>
        <w:spacing w:after="0" w:line="117" w:lineRule="exact"/>
        <w:rPr>
          <w:rFonts w:ascii="Arial" w:cs="Arial" w:eastAsia="Arial" w:hAnsi="Arial"/>
          <w:sz w:val="18"/>
          <w:szCs w:val="18"/>
          <w:color w:val="auto"/>
        </w:rPr>
      </w:pPr>
    </w:p>
    <w:p>
      <w:pPr>
        <w:ind w:left="580" w:right="22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the availability of free or relatively inexpensive consumer and/or business information increases, the demand for some of our services may decrease.</w:t>
      </w:r>
    </w:p>
    <w:p>
      <w:pPr>
        <w:spacing w:after="0" w:line="62" w:lineRule="exact"/>
        <w:rPr>
          <w:rFonts w:ascii="Arial" w:cs="Arial" w:eastAsia="Arial" w:hAnsi="Arial"/>
          <w:sz w:val="18"/>
          <w:szCs w:val="18"/>
          <w:color w:val="auto"/>
        </w:rPr>
      </w:pPr>
    </w:p>
    <w:p>
      <w:pPr>
        <w:ind w:left="580" w:hanging="51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newer products do not achieve market acceptance, revenue growth may suffer.</w:t>
      </w:r>
    </w:p>
    <w:p>
      <w:pPr>
        <w:spacing w:after="0" w:line="117" w:lineRule="exact"/>
        <w:rPr>
          <w:rFonts w:ascii="Arial" w:cs="Arial" w:eastAsia="Arial" w:hAnsi="Arial"/>
          <w:sz w:val="18"/>
          <w:szCs w:val="18"/>
          <w:color w:val="auto"/>
        </w:rPr>
      </w:pPr>
    </w:p>
    <w:p>
      <w:pPr>
        <w:ind w:left="580" w:right="24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products and services can have long sales and implementation cycles, which may result in substantial expenses before realizing any associated revenue.</w:t>
      </w:r>
    </w:p>
    <w:p>
      <w:pPr>
        <w:spacing w:after="0" w:line="62" w:lineRule="exact"/>
        <w:rPr>
          <w:rFonts w:ascii="Arial" w:cs="Arial" w:eastAsia="Arial" w:hAnsi="Arial"/>
          <w:sz w:val="18"/>
          <w:szCs w:val="18"/>
          <w:color w:val="auto"/>
        </w:rPr>
      </w:pPr>
    </w:p>
    <w:p>
      <w:pPr>
        <w:ind w:left="580" w:right="6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maintain and improve our systems, our technology, and our interfaces with data sources and customers, demand for our services could be adversely affected.</w:t>
      </w:r>
    </w:p>
    <w:p>
      <w:pPr>
        <w:spacing w:after="0" w:line="62" w:lineRule="exact"/>
        <w:rPr>
          <w:rFonts w:ascii="Arial" w:cs="Arial" w:eastAsia="Arial" w:hAnsi="Arial"/>
          <w:sz w:val="18"/>
          <w:szCs w:val="18"/>
          <w:color w:val="auto"/>
        </w:rPr>
      </w:pPr>
    </w:p>
    <w:p>
      <w:pPr>
        <w:ind w:left="580" w:right="260" w:hanging="518"/>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outside service providers and key vendors are not able to or do not fulfill their service obligations, our operations could be disrupted and our operating results could be harmed.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31" w:name="page32"/>
    <w:bookmarkEnd w:id="31"/>
    <w:p>
      <w:pPr>
        <w:ind w:left="580" w:hanging="51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in the big data and analytics sector may limit market acceptance of our products and services.</w:t>
      </w:r>
    </w:p>
    <w:p>
      <w:pPr>
        <w:spacing w:after="0" w:line="117" w:lineRule="exact"/>
        <w:rPr>
          <w:rFonts w:ascii="Arial" w:cs="Arial" w:eastAsia="Arial" w:hAnsi="Arial"/>
          <w:sz w:val="18"/>
          <w:szCs w:val="18"/>
          <w:color w:val="auto"/>
        </w:rPr>
      </w:pPr>
    </w:p>
    <w:p>
      <w:pPr>
        <w:ind w:left="580" w:hanging="51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incur substantial expenses defending against claims of infringement.</w:t>
      </w:r>
    </w:p>
    <w:p>
      <w:pPr>
        <w:spacing w:after="0" w:line="117" w:lineRule="exact"/>
        <w:rPr>
          <w:rFonts w:ascii="Arial" w:cs="Arial" w:eastAsia="Arial" w:hAnsi="Arial"/>
          <w:sz w:val="18"/>
          <w:szCs w:val="18"/>
          <w:color w:val="auto"/>
        </w:rPr>
      </w:pPr>
    </w:p>
    <w:p>
      <w:pPr>
        <w:ind w:left="580" w:hanging="51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and the value of an investment in our common stock may decline.</w:t>
      </w:r>
    </w:p>
    <w:p>
      <w:pPr>
        <w:spacing w:after="0" w:line="117" w:lineRule="exact"/>
        <w:rPr>
          <w:rFonts w:ascii="Arial" w:cs="Arial" w:eastAsia="Arial" w:hAnsi="Arial"/>
          <w:sz w:val="18"/>
          <w:szCs w:val="18"/>
          <w:color w:val="auto"/>
        </w:rPr>
      </w:pPr>
    </w:p>
    <w:p>
      <w:pPr>
        <w:ind w:left="580" w:right="20" w:hanging="518"/>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issuances of shares of our common stock in connection with acquisitions or pursuant to our stock incentive plan could have a dilutive effect on your investment.</w:t>
      </w:r>
    </w:p>
    <w:p>
      <w:pPr>
        <w:spacing w:after="0" w:line="62" w:lineRule="exact"/>
        <w:rPr>
          <w:rFonts w:ascii="Arial" w:cs="Arial" w:eastAsia="Arial" w:hAnsi="Arial"/>
          <w:sz w:val="18"/>
          <w:szCs w:val="18"/>
          <w:color w:val="auto"/>
        </w:rPr>
      </w:pPr>
    </w:p>
    <w:p>
      <w:pPr>
        <w:ind w:left="580" w:hanging="51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concentration of our stock ownership may limit individual stockholder ability to influence corporate matters.</w:t>
      </w:r>
    </w:p>
    <w:p>
      <w:pPr>
        <w:spacing w:after="0" w:line="117" w:lineRule="exact"/>
        <w:rPr>
          <w:rFonts w:ascii="Arial" w:cs="Arial" w:eastAsia="Arial" w:hAnsi="Arial"/>
          <w:sz w:val="18"/>
          <w:szCs w:val="18"/>
          <w:color w:val="auto"/>
        </w:rPr>
      </w:pPr>
    </w:p>
    <w:p>
      <w:pPr>
        <w:ind w:left="580" w:right="60" w:hanging="518"/>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an “emerging growth company,” and we cannot be certain if the reduced reporting requirements available to emerging growth companies will make our shares of common stock less attractive to investors.</w:t>
      </w:r>
    </w:p>
    <w:p>
      <w:pPr>
        <w:spacing w:after="0" w:line="62" w:lineRule="exact"/>
        <w:rPr>
          <w:rFonts w:ascii="Arial" w:cs="Arial" w:eastAsia="Arial" w:hAnsi="Arial"/>
          <w:sz w:val="18"/>
          <w:szCs w:val="18"/>
          <w:color w:val="auto"/>
        </w:rPr>
      </w:pPr>
    </w:p>
    <w:p>
      <w:pPr>
        <w:ind w:left="580" w:hanging="518"/>
        <w:spacing w:after="0" w:line="264"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2018.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2018.</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(COSO) of the Treadway Commission in Internal Control-Integrated Framework (2013). Management concluded that the Company maintained effective internal control over financial reporting (as defined in Rules 13a-15(f) and 15d-15(f) of the Exchange Act) as of December 31, 2018, based on criteria in Internal Control-Integrated Framework (2013) issued by the COSO.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fourth quarter of 2018 that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33" w:name="page34"/>
    <w:bookmarkEnd w:id="33"/>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2019 Annual Meeting of Stockholders to be filed with the SEC within 120 days of December 31,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2019 Annual Meeting of Stockholders to be filed with the SEC within 120 days of December 31,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2019 Annual Meeting of Stockholders to be filed with the SEC within 120 days of December 31,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2019 Annual Meeting of Stockholders to be filed with the SEC within 120 days of December 31,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2019 Annual Meeting of Stockholders to be filed with the SEC within 120 days of December 31, 2018.</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Statements: The information required by this item is contained in Item 8 of this Form 10-K.</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Statement Schedules: The information required by this item is included in the consolidated financial statements contained in Item 8 of this Form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210" w:lineRule="exact"/>
        <w:rPr>
          <w:rFonts w:ascii="Arial" w:cs="Arial" w:eastAsia="Arial" w:hAnsi="Arial"/>
          <w:sz w:val="16"/>
          <w:szCs w:val="16"/>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 The following exhibits are filed as part of, or incorporated by reference into, this Form 10-K.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Exhibit No.</w:t>
            </w:r>
          </w:p>
        </w:tc>
        <w:tc>
          <w:tcPr>
            <w:tcW w:w="4380" w:type="dxa"/>
            <w:vAlign w:val="bottom"/>
            <w:gridSpan w:val="35"/>
            <w:vMerge w:val="restart"/>
          </w:tcPr>
          <w:p>
            <w:pPr>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Incorporated by Reference</w:t>
            </w:r>
          </w:p>
        </w:tc>
        <w:tc>
          <w:tcPr>
            <w:tcW w:w="1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42"/>
        </w:trPr>
        <w:tc>
          <w:tcPr>
            <w:tcW w:w="1260" w:type="dxa"/>
            <w:vAlign w:val="bottom"/>
            <w:gridSpan w:val="3"/>
            <w:vMerge w:val="continue"/>
          </w:tcPr>
          <w:p>
            <w:pPr>
              <w:spacing w:after="0"/>
              <w:rPr>
                <w:sz w:val="12"/>
                <w:szCs w:val="12"/>
                <w:color w:val="auto"/>
              </w:rPr>
            </w:pPr>
          </w:p>
        </w:tc>
        <w:tc>
          <w:tcPr>
            <w:tcW w:w="4380" w:type="dxa"/>
            <w:vAlign w:val="bottom"/>
            <w:gridSpan w:val="35"/>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line="143" w:lineRule="exact"/>
              <w:rPr>
                <w:sz w:val="20"/>
                <w:szCs w:val="20"/>
                <w:color w:val="auto"/>
              </w:rPr>
            </w:pPr>
            <w:r>
              <w:rPr>
                <w:rFonts w:ascii="Arial" w:cs="Arial" w:eastAsia="Arial" w:hAnsi="Arial"/>
                <w:sz w:val="13"/>
                <w:szCs w:val="13"/>
                <w:b w:val="1"/>
                <w:bCs w:val="1"/>
                <w:color w:val="auto"/>
              </w:rPr>
              <w:t>Form</w:t>
            </w:r>
          </w:p>
        </w:tc>
        <w:tc>
          <w:tcPr>
            <w:tcW w:w="1300" w:type="dxa"/>
            <w:vAlign w:val="bottom"/>
            <w:gridSpan w:val="3"/>
          </w:tcPr>
          <w:p>
            <w:pPr>
              <w:ind w:left="120"/>
              <w:spacing w:after="0" w:line="143" w:lineRule="exact"/>
              <w:rPr>
                <w:sz w:val="20"/>
                <w:szCs w:val="20"/>
                <w:color w:val="auto"/>
              </w:rPr>
            </w:pPr>
            <w:r>
              <w:rPr>
                <w:rFonts w:ascii="Arial" w:cs="Arial" w:eastAsia="Arial" w:hAnsi="Arial"/>
                <w:sz w:val="13"/>
                <w:szCs w:val="13"/>
                <w:b w:val="1"/>
                <w:bCs w:val="1"/>
                <w:color w:val="auto"/>
              </w:rPr>
              <w:t>File No.</w:t>
            </w:r>
          </w:p>
        </w:tc>
        <w:tc>
          <w:tcPr>
            <w:tcW w:w="11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Exhibit</w:t>
            </w:r>
          </w:p>
        </w:tc>
        <w:tc>
          <w:tcPr>
            <w:tcW w:w="1360" w:type="dxa"/>
            <w:vAlign w:val="bottom"/>
          </w:tcPr>
          <w:p>
            <w:pPr>
              <w:spacing w:after="0" w:line="143"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4380" w:type="dxa"/>
            <w:vAlign w:val="bottom"/>
            <w:tcBorders>
              <w:top w:val="single" w:sz="8" w:color="auto"/>
            </w:tcBorders>
            <w:gridSpan w:val="35"/>
          </w:tcPr>
          <w:p>
            <w:pPr>
              <w:spacing w:after="0" w:line="142" w:lineRule="exact"/>
              <w:rPr>
                <w:rFonts w:ascii="Arial" w:cs="Arial" w:eastAsia="Arial" w:hAnsi="Arial"/>
                <w:sz w:val="14"/>
                <w:szCs w:val="14"/>
                <w:color w:val="0000EE"/>
                <w:w w:val="97"/>
              </w:rPr>
            </w:pPr>
            <w:hyperlink r:id="rId53">
              <w:r>
                <w:rPr>
                  <w:rFonts w:ascii="Arial" w:cs="Arial" w:eastAsia="Arial" w:hAnsi="Arial"/>
                  <w:sz w:val="14"/>
                  <w:szCs w:val="14"/>
                  <w:color w:val="0000EE"/>
                  <w:w w:val="97"/>
                </w:rPr>
                <w:t>Separation and Distribution Agreement by and between Cogint, Inc. and</w:t>
              </w:r>
            </w:hyperlink>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Form 10</w:t>
            </w: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2"/>
                <w:szCs w:val="12"/>
                <w:color w:val="auto"/>
              </w:rPr>
            </w:pPr>
          </w:p>
        </w:tc>
        <w:tc>
          <w:tcPr>
            <w:tcW w:w="10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13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February 28, 2018</w:t>
            </w: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1"/>
                <w:szCs w:val="11"/>
                <w:color w:val="auto"/>
              </w:rPr>
            </w:pPr>
          </w:p>
        </w:tc>
        <w:tc>
          <w:tcPr>
            <w:tcW w:w="242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w w:val="92"/>
              </w:rPr>
            </w:pPr>
            <w:hyperlink r:id="rId53">
              <w:r>
                <w:rPr>
                  <w:rFonts w:ascii="Arial" w:cs="Arial" w:eastAsia="Arial" w:hAnsi="Arial"/>
                  <w:sz w:val="14"/>
                  <w:szCs w:val="14"/>
                  <w:color w:val="0000EE"/>
                  <w:w w:val="92"/>
                </w:rPr>
                <w:t>Red Violet, Inc., dated February 27, 2018.</w:t>
              </w:r>
            </w:hyperlink>
          </w:p>
        </w:tc>
        <w:tc>
          <w:tcPr>
            <w:tcW w:w="1760" w:type="dxa"/>
            <w:vAlign w:val="bottom"/>
            <w:tcBorders>
              <w:top w:val="single" w:sz="8" w:color="0000EE"/>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35"/>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Amended and Restated Certificate of Incorporation of Red Violet, Inc.</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4040" w:type="dxa"/>
            <w:vAlign w:val="bottom"/>
            <w:tcBorders>
              <w:top w:val="single" w:sz="8" w:color="0000EE"/>
            </w:tcBorders>
            <w:gridSpan w:val="22"/>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Amended and Restated Bylaws of Red Violet,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8-K</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2900" w:type="dxa"/>
            <w:vAlign w:val="bottom"/>
            <w:tcBorders>
              <w:top w:val="single" w:sz="8" w:color="0000EE"/>
            </w:tcBorders>
            <w:gridSpan w:val="15"/>
          </w:tcPr>
          <w:p>
            <w:pPr>
              <w:spacing w:after="0" w:line="142" w:lineRule="exact"/>
              <w:rPr>
                <w:rFonts w:ascii="Arial" w:cs="Arial" w:eastAsia="Arial" w:hAnsi="Arial"/>
                <w:sz w:val="14"/>
                <w:szCs w:val="14"/>
                <w:color w:val="0000EE"/>
                <w:w w:val="91"/>
              </w:rPr>
            </w:pPr>
            <w:hyperlink r:id="rId56">
              <w:r>
                <w:rPr>
                  <w:rFonts w:ascii="Arial" w:cs="Arial" w:eastAsia="Arial" w:hAnsi="Arial"/>
                  <w:sz w:val="14"/>
                  <w:szCs w:val="14"/>
                  <w:color w:val="0000EE"/>
                  <w:w w:val="91"/>
                </w:rPr>
                <w:t>Form of Restricted Stock Unit Agreement Pursuant</w:t>
              </w:r>
            </w:hyperlink>
          </w:p>
        </w:tc>
        <w:tc>
          <w:tcPr>
            <w:tcW w:w="20" w:type="dxa"/>
            <w:vAlign w:val="bottom"/>
          </w:tcPr>
          <w:p>
            <w:pPr>
              <w:spacing w:after="0"/>
              <w:rPr>
                <w:sz w:val="12"/>
                <w:szCs w:val="12"/>
                <w:color w:val="auto"/>
              </w:rPr>
            </w:pPr>
          </w:p>
        </w:tc>
        <w:tc>
          <w:tcPr>
            <w:tcW w:w="1460" w:type="dxa"/>
            <w:vAlign w:val="bottom"/>
            <w:gridSpan w:val="19"/>
          </w:tcPr>
          <w:p>
            <w:pPr>
              <w:ind w:left="60"/>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to the Red Violet, Inc.</w:t>
              </w:r>
            </w:hyperlink>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Form 10</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February 28, 2018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1"/>
                <w:szCs w:val="11"/>
                <w:color w:val="auto"/>
              </w:rPr>
            </w:pPr>
          </w:p>
        </w:tc>
        <w:tc>
          <w:tcPr>
            <w:tcW w:w="4260" w:type="dxa"/>
            <w:vAlign w:val="bottom"/>
            <w:tcBorders>
              <w:top w:val="single" w:sz="8" w:color="0000EE"/>
            </w:tcBorders>
            <w:gridSpan w:val="31"/>
          </w:tcPr>
          <w:p>
            <w:pPr>
              <w:spacing w:after="0" w:line="129" w:lineRule="exact"/>
              <w:rPr>
                <w:rFonts w:ascii="Arial" w:cs="Arial" w:eastAsia="Arial" w:hAnsi="Arial"/>
                <w:sz w:val="14"/>
                <w:szCs w:val="14"/>
                <w:color w:val="0000EE"/>
              </w:rPr>
            </w:pPr>
            <w:hyperlink r:id="rId56">
              <w:r>
                <w:rPr>
                  <w:rFonts w:ascii="Arial" w:cs="Arial" w:eastAsia="Arial" w:hAnsi="Arial"/>
                  <w:sz w:val="14"/>
                  <w:szCs w:val="14"/>
                  <w:color w:val="0000EE"/>
                </w:rPr>
                <w:t>2018 Stock Incentive Plan.</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Form 10</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February 28,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Borders>
              <w:top w:val="single" w:sz="8" w:color="0000EE"/>
            </w:tcBorders>
            <w:gridSpan w:val="5"/>
          </w:tcPr>
          <w:p>
            <w:pPr>
              <w:spacing w:after="0" w:line="142" w:lineRule="exact"/>
              <w:rPr>
                <w:rFonts w:ascii="Arial" w:cs="Arial" w:eastAsia="Arial" w:hAnsi="Arial"/>
                <w:sz w:val="14"/>
                <w:szCs w:val="14"/>
                <w:color w:val="0000EE"/>
                <w:w w:val="87"/>
              </w:rPr>
            </w:pPr>
            <w:hyperlink r:id="rId57">
              <w:r>
                <w:rPr>
                  <w:rFonts w:ascii="Arial" w:cs="Arial" w:eastAsia="Arial" w:hAnsi="Arial"/>
                  <w:sz w:val="14"/>
                  <w:szCs w:val="14"/>
                  <w:color w:val="0000EE"/>
                  <w:w w:val="87"/>
                </w:rPr>
                <w:t>Amended and Restated Tax</w:t>
              </w:r>
            </w:hyperlink>
          </w:p>
        </w:tc>
        <w:tc>
          <w:tcPr>
            <w:tcW w:w="2840" w:type="dxa"/>
            <w:vAlign w:val="bottom"/>
            <w:gridSpan w:val="30"/>
          </w:tcPr>
          <w:p>
            <w:pPr>
              <w:jc w:val="center"/>
              <w:ind w:right="180"/>
              <w:spacing w:after="0" w:line="142" w:lineRule="exact"/>
              <w:rPr>
                <w:rFonts w:ascii="Arial" w:cs="Arial" w:eastAsia="Arial" w:hAnsi="Arial"/>
                <w:sz w:val="14"/>
                <w:szCs w:val="14"/>
                <w:color w:val="0000EE"/>
                <w:w w:val="92"/>
              </w:rPr>
            </w:pPr>
            <w:hyperlink r:id="rId57">
              <w:r>
                <w:rPr>
                  <w:rFonts w:ascii="Arial" w:cs="Arial" w:eastAsia="Arial" w:hAnsi="Arial"/>
                  <w:sz w:val="14"/>
                  <w:szCs w:val="14"/>
                  <w:color w:val="0000EE"/>
                  <w:w w:val="92"/>
                </w:rPr>
                <w:t>Matters Agreement by and between Cogint,</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1"/>
                <w:szCs w:val="11"/>
                <w:color w:val="auto"/>
              </w:rPr>
            </w:pPr>
          </w:p>
        </w:tc>
        <w:tc>
          <w:tcPr>
            <w:tcW w:w="2920" w:type="dxa"/>
            <w:vAlign w:val="bottom"/>
            <w:tcBorders>
              <w:top w:val="single" w:sz="8" w:color="0000EE"/>
              <w:bottom w:val="single" w:sz="8" w:color="0000EE"/>
            </w:tcBorders>
            <w:gridSpan w:val="16"/>
          </w:tcPr>
          <w:p>
            <w:pPr>
              <w:spacing w:after="0" w:line="129" w:lineRule="exact"/>
              <w:rPr>
                <w:rFonts w:ascii="Arial" w:cs="Arial" w:eastAsia="Arial" w:hAnsi="Arial"/>
                <w:sz w:val="14"/>
                <w:szCs w:val="14"/>
                <w:color w:val="0000EE"/>
                <w:w w:val="92"/>
              </w:rPr>
            </w:pPr>
            <w:hyperlink r:id="rId57">
              <w:r>
                <w:rPr>
                  <w:rFonts w:ascii="Arial" w:cs="Arial" w:eastAsia="Arial" w:hAnsi="Arial"/>
                  <w:sz w:val="14"/>
                  <w:szCs w:val="14"/>
                  <w:color w:val="0000EE"/>
                  <w:w w:val="92"/>
                </w:rPr>
                <w:t>Inc. and Red Violet, Inc., dated February 27, 2018.</w:t>
              </w:r>
            </w:hyperlink>
          </w:p>
        </w:tc>
        <w:tc>
          <w:tcPr>
            <w:tcW w:w="1240" w:type="dxa"/>
            <w:vAlign w:val="bottom"/>
            <w:tcBorders>
              <w:top w:val="single" w:sz="8" w:color="0000EE"/>
            </w:tcBorders>
            <w:gridSpan w:val="12"/>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Form 10</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February 28,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35"/>
          </w:tcPr>
          <w:p>
            <w:pPr>
              <w:spacing w:after="0" w:line="142" w:lineRule="exact"/>
              <w:rPr>
                <w:rFonts w:ascii="Arial" w:cs="Arial" w:eastAsia="Arial" w:hAnsi="Arial"/>
                <w:sz w:val="14"/>
                <w:szCs w:val="14"/>
                <w:color w:val="0000EE"/>
                <w:w w:val="94"/>
              </w:rPr>
            </w:pPr>
            <w:hyperlink r:id="rId58">
              <w:r>
                <w:rPr>
                  <w:rFonts w:ascii="Arial" w:cs="Arial" w:eastAsia="Arial" w:hAnsi="Arial"/>
                  <w:sz w:val="14"/>
                  <w:szCs w:val="14"/>
                  <w:color w:val="0000EE"/>
                  <w:w w:val="94"/>
                </w:rPr>
                <w:t>Employee Matters Agreement by and between Cogint, Inc. and Red Violet,</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20" w:type="dxa"/>
            <w:vAlign w:val="bottom"/>
            <w:tcBorders>
              <w:top w:val="single" w:sz="8" w:color="0000EE"/>
            </w:tcBorders>
            <w:gridSpan w:val="33"/>
          </w:tcPr>
          <w:p>
            <w:pPr>
              <w:spacing w:after="0" w:line="129" w:lineRule="exact"/>
              <w:rPr>
                <w:rFonts w:ascii="Arial" w:cs="Arial" w:eastAsia="Arial" w:hAnsi="Arial"/>
                <w:sz w:val="14"/>
                <w:szCs w:val="14"/>
                <w:color w:val="0000EE"/>
              </w:rPr>
            </w:pPr>
            <w:hyperlink r:id="rId58">
              <w:r>
                <w:rPr>
                  <w:rFonts w:ascii="Arial" w:cs="Arial" w:eastAsia="Arial" w:hAnsi="Arial"/>
                  <w:sz w:val="14"/>
                  <w:szCs w:val="14"/>
                  <w:color w:val="0000EE"/>
                </w:rPr>
                <w:t>Inc., dated February 27, 2018.</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10.4</w:t>
            </w:r>
          </w:p>
        </w:tc>
        <w:tc>
          <w:tcPr>
            <w:tcW w:w="140" w:type="dxa"/>
            <w:vAlign w:val="bottom"/>
          </w:tcPr>
          <w:p>
            <w:pPr>
              <w:spacing w:after="0"/>
              <w:rPr>
                <w:sz w:val="12"/>
                <w:szCs w:val="12"/>
                <w:color w:val="auto"/>
              </w:rPr>
            </w:pPr>
          </w:p>
        </w:tc>
        <w:tc>
          <w:tcPr>
            <w:tcW w:w="1720" w:type="dxa"/>
            <w:vAlign w:val="bottom"/>
            <w:tcBorders>
              <w:top w:val="single" w:sz="8" w:color="0000EE"/>
            </w:tcBorders>
            <w:gridSpan w:val="7"/>
          </w:tcPr>
          <w:p>
            <w:pPr>
              <w:spacing w:after="0" w:line="142" w:lineRule="exact"/>
              <w:rPr>
                <w:rFonts w:ascii="Arial" w:cs="Arial" w:eastAsia="Arial" w:hAnsi="Arial"/>
                <w:sz w:val="14"/>
                <w:szCs w:val="14"/>
                <w:color w:val="0000EE"/>
                <w:w w:val="88"/>
              </w:rPr>
            </w:pPr>
            <w:hyperlink r:id="rId59">
              <w:r>
                <w:rPr>
                  <w:rFonts w:ascii="Arial" w:cs="Arial" w:eastAsia="Arial" w:hAnsi="Arial"/>
                  <w:sz w:val="14"/>
                  <w:szCs w:val="14"/>
                  <w:color w:val="0000EE"/>
                  <w:w w:val="88"/>
                </w:rPr>
                <w:t>Transition Services Agreement</w:t>
              </w:r>
            </w:hyperlink>
          </w:p>
        </w:tc>
        <w:tc>
          <w:tcPr>
            <w:tcW w:w="80" w:type="dxa"/>
            <w:vAlign w:val="bottom"/>
          </w:tcPr>
          <w:p>
            <w:pPr>
              <w:spacing w:after="0"/>
              <w:rPr>
                <w:sz w:val="12"/>
                <w:szCs w:val="12"/>
                <w:color w:val="auto"/>
              </w:rPr>
            </w:pPr>
          </w:p>
        </w:tc>
        <w:tc>
          <w:tcPr>
            <w:tcW w:w="2580" w:type="dxa"/>
            <w:vAlign w:val="bottom"/>
            <w:gridSpan w:val="27"/>
          </w:tcPr>
          <w:p>
            <w:pPr>
              <w:jc w:val="center"/>
              <w:ind w:right="420"/>
              <w:spacing w:after="0" w:line="142" w:lineRule="exact"/>
              <w:rPr>
                <w:rFonts w:ascii="Arial" w:cs="Arial" w:eastAsia="Arial" w:hAnsi="Arial"/>
                <w:sz w:val="14"/>
                <w:szCs w:val="14"/>
                <w:color w:val="0000EE"/>
                <w:w w:val="92"/>
              </w:rPr>
            </w:pPr>
            <w:hyperlink r:id="rId59">
              <w:r>
                <w:rPr>
                  <w:rFonts w:ascii="Arial" w:cs="Arial" w:eastAsia="Arial" w:hAnsi="Arial"/>
                  <w:sz w:val="14"/>
                  <w:szCs w:val="14"/>
                  <w:color w:val="0000EE"/>
                  <w:w w:val="92"/>
                </w:rPr>
                <w:t>by and between Cogint, Inc. and Red</w:t>
              </w:r>
            </w:hyperlink>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Form 10</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March 5, 2018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1"/>
                <w:szCs w:val="11"/>
                <w:color w:val="auto"/>
              </w:rPr>
            </w:pPr>
          </w:p>
        </w:tc>
        <w:tc>
          <w:tcPr>
            <w:tcW w:w="396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59">
              <w:r>
                <w:rPr>
                  <w:rFonts w:ascii="Arial" w:cs="Arial" w:eastAsia="Arial" w:hAnsi="Arial"/>
                  <w:sz w:val="14"/>
                  <w:szCs w:val="14"/>
                  <w:color w:val="0000EE"/>
                </w:rPr>
                <w:t>Violet, Inc., dated February 27, 2018.</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35"/>
          </w:tcPr>
          <w:p>
            <w:pPr>
              <w:spacing w:after="0" w:line="142" w:lineRule="exact"/>
              <w:rPr>
                <w:rFonts w:ascii="Arial" w:cs="Arial" w:eastAsia="Arial" w:hAnsi="Arial"/>
                <w:sz w:val="14"/>
                <w:szCs w:val="14"/>
                <w:color w:val="0000EE"/>
                <w:w w:val="98"/>
              </w:rPr>
            </w:pPr>
            <w:hyperlink r:id="rId60">
              <w:r>
                <w:rPr>
                  <w:rFonts w:ascii="Arial" w:cs="Arial" w:eastAsia="Arial" w:hAnsi="Arial"/>
                  <w:sz w:val="14"/>
                  <w:szCs w:val="14"/>
                  <w:color w:val="0000EE"/>
                  <w:w w:val="98"/>
                </w:rPr>
                <w:t>Assignment and Assumption Agreement, dated March 26, 2018, by and</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1"/>
                <w:szCs w:val="11"/>
                <w:color w:val="auto"/>
              </w:rPr>
            </w:pPr>
          </w:p>
        </w:tc>
        <w:tc>
          <w:tcPr>
            <w:tcW w:w="414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60">
              <w:r>
                <w:rPr>
                  <w:rFonts w:ascii="Arial" w:cs="Arial" w:eastAsia="Arial" w:hAnsi="Arial"/>
                  <w:sz w:val="14"/>
                  <w:szCs w:val="14"/>
                  <w:color w:val="0000EE"/>
                </w:rPr>
                <w:t>between Red Violet and Cogint.</w:t>
              </w:r>
            </w:hyperlink>
          </w:p>
        </w:tc>
        <w:tc>
          <w:tcPr>
            <w:tcW w:w="6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Borders>
              <w:top w:val="single" w:sz="8" w:color="0000EE"/>
            </w:tcBorders>
            <w:gridSpan w:val="9"/>
          </w:tcPr>
          <w:p>
            <w:pPr>
              <w:spacing w:after="0" w:line="142" w:lineRule="exact"/>
              <w:rPr>
                <w:rFonts w:ascii="Arial" w:cs="Arial" w:eastAsia="Arial" w:hAnsi="Arial"/>
                <w:sz w:val="14"/>
                <w:szCs w:val="14"/>
                <w:color w:val="0000EE"/>
                <w:w w:val="94"/>
              </w:rPr>
            </w:pPr>
            <w:hyperlink r:id="rId61">
              <w:r>
                <w:rPr>
                  <w:rFonts w:ascii="Arial" w:cs="Arial" w:eastAsia="Arial" w:hAnsi="Arial"/>
                  <w:sz w:val="14"/>
                  <w:szCs w:val="14"/>
                  <w:color w:val="0000EE"/>
                  <w:w w:val="94"/>
                </w:rPr>
                <w:t>Employment Agreement, dated</w:t>
              </w:r>
            </w:hyperlink>
          </w:p>
        </w:tc>
        <w:tc>
          <w:tcPr>
            <w:tcW w:w="2540" w:type="dxa"/>
            <w:vAlign w:val="bottom"/>
            <w:gridSpan w:val="26"/>
          </w:tcPr>
          <w:p>
            <w:pPr>
              <w:jc w:val="right"/>
              <w:ind w:right="400"/>
              <w:spacing w:after="0" w:line="142" w:lineRule="exact"/>
              <w:rPr>
                <w:rFonts w:ascii="Arial" w:cs="Arial" w:eastAsia="Arial" w:hAnsi="Arial"/>
                <w:sz w:val="14"/>
                <w:szCs w:val="14"/>
                <w:color w:val="0000EE"/>
                <w:w w:val="90"/>
              </w:rPr>
            </w:pPr>
            <w:hyperlink r:id="rId61">
              <w:r>
                <w:rPr>
                  <w:rFonts w:ascii="Arial" w:cs="Arial" w:eastAsia="Arial" w:hAnsi="Arial"/>
                  <w:sz w:val="14"/>
                  <w:szCs w:val="14"/>
                  <w:color w:val="0000EE"/>
                  <w:w w:val="90"/>
                </w:rPr>
                <w:t>March 26, 2018, by and between Red</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1"/>
                <w:szCs w:val="11"/>
                <w:color w:val="auto"/>
              </w:rPr>
            </w:pPr>
          </w:p>
        </w:tc>
        <w:tc>
          <w:tcPr>
            <w:tcW w:w="398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61">
              <w:r>
                <w:rPr>
                  <w:rFonts w:ascii="Arial" w:cs="Arial" w:eastAsia="Arial" w:hAnsi="Arial"/>
                  <w:sz w:val="14"/>
                  <w:szCs w:val="14"/>
                  <w:color w:val="0000EE"/>
                </w:rPr>
                <w:t>Violet and Derek Dubner.</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0000EE"/>
            </w:tcBorders>
            <w:gridSpan w:val="4"/>
          </w:tcPr>
          <w:p>
            <w:pPr>
              <w:spacing w:after="0" w:line="142" w:lineRule="exact"/>
              <w:rPr>
                <w:rFonts w:ascii="Arial" w:cs="Arial" w:eastAsia="Arial" w:hAnsi="Arial"/>
                <w:sz w:val="14"/>
                <w:szCs w:val="14"/>
                <w:color w:val="0000EE"/>
                <w:w w:val="93"/>
              </w:rPr>
            </w:pPr>
            <w:hyperlink r:id="rId62">
              <w:r>
                <w:rPr>
                  <w:rFonts w:ascii="Arial" w:cs="Arial" w:eastAsia="Arial" w:hAnsi="Arial"/>
                  <w:sz w:val="14"/>
                  <w:szCs w:val="14"/>
                  <w:color w:val="0000EE"/>
                  <w:w w:val="93"/>
                </w:rPr>
                <w:t>Employment Agreement,</w:t>
              </w:r>
            </w:hyperlink>
          </w:p>
        </w:tc>
        <w:tc>
          <w:tcPr>
            <w:tcW w:w="2920" w:type="dxa"/>
            <w:vAlign w:val="bottom"/>
            <w:gridSpan w:val="31"/>
          </w:tcPr>
          <w:p>
            <w:pPr>
              <w:jc w:val="right"/>
              <w:ind w:right="400"/>
              <w:spacing w:after="0" w:line="142" w:lineRule="exact"/>
              <w:rPr>
                <w:rFonts w:ascii="Arial" w:cs="Arial" w:eastAsia="Arial" w:hAnsi="Arial"/>
                <w:sz w:val="14"/>
                <w:szCs w:val="14"/>
                <w:color w:val="0000EE"/>
                <w:w w:val="91"/>
              </w:rPr>
            </w:pPr>
            <w:hyperlink r:id="rId62">
              <w:r>
                <w:rPr>
                  <w:rFonts w:ascii="Arial" w:cs="Arial" w:eastAsia="Arial" w:hAnsi="Arial"/>
                  <w:sz w:val="14"/>
                  <w:szCs w:val="14"/>
                  <w:color w:val="0000EE"/>
                  <w:w w:val="91"/>
                </w:rPr>
                <w:t>dated March 26, 2018, by and between Red</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1"/>
                <w:szCs w:val="11"/>
                <w:color w:val="auto"/>
              </w:rPr>
            </w:pPr>
          </w:p>
        </w:tc>
        <w:tc>
          <w:tcPr>
            <w:tcW w:w="398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62">
              <w:r>
                <w:rPr>
                  <w:rFonts w:ascii="Arial" w:cs="Arial" w:eastAsia="Arial" w:hAnsi="Arial"/>
                  <w:sz w:val="14"/>
                  <w:szCs w:val="14"/>
                  <w:color w:val="0000EE"/>
                </w:rPr>
                <w:t>Violet and James Reilly.</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Borders>
              <w:top w:val="single" w:sz="8" w:color="0000EE"/>
            </w:tcBorders>
            <w:gridSpan w:val="3"/>
          </w:tcPr>
          <w:p>
            <w:pPr>
              <w:spacing w:after="0" w:line="142" w:lineRule="exact"/>
              <w:rPr>
                <w:rFonts w:ascii="Arial" w:cs="Arial" w:eastAsia="Arial" w:hAnsi="Arial"/>
                <w:sz w:val="14"/>
                <w:szCs w:val="14"/>
                <w:color w:val="0000EE"/>
                <w:w w:val="88"/>
              </w:rPr>
            </w:pPr>
            <w:hyperlink r:id="rId63">
              <w:r>
                <w:rPr>
                  <w:rFonts w:ascii="Arial" w:cs="Arial" w:eastAsia="Arial" w:hAnsi="Arial"/>
                  <w:sz w:val="14"/>
                  <w:szCs w:val="14"/>
                  <w:color w:val="0000EE"/>
                  <w:w w:val="88"/>
                </w:rPr>
                <w:t>Employment Agreement,</w:t>
              </w:r>
            </w:hyperlink>
          </w:p>
        </w:tc>
        <w:tc>
          <w:tcPr>
            <w:tcW w:w="3000" w:type="dxa"/>
            <w:vAlign w:val="bottom"/>
            <w:gridSpan w:val="32"/>
          </w:tcPr>
          <w:p>
            <w:pPr>
              <w:jc w:val="right"/>
              <w:ind w:right="400"/>
              <w:spacing w:after="0" w:line="142" w:lineRule="exact"/>
              <w:rPr>
                <w:rFonts w:ascii="Arial" w:cs="Arial" w:eastAsia="Arial" w:hAnsi="Arial"/>
                <w:sz w:val="14"/>
                <w:szCs w:val="14"/>
                <w:color w:val="0000EE"/>
                <w:w w:val="94"/>
              </w:rPr>
            </w:pPr>
            <w:hyperlink r:id="rId63">
              <w:r>
                <w:rPr>
                  <w:rFonts w:ascii="Arial" w:cs="Arial" w:eastAsia="Arial" w:hAnsi="Arial"/>
                  <w:sz w:val="14"/>
                  <w:szCs w:val="14"/>
                  <w:color w:val="0000EE"/>
                  <w:w w:val="94"/>
                </w:rPr>
                <w:t>dated March 26, 2018, by and between Red</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1"/>
                <w:szCs w:val="11"/>
                <w:color w:val="auto"/>
              </w:rPr>
            </w:pPr>
          </w:p>
        </w:tc>
        <w:tc>
          <w:tcPr>
            <w:tcW w:w="3980" w:type="dxa"/>
            <w:vAlign w:val="bottom"/>
            <w:tcBorders>
              <w:top w:val="single" w:sz="8" w:color="0000EE"/>
            </w:tcBorders>
            <w:gridSpan w:val="20"/>
          </w:tcPr>
          <w:p>
            <w:pPr>
              <w:spacing w:after="0" w:line="129" w:lineRule="exact"/>
              <w:rPr>
                <w:rFonts w:ascii="Arial" w:cs="Arial" w:eastAsia="Arial" w:hAnsi="Arial"/>
                <w:sz w:val="14"/>
                <w:szCs w:val="14"/>
                <w:color w:val="0000EE"/>
              </w:rPr>
            </w:pPr>
            <w:hyperlink r:id="rId63">
              <w:r>
                <w:rPr>
                  <w:rFonts w:ascii="Arial" w:cs="Arial" w:eastAsia="Arial" w:hAnsi="Arial"/>
                  <w:sz w:val="14"/>
                  <w:szCs w:val="14"/>
                  <w:color w:val="0000EE"/>
                </w:rPr>
                <w:t>Violet and Dan MacLachlan.</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top w:val="single" w:sz="8" w:color="0000EE"/>
            </w:tcBorders>
            <w:gridSpan w:val="6"/>
          </w:tcPr>
          <w:p>
            <w:pPr>
              <w:spacing w:after="0" w:line="142" w:lineRule="exact"/>
              <w:rPr>
                <w:rFonts w:ascii="Arial" w:cs="Arial" w:eastAsia="Arial" w:hAnsi="Arial"/>
                <w:sz w:val="14"/>
                <w:szCs w:val="14"/>
                <w:color w:val="0000EE"/>
                <w:w w:val="97"/>
              </w:rPr>
            </w:pPr>
            <w:hyperlink r:id="rId64">
              <w:r>
                <w:rPr>
                  <w:rFonts w:ascii="Arial" w:cs="Arial" w:eastAsia="Arial" w:hAnsi="Arial"/>
                  <w:sz w:val="14"/>
                  <w:szCs w:val="14"/>
                  <w:color w:val="0000EE"/>
                  <w:w w:val="97"/>
                </w:rPr>
                <w:t>Red Violet, Inc. 2018 Stock</w:t>
              </w:r>
            </w:hyperlink>
          </w:p>
        </w:tc>
        <w:tc>
          <w:tcPr>
            <w:tcW w:w="2720" w:type="dxa"/>
            <w:vAlign w:val="bottom"/>
            <w:gridSpan w:val="29"/>
          </w:tcPr>
          <w:p>
            <w:pPr>
              <w:spacing w:after="0" w:line="142" w:lineRule="exact"/>
              <w:rPr>
                <w:rFonts w:ascii="Arial" w:cs="Arial" w:eastAsia="Arial" w:hAnsi="Arial"/>
                <w:sz w:val="14"/>
                <w:szCs w:val="14"/>
                <w:color w:val="0000EE"/>
              </w:rPr>
            </w:pPr>
            <w:hyperlink r:id="rId64">
              <w:r>
                <w:rPr>
                  <w:rFonts w:ascii="Arial" w:cs="Arial" w:eastAsia="Arial" w:hAnsi="Arial"/>
                  <w:sz w:val="14"/>
                  <w:szCs w:val="14"/>
                  <w:color w:val="0000EE"/>
                </w:rPr>
                <w:t>Incentive Plan.</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10.10</w:t>
            </w:r>
          </w:p>
        </w:tc>
        <w:tc>
          <w:tcPr>
            <w:tcW w:w="140" w:type="dxa"/>
            <w:vAlign w:val="bottom"/>
          </w:tcPr>
          <w:p>
            <w:pPr>
              <w:spacing w:after="0"/>
              <w:rPr>
                <w:sz w:val="12"/>
                <w:szCs w:val="12"/>
                <w:color w:val="auto"/>
              </w:rPr>
            </w:pPr>
          </w:p>
        </w:tc>
        <w:tc>
          <w:tcPr>
            <w:tcW w:w="2480" w:type="dxa"/>
            <w:vAlign w:val="bottom"/>
            <w:tcBorders>
              <w:top w:val="single" w:sz="8" w:color="0000EE"/>
            </w:tcBorders>
            <w:gridSpan w:val="14"/>
          </w:tcPr>
          <w:p>
            <w:pPr>
              <w:spacing w:after="0" w:line="142" w:lineRule="exact"/>
              <w:rPr>
                <w:rFonts w:ascii="Arial" w:cs="Arial" w:eastAsia="Arial" w:hAnsi="Arial"/>
                <w:sz w:val="14"/>
                <w:szCs w:val="14"/>
                <w:color w:val="0000EE"/>
              </w:rPr>
            </w:pPr>
            <w:hyperlink r:id="rId65">
              <w:r>
                <w:rPr>
                  <w:rFonts w:ascii="Arial" w:cs="Arial" w:eastAsia="Arial" w:hAnsi="Arial"/>
                  <w:sz w:val="14"/>
                  <w:szCs w:val="14"/>
                  <w:color w:val="0000EE"/>
                </w:rPr>
                <w:t>Form of Indemnification Agreement.</w:t>
              </w:r>
            </w:hyperlink>
          </w:p>
        </w:tc>
        <w:tc>
          <w:tcPr>
            <w:tcW w:w="620" w:type="dxa"/>
            <w:vAlign w:val="bottom"/>
            <w:gridSpan w:val="3"/>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8-K</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March 27, 2018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10.11+</w:t>
            </w:r>
          </w:p>
        </w:tc>
        <w:tc>
          <w:tcPr>
            <w:tcW w:w="140" w:type="dxa"/>
            <w:vAlign w:val="bottom"/>
          </w:tcPr>
          <w:p>
            <w:pPr>
              <w:spacing w:after="0"/>
              <w:rPr>
                <w:sz w:val="12"/>
                <w:szCs w:val="12"/>
                <w:color w:val="auto"/>
              </w:rPr>
            </w:pPr>
          </w:p>
        </w:tc>
        <w:tc>
          <w:tcPr>
            <w:tcW w:w="2140" w:type="dxa"/>
            <w:vAlign w:val="bottom"/>
            <w:tcBorders>
              <w:top w:val="single" w:sz="8" w:color="0000EE"/>
            </w:tcBorders>
            <w:gridSpan w:val="11"/>
          </w:tcPr>
          <w:p>
            <w:pPr>
              <w:spacing w:after="0" w:line="142" w:lineRule="exact"/>
              <w:rPr>
                <w:rFonts w:ascii="Arial" w:cs="Arial" w:eastAsia="Arial" w:hAnsi="Arial"/>
                <w:sz w:val="14"/>
                <w:szCs w:val="14"/>
                <w:color w:val="0000EE"/>
                <w:w w:val="94"/>
              </w:rPr>
            </w:pPr>
            <w:hyperlink r:id="rId66">
              <w:r>
                <w:rPr>
                  <w:rFonts w:ascii="Arial" w:cs="Arial" w:eastAsia="Arial" w:hAnsi="Arial"/>
                  <w:sz w:val="14"/>
                  <w:szCs w:val="14"/>
                  <w:color w:val="0000EE"/>
                  <w:w w:val="94"/>
                </w:rPr>
                <w:t>Employment Agreement, dated July</w:t>
              </w:r>
            </w:hyperlink>
          </w:p>
        </w:tc>
        <w:tc>
          <w:tcPr>
            <w:tcW w:w="2240" w:type="dxa"/>
            <w:vAlign w:val="bottom"/>
            <w:gridSpan w:val="24"/>
          </w:tcPr>
          <w:p>
            <w:pPr>
              <w:spacing w:after="0" w:line="142" w:lineRule="exact"/>
              <w:rPr>
                <w:rFonts w:ascii="Arial" w:cs="Arial" w:eastAsia="Arial" w:hAnsi="Arial"/>
                <w:sz w:val="14"/>
                <w:szCs w:val="14"/>
                <w:color w:val="0000EE"/>
                <w:w w:val="91"/>
              </w:rPr>
            </w:pPr>
            <w:hyperlink r:id="rId66">
              <w:r>
                <w:rPr>
                  <w:rFonts w:ascii="Arial" w:cs="Arial" w:eastAsia="Arial" w:hAnsi="Arial"/>
                  <w:sz w:val="14"/>
                  <w:szCs w:val="14"/>
                  <w:color w:val="0000EE"/>
                  <w:w w:val="91"/>
                </w:rPr>
                <w:t>21, 2014, by and between Tiger Media,</w:t>
              </w:r>
            </w:hyperlink>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10-K</w:t>
            </w:r>
          </w:p>
        </w:tc>
        <w:tc>
          <w:tcPr>
            <w:tcW w:w="116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333-158336</w:t>
            </w:r>
          </w:p>
        </w:tc>
        <w:tc>
          <w:tcPr>
            <w:tcW w:w="140" w:type="dxa"/>
            <w:vAlign w:val="bottom"/>
          </w:tcPr>
          <w:p>
            <w:pPr>
              <w:spacing w:after="0"/>
              <w:rPr>
                <w:sz w:val="12"/>
                <w:szCs w:val="12"/>
                <w:color w:val="auto"/>
              </w:rPr>
            </w:pPr>
          </w:p>
        </w:tc>
        <w:tc>
          <w:tcPr>
            <w:tcW w:w="1040" w:type="dxa"/>
            <w:vAlign w:val="bottom"/>
          </w:tcPr>
          <w:p>
            <w:pPr>
              <w:spacing w:after="0" w:line="142" w:lineRule="exact"/>
              <w:rPr>
                <w:sz w:val="20"/>
                <w:szCs w:val="20"/>
                <w:color w:val="auto"/>
              </w:rPr>
            </w:pPr>
            <w:r>
              <w:rPr>
                <w:rFonts w:ascii="Arial" w:cs="Arial" w:eastAsia="Arial" w:hAnsi="Arial"/>
                <w:sz w:val="14"/>
                <w:szCs w:val="14"/>
                <w:color w:val="auto"/>
              </w:rPr>
              <w:t>10.26</w:t>
            </w:r>
          </w:p>
        </w:tc>
        <w:tc>
          <w:tcPr>
            <w:tcW w:w="120" w:type="dxa"/>
            <w:vAlign w:val="bottom"/>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March 18, 2016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11"/>
                <w:szCs w:val="11"/>
                <w:color w:val="auto"/>
              </w:rPr>
            </w:pPr>
          </w:p>
        </w:tc>
        <w:tc>
          <w:tcPr>
            <w:tcW w:w="4360" w:type="dxa"/>
            <w:vAlign w:val="bottom"/>
            <w:tcBorders>
              <w:top w:val="single" w:sz="8" w:color="0000EE"/>
            </w:tcBorders>
            <w:gridSpan w:val="34"/>
          </w:tcPr>
          <w:p>
            <w:pPr>
              <w:spacing w:after="0" w:line="129" w:lineRule="exact"/>
              <w:rPr>
                <w:rFonts w:ascii="Arial" w:cs="Arial" w:eastAsia="Arial" w:hAnsi="Arial"/>
                <w:sz w:val="14"/>
                <w:szCs w:val="14"/>
                <w:color w:val="0000EE"/>
              </w:rPr>
            </w:pPr>
            <w:hyperlink r:id="rId66">
              <w:r>
                <w:rPr>
                  <w:rFonts w:ascii="Arial" w:cs="Arial" w:eastAsia="Arial" w:hAnsi="Arial"/>
                  <w:sz w:val="14"/>
                  <w:szCs w:val="14"/>
                  <w:color w:val="0000EE"/>
                </w:rPr>
                <w:t>Inc. (aka Cogint, Inc.) and Jacky Wang.</w:t>
              </w:r>
            </w:hyperlink>
          </w:p>
        </w:tc>
        <w:tc>
          <w:tcPr>
            <w:tcW w:w="2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August 8,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Borders>
              <w:top w:val="single" w:sz="8" w:color="0000EE"/>
            </w:tcBorders>
            <w:gridSpan w:val="12"/>
          </w:tcPr>
          <w:p>
            <w:pPr>
              <w:spacing w:after="0" w:line="142" w:lineRule="exact"/>
              <w:rPr>
                <w:rFonts w:ascii="Arial" w:cs="Arial" w:eastAsia="Arial" w:hAnsi="Arial"/>
                <w:sz w:val="14"/>
                <w:szCs w:val="14"/>
                <w:color w:val="0000EE"/>
                <w:w w:val="87"/>
              </w:rPr>
            </w:pPr>
            <w:hyperlink r:id="rId67">
              <w:r>
                <w:rPr>
                  <w:rFonts w:ascii="Arial" w:cs="Arial" w:eastAsia="Arial" w:hAnsi="Arial"/>
                  <w:sz w:val="14"/>
                  <w:szCs w:val="14"/>
                  <w:color w:val="0000EE"/>
                  <w:w w:val="87"/>
                </w:rPr>
                <w:t>Executive Chairman Services Agreement,</w:t>
              </w:r>
            </w:hyperlink>
          </w:p>
        </w:tc>
        <w:tc>
          <w:tcPr>
            <w:tcW w:w="2100" w:type="dxa"/>
            <w:vAlign w:val="bottom"/>
            <w:gridSpan w:val="23"/>
          </w:tcPr>
          <w:p>
            <w:pPr>
              <w:ind w:left="160"/>
              <w:spacing w:after="0" w:line="142" w:lineRule="exact"/>
              <w:rPr>
                <w:rFonts w:ascii="Arial" w:cs="Arial" w:eastAsia="Arial" w:hAnsi="Arial"/>
                <w:sz w:val="14"/>
                <w:szCs w:val="14"/>
                <w:color w:val="0000EE"/>
              </w:rPr>
            </w:pPr>
            <w:hyperlink r:id="rId67">
              <w:r>
                <w:rPr>
                  <w:rFonts w:ascii="Arial" w:cs="Arial" w:eastAsia="Arial" w:hAnsi="Arial"/>
                  <w:sz w:val="14"/>
                  <w:szCs w:val="14"/>
                  <w:color w:val="0000EE"/>
                </w:rPr>
                <w:t>effective as of August 7, 2018,</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11"/>
                <w:szCs w:val="11"/>
                <w:color w:val="auto"/>
              </w:rPr>
            </w:pPr>
          </w:p>
        </w:tc>
        <w:tc>
          <w:tcPr>
            <w:tcW w:w="4200" w:type="dxa"/>
            <w:vAlign w:val="bottom"/>
            <w:tcBorders>
              <w:top w:val="single" w:sz="8" w:color="0000EE"/>
            </w:tcBorders>
            <w:gridSpan w:val="30"/>
          </w:tcPr>
          <w:p>
            <w:pPr>
              <w:spacing w:after="0" w:line="129" w:lineRule="exact"/>
              <w:rPr>
                <w:rFonts w:ascii="Arial" w:cs="Arial" w:eastAsia="Arial" w:hAnsi="Arial"/>
                <w:sz w:val="14"/>
                <w:szCs w:val="14"/>
                <w:color w:val="0000EE"/>
              </w:rPr>
            </w:pPr>
            <w:hyperlink r:id="rId67">
              <w:r>
                <w:rPr>
                  <w:rFonts w:ascii="Arial" w:cs="Arial" w:eastAsia="Arial" w:hAnsi="Arial"/>
                  <w:sz w:val="14"/>
                  <w:szCs w:val="14"/>
                  <w:color w:val="0000EE"/>
                </w:rPr>
                <w:t>by and between Red Violet, Inc. and Michael Brauser.</w:t>
              </w:r>
            </w:hyperlink>
          </w:p>
        </w:tc>
        <w:tc>
          <w:tcPr>
            <w:tcW w:w="10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001-38407</w:t>
            </w:r>
          </w:p>
        </w:tc>
        <w:tc>
          <w:tcPr>
            <w:tcW w:w="14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rPr>
              <w:t>November 7, 2018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35"/>
          </w:tcPr>
          <w:p>
            <w:pPr>
              <w:spacing w:after="0" w:line="142" w:lineRule="exact"/>
              <w:rPr>
                <w:rFonts w:ascii="Arial" w:cs="Arial" w:eastAsia="Arial" w:hAnsi="Arial"/>
                <w:sz w:val="14"/>
                <w:szCs w:val="14"/>
                <w:color w:val="0000EE"/>
              </w:rPr>
            </w:pPr>
            <w:hyperlink r:id="rId68">
              <w:r>
                <w:rPr>
                  <w:rFonts w:ascii="Arial" w:cs="Arial" w:eastAsia="Arial" w:hAnsi="Arial"/>
                  <w:sz w:val="14"/>
                  <w:szCs w:val="14"/>
                  <w:color w:val="0000EE"/>
                </w:rPr>
                <w:t>Form of Time- and Performance-Based Restricted Stock Unit Award</w:t>
              </w:r>
            </w:hyperlink>
          </w:p>
        </w:tc>
        <w:tc>
          <w:tcPr>
            <w:tcW w:w="11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1"/>
                <w:szCs w:val="11"/>
                <w:color w:val="auto"/>
              </w:rPr>
            </w:pPr>
          </w:p>
        </w:tc>
        <w:tc>
          <w:tcPr>
            <w:tcW w:w="394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68">
              <w:r>
                <w:rPr>
                  <w:rFonts w:ascii="Arial" w:cs="Arial" w:eastAsia="Arial" w:hAnsi="Arial"/>
                  <w:sz w:val="14"/>
                  <w:szCs w:val="14"/>
                  <w:color w:val="0000EE"/>
                </w:rPr>
                <w:t>Agreement.</w:t>
              </w:r>
            </w:hyperlink>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0000EE"/>
            </w:tcBorders>
            <w:gridSpan w:val="2"/>
          </w:tcPr>
          <w:p>
            <w:pPr>
              <w:spacing w:after="0" w:line="142" w:lineRule="exact"/>
              <w:rPr>
                <w:rFonts w:ascii="Arial" w:cs="Arial" w:eastAsia="Arial" w:hAnsi="Arial"/>
                <w:sz w:val="14"/>
                <w:szCs w:val="14"/>
                <w:color w:val="0000EE"/>
                <w:w w:val="83"/>
              </w:rPr>
            </w:pPr>
            <w:hyperlink w:anchor="page59">
              <w:r>
                <w:rPr>
                  <w:rFonts w:ascii="Arial" w:cs="Arial" w:eastAsia="Arial" w:hAnsi="Arial"/>
                  <w:sz w:val="14"/>
                  <w:szCs w:val="14"/>
                  <w:color w:val="0000EE"/>
                  <w:w w:val="83"/>
                </w:rPr>
                <w:t>Subsidiaries</w:t>
              </w:r>
            </w:hyperlink>
          </w:p>
        </w:tc>
        <w:tc>
          <w:tcPr>
            <w:tcW w:w="3720" w:type="dxa"/>
            <w:vAlign w:val="bottom"/>
            <w:gridSpan w:val="33"/>
          </w:tcPr>
          <w:p>
            <w:pPr>
              <w:ind w:left="80"/>
              <w:spacing w:after="0" w:line="142" w:lineRule="exact"/>
              <w:rPr>
                <w:rFonts w:ascii="Arial" w:cs="Arial" w:eastAsia="Arial" w:hAnsi="Arial"/>
                <w:sz w:val="14"/>
                <w:szCs w:val="14"/>
                <w:color w:val="0000EE"/>
              </w:rPr>
            </w:pPr>
            <w:hyperlink w:anchor="page59">
              <w:r>
                <w:rPr>
                  <w:rFonts w:ascii="Arial" w:cs="Arial" w:eastAsia="Arial" w:hAnsi="Arial"/>
                  <w:sz w:val="14"/>
                  <w:szCs w:val="14"/>
                  <w:color w:val="0000EE"/>
                </w:rPr>
                <w:t>of Red Violet, Inc.</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23.1</w:t>
            </w:r>
          </w:p>
        </w:tc>
        <w:tc>
          <w:tcPr>
            <w:tcW w:w="140" w:type="dxa"/>
            <w:vAlign w:val="bottom"/>
          </w:tcPr>
          <w:p>
            <w:pPr>
              <w:spacing w:after="0"/>
              <w:rPr>
                <w:sz w:val="12"/>
                <w:szCs w:val="12"/>
                <w:color w:val="auto"/>
              </w:rPr>
            </w:pPr>
          </w:p>
        </w:tc>
        <w:tc>
          <w:tcPr>
            <w:tcW w:w="1800" w:type="dxa"/>
            <w:vAlign w:val="bottom"/>
            <w:tcBorders>
              <w:top w:val="single" w:sz="8" w:color="0000EE"/>
            </w:tcBorders>
            <w:gridSpan w:val="8"/>
          </w:tcPr>
          <w:p>
            <w:pPr>
              <w:spacing w:after="0" w:line="142" w:lineRule="exact"/>
              <w:rPr>
                <w:rFonts w:ascii="Arial" w:cs="Arial" w:eastAsia="Arial" w:hAnsi="Arial"/>
                <w:sz w:val="14"/>
                <w:szCs w:val="14"/>
                <w:color w:val="0000EE"/>
                <w:w w:val="91"/>
              </w:rPr>
            </w:pPr>
            <w:hyperlink w:anchor="page60">
              <w:r>
                <w:rPr>
                  <w:rFonts w:ascii="Arial" w:cs="Arial" w:eastAsia="Arial" w:hAnsi="Arial"/>
                  <w:sz w:val="14"/>
                  <w:szCs w:val="14"/>
                  <w:color w:val="0000EE"/>
                  <w:w w:val="91"/>
                </w:rPr>
                <w:t>Consent of Grant Thornton LLP</w:t>
              </w:r>
            </w:hyperlink>
          </w:p>
        </w:tc>
        <w:tc>
          <w:tcPr>
            <w:tcW w:w="2220" w:type="dxa"/>
            <w:vAlign w:val="bottom"/>
            <w:gridSpan w:val="13"/>
          </w:tcPr>
          <w:p>
            <w:pPr>
              <w:jc w:val="right"/>
              <w:ind w:right="2140"/>
              <w:spacing w:after="0" w:line="142" w:lineRule="exact"/>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10"/>
          </w:tcPr>
          <w:p>
            <w:pPr>
              <w:spacing w:after="0" w:line="142" w:lineRule="exact"/>
              <w:rPr>
                <w:rFonts w:ascii="Arial" w:cs="Arial" w:eastAsia="Arial" w:hAnsi="Arial"/>
                <w:sz w:val="14"/>
                <w:szCs w:val="14"/>
                <w:color w:val="0000EE"/>
                <w:w w:val="96"/>
              </w:rPr>
            </w:pPr>
            <w:hyperlink w:anchor="page61">
              <w:r>
                <w:rPr>
                  <w:rFonts w:ascii="Arial" w:cs="Arial" w:eastAsia="Arial" w:hAnsi="Arial"/>
                  <w:sz w:val="14"/>
                  <w:szCs w:val="14"/>
                  <w:color w:val="0000EE"/>
                  <w:w w:val="96"/>
                </w:rPr>
                <w:t>Certification of Chief Executive</w:t>
              </w:r>
            </w:hyperlink>
          </w:p>
        </w:tc>
        <w:tc>
          <w:tcPr>
            <w:tcW w:w="2260" w:type="dxa"/>
            <w:vAlign w:val="bottom"/>
            <w:tcBorders>
              <w:bottom w:val="single" w:sz="8" w:color="0000EE"/>
            </w:tcBorders>
            <w:gridSpan w:val="16"/>
          </w:tcPr>
          <w:p>
            <w:pPr>
              <w:ind w:left="20"/>
              <w:spacing w:after="0" w:line="142" w:lineRule="exact"/>
              <w:rPr>
                <w:rFonts w:ascii="Arial" w:cs="Arial" w:eastAsia="Arial" w:hAnsi="Arial"/>
                <w:sz w:val="14"/>
                <w:szCs w:val="14"/>
                <w:color w:val="0000EE"/>
                <w:w w:val="94"/>
              </w:rPr>
            </w:pPr>
            <w:hyperlink w:anchor="page61">
              <w:r>
                <w:rPr>
                  <w:rFonts w:ascii="Arial" w:cs="Arial" w:eastAsia="Arial" w:hAnsi="Arial"/>
                  <w:sz w:val="14"/>
                  <w:szCs w:val="14"/>
                  <w:color w:val="0000EE"/>
                  <w:w w:val="94"/>
                </w:rPr>
                <w:t>Officer filed pursuant to Exchange Act</w:t>
              </w:r>
            </w:hyperlink>
          </w:p>
        </w:tc>
        <w:tc>
          <w:tcPr>
            <w:tcW w:w="260" w:type="dxa"/>
            <w:vAlign w:val="bottom"/>
            <w:gridSpan w:val="9"/>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35"/>
          </w:tcPr>
          <w:p>
            <w:pPr>
              <w:spacing w:after="0" w:line="129" w:lineRule="exact"/>
              <w:rPr>
                <w:rFonts w:ascii="Arial" w:cs="Arial" w:eastAsia="Arial" w:hAnsi="Arial"/>
                <w:sz w:val="14"/>
                <w:szCs w:val="14"/>
                <w:color w:val="0000EE"/>
                <w:w w:val="93"/>
              </w:rPr>
            </w:pPr>
            <w:hyperlink w:anchor="page61">
              <w:r>
                <w:rPr>
                  <w:rFonts w:ascii="Arial" w:cs="Arial" w:eastAsia="Arial" w:hAnsi="Arial"/>
                  <w:sz w:val="14"/>
                  <w:szCs w:val="14"/>
                  <w:color w:val="0000EE"/>
                  <w:w w:val="93"/>
                </w:rPr>
                <w:t>Rules 13a-14(a) and 15d-14(a) of the Securities and Exchange Act of 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1"/>
                <w:szCs w:val="11"/>
                <w:color w:val="auto"/>
              </w:rPr>
            </w:pPr>
          </w:p>
        </w:tc>
        <w:tc>
          <w:tcPr>
            <w:tcW w:w="4300" w:type="dxa"/>
            <w:vAlign w:val="bottom"/>
            <w:tcBorders>
              <w:top w:val="single" w:sz="8" w:color="0000EE"/>
            </w:tcBorders>
            <w:gridSpan w:val="32"/>
          </w:tcPr>
          <w:p>
            <w:pPr>
              <w:spacing w:after="0" w:line="129" w:lineRule="exact"/>
              <w:rPr>
                <w:rFonts w:ascii="Arial" w:cs="Arial" w:eastAsia="Arial" w:hAnsi="Arial"/>
                <w:sz w:val="14"/>
                <w:szCs w:val="14"/>
                <w:color w:val="0000EE"/>
                <w:w w:val="96"/>
              </w:rPr>
            </w:pPr>
            <w:hyperlink w:anchor="page61">
              <w:r>
                <w:rPr>
                  <w:rFonts w:ascii="Arial" w:cs="Arial" w:eastAsia="Arial" w:hAnsi="Arial"/>
                  <w:sz w:val="14"/>
                  <w:szCs w:val="14"/>
                  <w:color w:val="0000EE"/>
                  <w:w w:val="96"/>
                </w:rPr>
                <w:t>as adopted pursuant to Section 302 of the Sarbanes-Oxley Act of 2002.</w:t>
              </w:r>
            </w:hyperlink>
          </w:p>
        </w:tc>
        <w:tc>
          <w:tcPr>
            <w:tcW w:w="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100" w:type="dxa"/>
            <w:vAlign w:val="bottom"/>
            <w:tcBorders>
              <w:top w:val="single" w:sz="8" w:color="0000EE"/>
            </w:tcBorders>
            <w:gridSpan w:val="25"/>
          </w:tcPr>
          <w:p>
            <w:pPr>
              <w:spacing w:after="0" w:line="142" w:lineRule="exact"/>
              <w:rPr>
                <w:rFonts w:ascii="Arial" w:cs="Arial" w:eastAsia="Arial" w:hAnsi="Arial"/>
                <w:sz w:val="14"/>
                <w:szCs w:val="14"/>
                <w:color w:val="0000EE"/>
                <w:w w:val="96"/>
              </w:rPr>
            </w:pPr>
            <w:hyperlink w:anchor="page62">
              <w:r>
                <w:rPr>
                  <w:rFonts w:ascii="Arial" w:cs="Arial" w:eastAsia="Arial" w:hAnsi="Arial"/>
                  <w:sz w:val="14"/>
                  <w:szCs w:val="14"/>
                  <w:color w:val="0000EE"/>
                  <w:w w:val="96"/>
                </w:rPr>
                <w:t>Certification of Chief Financial Officer filed pursuant to Exchange Act</w:t>
              </w:r>
            </w:hyperlink>
          </w:p>
        </w:tc>
        <w:tc>
          <w:tcPr>
            <w:tcW w:w="280" w:type="dxa"/>
            <w:vAlign w:val="bottom"/>
            <w:gridSpan w:val="10"/>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80" w:type="dxa"/>
            <w:vAlign w:val="bottom"/>
            <w:tcBorders>
              <w:top w:val="single" w:sz="8" w:color="0000EE"/>
            </w:tcBorders>
            <w:gridSpan w:val="24"/>
          </w:tcPr>
          <w:p>
            <w:pPr>
              <w:spacing w:after="0" w:line="129" w:lineRule="exact"/>
              <w:rPr>
                <w:rFonts w:ascii="Arial" w:cs="Arial" w:eastAsia="Arial" w:hAnsi="Arial"/>
                <w:sz w:val="14"/>
                <w:szCs w:val="14"/>
                <w:color w:val="0000EE"/>
                <w:w w:val="94"/>
              </w:rPr>
            </w:pPr>
            <w:hyperlink w:anchor="page62">
              <w:r>
                <w:rPr>
                  <w:rFonts w:ascii="Arial" w:cs="Arial" w:eastAsia="Arial" w:hAnsi="Arial"/>
                  <w:sz w:val="14"/>
                  <w:szCs w:val="14"/>
                  <w:color w:val="0000EE"/>
                  <w:w w:val="94"/>
                </w:rPr>
                <w:t>Rules 13a-14(a) and 15d-14(a) of the Securities and Exchange Act of</w:t>
              </w:r>
            </w:hyperlink>
          </w:p>
        </w:tc>
        <w:tc>
          <w:tcPr>
            <w:tcW w:w="300" w:type="dxa"/>
            <w:vAlign w:val="bottom"/>
            <w:gridSpan w:val="11"/>
          </w:tcPr>
          <w:p>
            <w:pPr>
              <w:jc w:val="right"/>
              <w:ind w:right="80"/>
              <w:spacing w:after="0" w:line="129" w:lineRule="exact"/>
              <w:rPr>
                <w:rFonts w:ascii="Arial" w:cs="Arial" w:eastAsia="Arial" w:hAnsi="Arial"/>
                <w:sz w:val="12"/>
                <w:szCs w:val="12"/>
                <w:color w:val="0000EE"/>
                <w:w w:val="74"/>
              </w:rPr>
            </w:pPr>
            <w:hyperlink w:anchor="page62">
              <w:r>
                <w:rPr>
                  <w:rFonts w:ascii="Arial" w:cs="Arial" w:eastAsia="Arial" w:hAnsi="Arial"/>
                  <w:sz w:val="12"/>
                  <w:szCs w:val="12"/>
                  <w:color w:val="0000EE"/>
                  <w:w w:val="74"/>
                </w:rPr>
                <w:t>1934</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1"/>
                <w:szCs w:val="11"/>
                <w:color w:val="auto"/>
              </w:rPr>
            </w:pPr>
          </w:p>
        </w:tc>
        <w:tc>
          <w:tcPr>
            <w:tcW w:w="4300" w:type="dxa"/>
            <w:vAlign w:val="bottom"/>
            <w:tcBorders>
              <w:top w:val="single" w:sz="8" w:color="0000EE"/>
            </w:tcBorders>
            <w:gridSpan w:val="32"/>
          </w:tcPr>
          <w:p>
            <w:pPr>
              <w:spacing w:after="0" w:line="129" w:lineRule="exact"/>
              <w:rPr>
                <w:rFonts w:ascii="Arial" w:cs="Arial" w:eastAsia="Arial" w:hAnsi="Arial"/>
                <w:sz w:val="14"/>
                <w:szCs w:val="14"/>
                <w:color w:val="0000EE"/>
                <w:w w:val="96"/>
              </w:rPr>
            </w:pPr>
            <w:hyperlink w:anchor="page62">
              <w:r>
                <w:rPr>
                  <w:rFonts w:ascii="Arial" w:cs="Arial" w:eastAsia="Arial" w:hAnsi="Arial"/>
                  <w:sz w:val="14"/>
                  <w:szCs w:val="14"/>
                  <w:color w:val="0000EE"/>
                  <w:w w:val="96"/>
                </w:rPr>
                <w:t>as adopted pursuant to Section 302 of the Sarbanes-Oxley Act of 2002.</w:t>
              </w:r>
            </w:hyperlink>
          </w:p>
        </w:tc>
        <w:tc>
          <w:tcPr>
            <w:tcW w:w="8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100" w:type="dxa"/>
            <w:vAlign w:val="bottom"/>
            <w:tcBorders>
              <w:top w:val="single" w:sz="8" w:color="0000EE"/>
            </w:tcBorders>
            <w:gridSpan w:val="25"/>
          </w:tcPr>
          <w:p>
            <w:pPr>
              <w:spacing w:after="0" w:line="142" w:lineRule="exact"/>
              <w:rPr>
                <w:rFonts w:ascii="Arial" w:cs="Arial" w:eastAsia="Arial" w:hAnsi="Arial"/>
                <w:sz w:val="14"/>
                <w:szCs w:val="14"/>
                <w:color w:val="0000EE"/>
                <w:w w:val="95"/>
              </w:rPr>
            </w:pPr>
            <w:hyperlink w:anchor="page63">
              <w:r>
                <w:rPr>
                  <w:rFonts w:ascii="Arial" w:cs="Arial" w:eastAsia="Arial" w:hAnsi="Arial"/>
                  <w:sz w:val="14"/>
                  <w:szCs w:val="14"/>
                  <w:color w:val="0000EE"/>
                  <w:w w:val="95"/>
                </w:rPr>
                <w:t>Certification by Chief Executive Officer pursuant to 18 U.S.C. Section</w:t>
              </w:r>
            </w:hyperlink>
          </w:p>
        </w:tc>
        <w:tc>
          <w:tcPr>
            <w:tcW w:w="280" w:type="dxa"/>
            <w:vAlign w:val="bottom"/>
            <w:gridSpan w:val="10"/>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60" w:type="dxa"/>
            <w:vAlign w:val="bottom"/>
            <w:tcBorders>
              <w:top w:val="single" w:sz="8" w:color="0000EE"/>
            </w:tcBorders>
            <w:gridSpan w:val="23"/>
          </w:tcPr>
          <w:p>
            <w:pPr>
              <w:spacing w:after="0" w:line="129" w:lineRule="exact"/>
              <w:rPr>
                <w:rFonts w:ascii="Arial" w:cs="Arial" w:eastAsia="Arial" w:hAnsi="Arial"/>
                <w:sz w:val="14"/>
                <w:szCs w:val="14"/>
                <w:color w:val="0000EE"/>
                <w:w w:val="91"/>
              </w:rPr>
            </w:pPr>
            <w:hyperlink w:anchor="page63">
              <w:r>
                <w:rPr>
                  <w:rFonts w:ascii="Arial" w:cs="Arial" w:eastAsia="Arial" w:hAnsi="Arial"/>
                  <w:sz w:val="14"/>
                  <w:szCs w:val="14"/>
                  <w:color w:val="0000EE"/>
                  <w:w w:val="91"/>
                </w:rPr>
                <w:t>1350, as adopted pursuant to Section 906 of the Sarbanes-Oxley Act of</w:t>
              </w:r>
            </w:hyperlink>
          </w:p>
        </w:tc>
        <w:tc>
          <w:tcPr>
            <w:tcW w:w="320" w:type="dxa"/>
            <w:vAlign w:val="bottom"/>
            <w:gridSpan w:val="12"/>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1120" w:type="dxa"/>
            <w:vAlign w:val="bottom"/>
            <w:gridSpan w:val="2"/>
            <w:vMerge w:val="restart"/>
          </w:tcPr>
          <w:p>
            <w:pPr>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5"/>
              </w:rPr>
            </w:pPr>
            <w:hyperlink w:anchor="page63">
              <w:r>
                <w:rPr>
                  <w:rFonts w:ascii="Arial" w:cs="Arial" w:eastAsia="Arial" w:hAnsi="Arial"/>
                  <w:sz w:val="14"/>
                  <w:szCs w:val="14"/>
                  <w:color w:val="0000EE"/>
                  <w:w w:val="85"/>
                </w:rPr>
                <w:t>2002.</w:t>
              </w:r>
            </w:hyperlink>
          </w:p>
        </w:tc>
        <w:tc>
          <w:tcPr>
            <w:tcW w:w="34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380" w:type="dxa"/>
            <w:vAlign w:val="bottom"/>
            <w:gridSpan w:val="35"/>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Certification by Chief Financial Officer pursuant to 18 U.S.C. Section</w:t>
              </w:r>
            </w:hyperlink>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20" w:type="dxa"/>
            <w:vAlign w:val="bottom"/>
            <w:gridSpan w:val="21"/>
            <w:shd w:val="clear" w:color="auto" w:fill="0000EE"/>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gridSpan w:val="35"/>
          </w:tcPr>
          <w:p>
            <w:pPr>
              <w:spacing w:after="0" w:line="129" w:lineRule="exact"/>
              <w:rPr>
                <w:rFonts w:ascii="Arial" w:cs="Arial" w:eastAsia="Arial" w:hAnsi="Arial"/>
                <w:sz w:val="14"/>
                <w:szCs w:val="14"/>
                <w:color w:val="0000EE"/>
                <w:w w:val="98"/>
              </w:rPr>
            </w:pPr>
            <w:hyperlink w:anchor="page64">
              <w:r>
                <w:rPr>
                  <w:rFonts w:ascii="Arial" w:cs="Arial" w:eastAsia="Arial" w:hAnsi="Arial"/>
                  <w:sz w:val="14"/>
                  <w:szCs w:val="14"/>
                  <w:color w:val="0000EE"/>
                  <w:w w:val="98"/>
                </w:rPr>
                <w:t>1350, as adopted pursuant to Section 906 of the Sarbanes-Oxley Act of</w:t>
              </w:r>
            </w:hyperlink>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5"/>
              </w:rPr>
            </w:pPr>
            <w:hyperlink w:anchor="page64">
              <w:r>
                <w:rPr>
                  <w:rFonts w:ascii="Arial" w:cs="Arial" w:eastAsia="Arial" w:hAnsi="Arial"/>
                  <w:sz w:val="14"/>
                  <w:szCs w:val="14"/>
                  <w:color w:val="0000EE"/>
                  <w:w w:val="85"/>
                </w:rPr>
                <w:t>2002.</w:t>
              </w:r>
            </w:hyperlink>
          </w:p>
        </w:tc>
        <w:tc>
          <w:tcPr>
            <w:tcW w:w="340" w:type="dxa"/>
            <w:vAlign w:val="bottom"/>
            <w:tcBorders>
              <w:top w:val="single" w:sz="8" w:color="0000EE"/>
            </w:tcBorders>
          </w:tcPr>
          <w:p>
            <w:pPr>
              <w:spacing w:after="0"/>
              <w:rPr>
                <w:sz w:val="11"/>
                <w:szCs w:val="11"/>
                <w:color w:val="auto"/>
              </w:rPr>
            </w:pPr>
          </w:p>
        </w:tc>
        <w:tc>
          <w:tcPr>
            <w:tcW w:w="7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60" w:type="dxa"/>
            <w:vAlign w:val="bottom"/>
            <w:gridSpan w:val="3"/>
          </w:tcPr>
          <w:p>
            <w:pPr>
              <w:spacing w:after="0" w:line="151" w:lineRule="exact"/>
              <w:rPr>
                <w:sz w:val="20"/>
                <w:szCs w:val="20"/>
                <w:color w:val="auto"/>
              </w:rPr>
            </w:pPr>
            <w:r>
              <w:rPr>
                <w:rFonts w:ascii="Arial" w:cs="Arial" w:eastAsia="Arial" w:hAnsi="Arial"/>
                <w:sz w:val="14"/>
                <w:szCs w:val="14"/>
                <w:color w:val="auto"/>
              </w:rPr>
              <w:t>101.INS</w:t>
            </w:r>
          </w:p>
        </w:tc>
        <w:tc>
          <w:tcPr>
            <w:tcW w:w="320" w:type="dxa"/>
            <w:vAlign w:val="bottom"/>
          </w:tcPr>
          <w:p>
            <w:pPr>
              <w:spacing w:after="0" w:line="151" w:lineRule="exact"/>
              <w:rPr>
                <w:sz w:val="20"/>
                <w:szCs w:val="20"/>
                <w:color w:val="auto"/>
              </w:rPr>
            </w:pPr>
            <w:r>
              <w:rPr>
                <w:rFonts w:ascii="Arial" w:cs="Arial" w:eastAsia="Arial" w:hAnsi="Arial"/>
                <w:sz w:val="14"/>
                <w:szCs w:val="14"/>
                <w:color w:val="auto"/>
                <w:w w:val="81"/>
              </w:rPr>
              <w:t>XBRL</w:t>
            </w:r>
          </w:p>
        </w:tc>
        <w:tc>
          <w:tcPr>
            <w:tcW w:w="4060" w:type="dxa"/>
            <w:vAlign w:val="bottom"/>
            <w:gridSpan w:val="34"/>
          </w:tcPr>
          <w:p>
            <w:pPr>
              <w:ind w:left="100"/>
              <w:spacing w:after="0" w:line="151" w:lineRule="exact"/>
              <w:rPr>
                <w:sz w:val="20"/>
                <w:szCs w:val="20"/>
                <w:color w:val="auto"/>
              </w:rPr>
            </w:pPr>
            <w:r>
              <w:rPr>
                <w:rFonts w:ascii="Arial" w:cs="Arial" w:eastAsia="Arial" w:hAnsi="Arial"/>
                <w:sz w:val="14"/>
                <w:szCs w:val="14"/>
                <w:color w:val="auto"/>
              </w:rPr>
              <w:t>Instance Document</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line="151"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101.SCH</w:t>
            </w:r>
          </w:p>
        </w:tc>
        <w:tc>
          <w:tcPr>
            <w:tcW w:w="4380" w:type="dxa"/>
            <w:vAlign w:val="bottom"/>
            <w:gridSpan w:val="35"/>
          </w:tcPr>
          <w:p>
            <w:pPr>
              <w:spacing w:after="0"/>
              <w:rPr>
                <w:sz w:val="20"/>
                <w:szCs w:val="20"/>
                <w:color w:val="auto"/>
              </w:rPr>
            </w:pPr>
            <w:r>
              <w:rPr>
                <w:rFonts w:ascii="Arial" w:cs="Arial" w:eastAsia="Arial" w:hAnsi="Arial"/>
                <w:sz w:val="14"/>
                <w:szCs w:val="14"/>
                <w:color w:val="auto"/>
              </w:rPr>
              <w:t>XBRL Taxonomy Extension Schema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1260" w:type="dxa"/>
            <w:vAlign w:val="bottom"/>
            <w:gridSpan w:val="3"/>
          </w:tcPr>
          <w:p>
            <w:pPr>
              <w:spacing w:after="0"/>
              <w:rPr>
                <w:sz w:val="20"/>
                <w:szCs w:val="20"/>
                <w:color w:val="auto"/>
              </w:rPr>
            </w:pPr>
            <w:r>
              <w:rPr>
                <w:rFonts w:ascii="Arial" w:cs="Arial" w:eastAsia="Arial" w:hAnsi="Arial"/>
                <w:sz w:val="14"/>
                <w:szCs w:val="14"/>
                <w:color w:val="auto"/>
              </w:rPr>
              <w:t>101.CAL</w:t>
            </w:r>
          </w:p>
        </w:tc>
        <w:tc>
          <w:tcPr>
            <w:tcW w:w="4380" w:type="dxa"/>
            <w:vAlign w:val="bottom"/>
            <w:gridSpan w:val="35"/>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260" w:type="dxa"/>
            <w:vAlign w:val="bottom"/>
            <w:gridSpan w:val="3"/>
          </w:tcPr>
          <w:p>
            <w:pPr>
              <w:spacing w:after="0"/>
              <w:rPr>
                <w:sz w:val="20"/>
                <w:szCs w:val="20"/>
                <w:color w:val="auto"/>
              </w:rPr>
            </w:pPr>
            <w:r>
              <w:rPr>
                <w:rFonts w:ascii="Arial" w:cs="Arial" w:eastAsia="Arial" w:hAnsi="Arial"/>
                <w:sz w:val="14"/>
                <w:szCs w:val="14"/>
                <w:color w:val="auto"/>
              </w:rPr>
              <w:t>101.DEF</w:t>
            </w:r>
          </w:p>
        </w:tc>
        <w:tc>
          <w:tcPr>
            <w:tcW w:w="4380" w:type="dxa"/>
            <w:vAlign w:val="bottom"/>
            <w:gridSpan w:val="35"/>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101.LAB</w:t>
            </w:r>
          </w:p>
        </w:tc>
        <w:tc>
          <w:tcPr>
            <w:tcW w:w="7040" w:type="dxa"/>
            <w:vAlign w:val="bottom"/>
          </w:tcPr>
          <w:p>
            <w:pPr>
              <w:ind w:left="360"/>
              <w:spacing w:after="0"/>
              <w:rPr>
                <w:sz w:val="20"/>
                <w:szCs w:val="20"/>
                <w:color w:val="auto"/>
              </w:rPr>
            </w:pPr>
            <w:r>
              <w:rPr>
                <w:rFonts w:ascii="Arial" w:cs="Arial" w:eastAsia="Arial" w:hAnsi="Arial"/>
                <w:sz w:val="14"/>
                <w:szCs w:val="14"/>
                <w:color w:val="auto"/>
              </w:rPr>
              <w:t>XBRL Taxonomy Extension Label Linkbase Document</w:t>
            </w:r>
          </w:p>
        </w:tc>
        <w:tc>
          <w:tcPr>
            <w:tcW w:w="3200" w:type="dxa"/>
            <w:vAlign w:val="bottom"/>
          </w:tcPr>
          <w:p>
            <w:pPr>
              <w:ind w:left="3100"/>
              <w:spacing w:after="0"/>
              <w:rPr>
                <w:sz w:val="20"/>
                <w:szCs w:val="20"/>
                <w:color w:val="auto"/>
              </w:rPr>
            </w:pPr>
            <w:r>
              <w:rPr>
                <w:rFonts w:ascii="Arial" w:cs="Arial" w:eastAsia="Arial" w:hAnsi="Arial"/>
                <w:sz w:val="14"/>
                <w:szCs w:val="14"/>
                <w:color w:val="auto"/>
                <w:w w:val="85"/>
              </w:rPr>
              <w:t>X</w:t>
            </w:r>
          </w:p>
        </w:tc>
      </w:tr>
      <w:tr>
        <w:trPr>
          <w:trHeight w:val="182"/>
        </w:trPr>
        <w:tc>
          <w:tcPr>
            <w:tcW w:w="900" w:type="dxa"/>
            <w:vAlign w:val="bottom"/>
          </w:tcPr>
          <w:p>
            <w:pPr>
              <w:spacing w:after="0"/>
              <w:rPr>
                <w:sz w:val="20"/>
                <w:szCs w:val="20"/>
                <w:color w:val="auto"/>
              </w:rPr>
            </w:pPr>
            <w:r>
              <w:rPr>
                <w:rFonts w:ascii="Arial" w:cs="Arial" w:eastAsia="Arial" w:hAnsi="Arial"/>
                <w:sz w:val="14"/>
                <w:szCs w:val="14"/>
                <w:color w:val="auto"/>
              </w:rPr>
              <w:t>101.PRE</w:t>
            </w:r>
          </w:p>
        </w:tc>
        <w:tc>
          <w:tcPr>
            <w:tcW w:w="7040" w:type="dxa"/>
            <w:vAlign w:val="bottom"/>
          </w:tcPr>
          <w:p>
            <w:pPr>
              <w:ind w:left="360"/>
              <w:spacing w:after="0"/>
              <w:rPr>
                <w:sz w:val="20"/>
                <w:szCs w:val="20"/>
                <w:color w:val="auto"/>
              </w:rPr>
            </w:pPr>
            <w:r>
              <w:rPr>
                <w:rFonts w:ascii="Arial" w:cs="Arial" w:eastAsia="Arial" w:hAnsi="Arial"/>
                <w:sz w:val="14"/>
                <w:szCs w:val="14"/>
                <w:color w:val="auto"/>
              </w:rPr>
              <w:t>XBRL Taxonomy Extension Presentation Linkbase Document</w:t>
            </w:r>
          </w:p>
        </w:tc>
        <w:tc>
          <w:tcPr>
            <w:tcW w:w="3200" w:type="dxa"/>
            <w:vAlign w:val="bottom"/>
          </w:tcPr>
          <w:p>
            <w:pPr>
              <w:ind w:left="3100"/>
              <w:spacing w:after="0"/>
              <w:rPr>
                <w:sz w:val="20"/>
                <w:szCs w:val="20"/>
                <w:color w:val="auto"/>
              </w:rPr>
            </w:pPr>
            <w:r>
              <w:rPr>
                <w:rFonts w:ascii="Arial" w:cs="Arial" w:eastAsia="Arial" w:hAnsi="Arial"/>
                <w:sz w:val="14"/>
                <w:szCs w:val="14"/>
                <w:color w:val="auto"/>
                <w:w w:val="85"/>
              </w:rPr>
              <w:t>X</w:t>
            </w:r>
          </w:p>
        </w:tc>
      </w:tr>
    </w:tbl>
    <w:p>
      <w:pPr>
        <w:spacing w:after="0" w:line="142" w:lineRule="exact"/>
        <w:rPr>
          <w:sz w:val="20"/>
          <w:szCs w:val="20"/>
          <w:color w:val="auto"/>
        </w:rPr>
      </w:pPr>
    </w:p>
    <w:p>
      <w:pPr>
        <w:ind w:left="1260" w:hanging="1252"/>
        <w:spacing w:after="0"/>
        <w:tabs>
          <w:tab w:leader="none" w:pos="1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3" w:lineRule="exact"/>
        <w:rPr>
          <w:sz w:val="20"/>
          <w:szCs w:val="20"/>
          <w:color w:val="auto"/>
        </w:rPr>
      </w:pPr>
    </w:p>
    <w:p>
      <w:pPr>
        <w:ind w:left="1260" w:hanging="1252"/>
        <w:spacing w:after="0" w:line="237" w:lineRule="auto"/>
        <w:tabs>
          <w:tab w:leader="none" w:pos="1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6" w:right="2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March 7, 2019</w:t>
      </w:r>
      <w:r>
        <w:rPr>
          <w:sz w:val="20"/>
          <w:szCs w:val="20"/>
          <w:color w:val="auto"/>
        </w:rPr>
        <w:tab/>
      </w:r>
      <w:r>
        <w:rPr>
          <w:rFonts w:ascii="Arial" w:cs="Arial" w:eastAsia="Arial" w:hAnsi="Arial"/>
          <w:sz w:val="18"/>
          <w:szCs w:val="18"/>
          <w:b w:val="1"/>
          <w:bCs w:val="1"/>
          <w:color w:val="auto"/>
        </w:rPr>
        <w:t>RED VIOLET, INC.</w:t>
      </w:r>
    </w:p>
    <w:p>
      <w:pPr>
        <w:spacing w:after="0" w:line="256"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8"/>
          <w:szCs w:val="18"/>
          <w:color w:val="auto"/>
        </w:rPr>
        <w:t>By:</w:t>
        <w:tab/>
        <w:t>/s/ Derek Dubner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8"/>
          <w:szCs w:val="18"/>
          <w:color w:val="auto"/>
        </w:rPr>
        <w:t>By:</w:t>
        <w:tab/>
        <w:t>/s/ Daniel MacLachlan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6300"/>
        <w:spacing w:after="0"/>
        <w:tabs>
          <w:tab w:leader="none" w:pos="6720" w:val="left"/>
        </w:tabs>
        <w:rPr>
          <w:sz w:val="20"/>
          <w:szCs w:val="20"/>
          <w:color w:val="auto"/>
        </w:rPr>
      </w:pPr>
      <w:r>
        <w:rPr>
          <w:rFonts w:ascii="Arial" w:cs="Arial" w:eastAsia="Arial" w:hAnsi="Arial"/>
          <w:sz w:val="18"/>
          <w:szCs w:val="18"/>
          <w:color w:val="auto"/>
        </w:rPr>
        <w:t>By:</w:t>
        <w:tab/>
        <w:t>/s/ Jacky Wang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Jacky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Dubner</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 Interim Chairman</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Derek Dubner</w:t>
            </w:r>
          </w:p>
        </w:tc>
        <w:tc>
          <w:tcPr>
            <w:tcW w:w="120" w:type="dxa"/>
            <w:vAlign w:val="bottom"/>
          </w:tcPr>
          <w:p>
            <w:pPr>
              <w:spacing w:after="0"/>
              <w:rPr>
                <w:sz w:val="19"/>
                <w:szCs w:val="19"/>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1700" w:type="dxa"/>
            <w:vAlign w:val="bottom"/>
          </w:tcPr>
          <w:p>
            <w:pPr>
              <w:spacing w:after="0"/>
              <w:rPr>
                <w:sz w:val="19"/>
                <w:szCs w:val="19"/>
                <w:color w:val="auto"/>
              </w:rPr>
            </w:pPr>
          </w:p>
        </w:tc>
      </w:tr>
      <w:tr>
        <w:trPr>
          <w:trHeight w:val="3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MacLachlan</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Daniel MacLachlan</w:t>
            </w:r>
          </w:p>
        </w:tc>
        <w:tc>
          <w:tcPr>
            <w:tcW w:w="120" w:type="dxa"/>
            <w:vAlign w:val="bottom"/>
          </w:tcPr>
          <w:p>
            <w:pPr>
              <w:spacing w:after="0"/>
              <w:rPr>
                <w:sz w:val="19"/>
                <w:szCs w:val="19"/>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1700" w:type="dxa"/>
            <w:vAlign w:val="bottom"/>
          </w:tcPr>
          <w:p>
            <w:pPr>
              <w:spacing w:after="0"/>
              <w:rPr>
                <w:sz w:val="19"/>
                <w:szCs w:val="19"/>
                <w:color w:val="auto"/>
              </w:rPr>
            </w:pPr>
          </w:p>
        </w:tc>
      </w:tr>
      <w:tr>
        <w:trPr>
          <w:trHeight w:val="3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Jacky Wang</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Accounting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Jacky Wang</w:t>
            </w:r>
          </w:p>
        </w:tc>
        <w:tc>
          <w:tcPr>
            <w:tcW w:w="120" w:type="dxa"/>
            <w:vAlign w:val="bottom"/>
          </w:tcPr>
          <w:p>
            <w:pPr>
              <w:spacing w:after="0"/>
              <w:rPr>
                <w:sz w:val="19"/>
                <w:szCs w:val="19"/>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Accounting Officer)</w:t>
            </w:r>
          </w:p>
        </w:tc>
        <w:tc>
          <w:tcPr>
            <w:tcW w:w="1700" w:type="dxa"/>
            <w:vAlign w:val="bottom"/>
          </w:tcPr>
          <w:p>
            <w:pPr>
              <w:spacing w:after="0"/>
              <w:rPr>
                <w:sz w:val="19"/>
                <w:szCs w:val="19"/>
                <w:color w:val="auto"/>
              </w:rPr>
            </w:pPr>
          </w:p>
        </w:tc>
      </w:tr>
      <w:tr>
        <w:trPr>
          <w:trHeight w:val="3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Rubin</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Steven D. Rubin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Benz</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Peter Benz</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Swayman</w:t>
            </w:r>
          </w:p>
        </w:tc>
        <w:tc>
          <w:tcPr>
            <w:tcW w:w="12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7, 2019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Swayman</w:t>
            </w:r>
          </w:p>
        </w:tc>
        <w:tc>
          <w:tcPr>
            <w:tcW w:w="1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ind w:left="780"/>
              <w:spacing w:after="0"/>
              <w:rPr>
                <w:sz w:val="20"/>
                <w:szCs w:val="20"/>
                <w:color w:val="auto"/>
              </w:rPr>
            </w:pPr>
            <w:r>
              <w:rPr>
                <w:rFonts w:ascii="Arial" w:cs="Arial" w:eastAsia="Arial" w:hAnsi="Arial"/>
                <w:sz w:val="14"/>
                <w:szCs w:val="14"/>
                <w:b w:val="1"/>
                <w:bCs w:val="1"/>
                <w:color w:val="auto"/>
              </w:rPr>
              <w:t>Page</w:t>
            </w:r>
          </w:p>
        </w:tc>
      </w:tr>
      <w:tr>
        <w:trPr>
          <w:trHeight w:val="300"/>
        </w:trPr>
        <w:tc>
          <w:tcPr>
            <w:tcW w:w="2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Report of independent registered public accounting firm for the years ended December 31, 2018 and 2017</w:t>
              </w:r>
            </w:hyperlink>
          </w:p>
        </w:tc>
        <w:tc>
          <w:tcPr>
            <w:tcW w:w="2560" w:type="dxa"/>
            <w:vAlign w:val="bottom"/>
            <w:gridSpan w:val="2"/>
          </w:tcPr>
          <w:p>
            <w:pPr>
              <w:spacing w:after="0"/>
              <w:rPr>
                <w:sz w:val="24"/>
                <w:szCs w:val="24"/>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rPr>
              <w:t>F-2</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 as of December 31, 2018 and 2017</w:t>
              </w:r>
            </w:hyperlink>
          </w:p>
        </w:tc>
        <w:tc>
          <w:tcPr>
            <w:tcW w:w="5600" w:type="dxa"/>
            <w:vAlign w:val="bottom"/>
            <w:gridSpan w:val="4"/>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rPr>
              <w:t>F-3</w:t>
            </w:r>
          </w:p>
        </w:tc>
      </w:tr>
      <w:tr>
        <w:trPr>
          <w:trHeight w:val="210"/>
        </w:trPr>
        <w:tc>
          <w:tcPr>
            <w:tcW w:w="20" w:type="dxa"/>
            <w:vAlign w:val="bottom"/>
          </w:tcPr>
          <w:p>
            <w:pPr>
              <w:spacing w:after="0"/>
              <w:rPr>
                <w:sz w:val="18"/>
                <w:szCs w:val="18"/>
                <w:color w:val="auto"/>
              </w:rPr>
            </w:pPr>
          </w:p>
        </w:tc>
        <w:tc>
          <w:tcPr>
            <w:tcW w:w="6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operations for the years ended December 31, 2018 and 2017</w:t>
              </w:r>
            </w:hyperlink>
          </w:p>
        </w:tc>
        <w:tc>
          <w:tcPr>
            <w:tcW w:w="3860" w:type="dxa"/>
            <w:vAlign w:val="bottom"/>
            <w:gridSpan w:val="3"/>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rPr>
              <w:t>F-4</w:t>
            </w:r>
          </w:p>
        </w:tc>
      </w:tr>
      <w:tr>
        <w:trPr>
          <w:trHeight w:val="210"/>
        </w:trPr>
        <w:tc>
          <w:tcPr>
            <w:tcW w:w="20" w:type="dxa"/>
            <w:vAlign w:val="bottom"/>
          </w:tcPr>
          <w:p>
            <w:pPr>
              <w:spacing w:after="0"/>
              <w:rPr>
                <w:sz w:val="18"/>
                <w:szCs w:val="18"/>
                <w:color w:val="auto"/>
              </w:rPr>
            </w:pPr>
          </w:p>
        </w:tc>
        <w:tc>
          <w:tcPr>
            <w:tcW w:w="94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changes in shareholders’ equity and member’s capital for the years ended December 31, 2018 and 2017</w:t>
              </w:r>
            </w:hyperlink>
          </w:p>
        </w:tc>
        <w:tc>
          <w:tcPr>
            <w:tcW w:w="74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rPr>
              <w:t>F-5</w:t>
            </w:r>
          </w:p>
        </w:tc>
      </w:tr>
      <w:tr>
        <w:trPr>
          <w:trHeight w:val="210"/>
        </w:trPr>
        <w:tc>
          <w:tcPr>
            <w:tcW w:w="20" w:type="dxa"/>
            <w:vAlign w:val="bottom"/>
          </w:tcPr>
          <w:p>
            <w:pPr>
              <w:spacing w:after="0"/>
              <w:rPr>
                <w:sz w:val="18"/>
                <w:szCs w:val="18"/>
                <w:color w:val="auto"/>
              </w:rPr>
            </w:pPr>
          </w:p>
        </w:tc>
        <w:tc>
          <w:tcPr>
            <w:tcW w:w="10200" w:type="dxa"/>
            <w:vAlign w:val="bottom"/>
            <w:gridSpan w:val="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 for the years ended December 31, 2018 and 2017</w:t>
              </w:r>
            </w:hyperlink>
          </w:p>
        </w:tc>
        <w:tc>
          <w:tcPr>
            <w:tcW w:w="1220" w:type="dxa"/>
            <w:vAlign w:val="bottom"/>
          </w:tcPr>
          <w:p>
            <w:pPr>
              <w:ind w:left="740"/>
              <w:spacing w:after="0"/>
              <w:rPr>
                <w:sz w:val="20"/>
                <w:szCs w:val="20"/>
                <w:color w:val="auto"/>
              </w:rPr>
            </w:pPr>
            <w:r>
              <w:rPr>
                <w:rFonts w:ascii="Arial" w:cs="Arial" w:eastAsia="Arial" w:hAnsi="Arial"/>
                <w:sz w:val="18"/>
                <w:szCs w:val="18"/>
                <w:color w:val="auto"/>
              </w:rPr>
              <w:t>F-6</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3860" w:type="dxa"/>
            <w:vAlign w:val="bottom"/>
            <w:gridSpan w:val="3"/>
          </w:tcPr>
          <w:p>
            <w:pPr>
              <w:spacing w:after="0"/>
              <w:rPr>
                <w:sz w:val="18"/>
                <w:szCs w:val="18"/>
                <w:color w:val="auto"/>
              </w:rPr>
            </w:pPr>
          </w:p>
        </w:tc>
        <w:tc>
          <w:tcPr>
            <w:tcW w:w="1220" w:type="dxa"/>
            <w:vAlign w:val="bottom"/>
          </w:tcPr>
          <w:p>
            <w:pPr>
              <w:ind w:left="740"/>
              <w:spacing w:after="0"/>
              <w:rPr>
                <w:sz w:val="20"/>
                <w:szCs w:val="20"/>
                <w:color w:val="auto"/>
              </w:rPr>
            </w:pPr>
            <w:r>
              <w:rPr>
                <w:rFonts w:ascii="Arial" w:cs="Arial" w:eastAsia="Arial" w:hAnsi="Arial"/>
                <w:sz w:val="18"/>
                <w:szCs w:val="18"/>
                <w:color w:val="auto"/>
              </w:rPr>
              <w:t>F-7</w:t>
            </w:r>
          </w:p>
        </w:tc>
      </w:tr>
      <w:tr>
        <w:trPr>
          <w:trHeight w:val="858"/>
        </w:trPr>
        <w:tc>
          <w:tcPr>
            <w:tcW w:w="2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600" w:type="dxa"/>
            <w:vAlign w:val="bottom"/>
            <w:gridSpan w:val="4"/>
          </w:tcPr>
          <w:p>
            <w:pPr>
              <w:ind w:left="960"/>
              <w:spacing w:after="0"/>
              <w:rPr>
                <w:sz w:val="20"/>
                <w:szCs w:val="20"/>
                <w:color w:val="auto"/>
              </w:rPr>
            </w:pPr>
            <w:r>
              <w:rPr>
                <w:rFonts w:ascii="Arial" w:cs="Arial" w:eastAsia="Arial" w:hAnsi="Arial"/>
                <w:sz w:val="18"/>
                <w:szCs w:val="18"/>
                <w:color w:val="auto"/>
              </w:rPr>
              <w:t>F-1</w:t>
            </w:r>
          </w:p>
        </w:tc>
        <w:tc>
          <w:tcPr>
            <w:tcW w:w="12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8" w:name="page39"/>
    <w:bookmarkEnd w:id="3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We have audited the accompanying consolidated balance sheets of Red Violet, Inc. (a Delaware corporation) and its subsidiaries (the “Company”) as of December 31, 2018 and 2017, the related consolidated statements of operations, changes in shareholders’ equity and member’s capital, and cash flows for the years then ended,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(Amounts 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ASSETS:</w:t>
            </w:r>
          </w:p>
        </w:tc>
        <w:tc>
          <w:tcPr>
            <w:tcW w:w="7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20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2,246</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and 0 authorized, and 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issued and outstanding, at December 31, 2018 and 2017,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and 5,000 shares authorized,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10,266,613 and 1,000 shares issued and outstanding, at December 31, 2018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2017,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capital</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4,754</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23,793</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(7,491)</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(0.67)</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AND MEMBER’S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980" w:type="dxa"/>
            <w:vAlign w:val="bottom"/>
            <w:gridSpan w:val="3"/>
            <w:vMerge w:val="restart"/>
          </w:tcPr>
          <w:p>
            <w:pPr>
              <w:jc w:val="right"/>
              <w:ind w:right="34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22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w w:val="90"/>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at December 31,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Incorporation of red violet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Fluent, Inc., including</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allocation of expenses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Fluent, Inc., including</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allocation of expenses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(4,784)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Spin-off from Fluent, Inc.</w:t>
            </w:r>
          </w:p>
        </w:tc>
        <w:tc>
          <w:tcPr>
            <w:tcW w:w="1000" w:type="dxa"/>
            <w:vAlign w:val="bottom"/>
          </w:tcPr>
          <w:p>
            <w:pPr>
              <w:jc w:val="right"/>
              <w:spacing w:after="0"/>
              <w:rPr>
                <w:sz w:val="20"/>
                <w:szCs w:val="20"/>
                <w:color w:val="auto"/>
              </w:rPr>
            </w:pPr>
            <w:r>
              <w:rPr>
                <w:rFonts w:ascii="Arial" w:cs="Arial" w:eastAsia="Arial" w:hAnsi="Arial"/>
                <w:sz w:val="18"/>
                <w:szCs w:val="18"/>
                <w:color w:val="auto"/>
              </w:rPr>
              <w:t>10,265,613</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(40,262)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10,266,613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(6,868)</w:t>
            </w:r>
          </w:p>
        </w:tc>
        <w:tc>
          <w:tcPr>
            <w:tcW w:w="112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(21,500)</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Allocation of expenses from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(3,501)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(8,053)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(10,411)</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(5,953)</w:t>
            </w: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(6,001)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contributed by Fluent, Inc.</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16,718</w:t>
            </w:r>
          </w:p>
        </w:tc>
        <w:tc>
          <w:tcPr>
            <w:tcW w:w="12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23,939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16,718</w:t>
            </w:r>
          </w:p>
        </w:tc>
        <w:tc>
          <w:tcPr>
            <w:tcW w:w="12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INFORMATION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12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Principal activities and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Principal activities</w:t>
      </w:r>
    </w:p>
    <w:p>
      <w:pPr>
        <w:spacing w:after="0" w:line="225"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Red Violet, Inc. (“we,” “us,” “our,” “red violet,” or the “Company”), a Delaware corporation, is a software and services company specializing in big data analysis, providing cloud-based mission-critical information solutions to enterprises in a variety of industries. Our mission is to transform data into intelligence utilizing our proprietary technology platform to solve complex problems for our clients. Harnessing the power of data fusion and powerful analytics, we transform data into intelligence, in a fast and efficient manner, so that our clients can spend their time on what matters most -- running their organizations with confidence. Through our intelligent platform, CORE</w:t>
      </w:r>
      <w:r>
        <w:rPr>
          <w:rFonts w:ascii="Arial" w:cs="Arial" w:eastAsia="Arial" w:hAnsi="Arial"/>
          <w:sz w:val="15"/>
          <w:szCs w:val="15"/>
          <w:color w:val="auto"/>
        </w:rPr>
        <w:t>TM</w:t>
      </w:r>
      <w:r>
        <w:rPr>
          <w:rFonts w:ascii="Arial" w:cs="Arial" w:eastAsia="Arial" w:hAnsi="Arial"/>
          <w:sz w:val="18"/>
          <w:szCs w:val="18"/>
          <w:color w:val="auto"/>
        </w:rPr>
        <w:t>, we uncover the relevance of disparate data points utilizing our analytical capabilities to provide real-time and insightful views of people, businesses, assets and their interrelationships. We empower clients across markets and industries to better execute all aspects of their business, from managing risk, identifying fraud and abuse, and ensuring legislative compliance, to debt recovery.</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unique and compelling solutions essential to the daily workflow of organizations within both the public and private sectors. Our cloud-based data fusion platform, combined with our massive database consisting of public-records, proprietary and publicly-available data, as well as a unique repository of self-reported information on millions of consumers, enables the delivery of differentiated products and solutions used for a variety of essential functions. These essential functions include identification and authentication, and investigation and validation.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only one operating segment, as defined by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Organization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26, 2018, Fluent, Inc. (“Fluent”), formerly known as Cogint, Inc., a Delaware corporation, completed a spin-off (the “Spin-off”) of its risk management business from its digital marketing business by way of a distribution of all the shares of common stock of Fluent’s wholly-owned subsidiary, red violet, to Fluent’s stockholders of record as of March 19, 2018 (the “Record Date”) and certain warrant holders. The distribution occurred by way of a pro rata stock distribution to such common stock and warrant holders, each of whom received one share of red violet’s common stock for every 7.5 shares of Fluent’s common stock held on the Record Date or to which they were entitled to under their warrants, which resulted in a distribution of a total of 10,266,613 shares of red violet common stock. Upon the Spin-off, red violet owns Fluent subsidiaries that previously operated Fluent’s risk management business.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Spin-off, red violet is an independent public company and red violet’s common stock began regular-way trading on The NASDAQ Capital Market under the symbol “RDVT” on March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liquidity</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accompanying consolidated financial statements have been prepared by red violet in accordance with accounting principles generally accepted in the United States (“US GAAP”).</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red violet accounted for the Spin-off in accordance with ASC 805-50-30-5 </w:t>
      </w:r>
      <w:r>
        <w:rPr>
          <w:rFonts w:ascii="Arial" w:cs="Arial" w:eastAsia="Arial" w:hAnsi="Arial"/>
          <w:sz w:val="18"/>
          <w:szCs w:val="18"/>
          <w:i w:val="1"/>
          <w:iCs w:val="1"/>
          <w:color w:val="auto"/>
        </w:rPr>
        <w:t>Initial Measurement- Transactions Between Entities Under Common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Transfer Date Measurement </w:t>
      </w:r>
      <w:r>
        <w:rPr>
          <w:rFonts w:ascii="Arial" w:cs="Arial" w:eastAsia="Arial" w:hAnsi="Arial"/>
          <w:sz w:val="18"/>
          <w:szCs w:val="18"/>
          <w:color w:val="auto"/>
        </w:rPr>
        <w:t>and therefore the net assets transferred from Fluent to red violet upon the Spin-off were reflected in red violet’s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at Fluent’s carrying values at the time of the Spin-off.</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reported a net loss of $6,868 and $21,500 for the years ended December 31, 2018 and 2017, respectively. Net cash used in operating activities was $8,053 and $10,411 for the years ended December 31, 2018 and 2017, respectively. As of December 31, 2018, the Company had an accumulated deficit of $4,784.</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December 31, 2018, the Company had available cash and cash equivalents of $9,950, an increase of $9,885 from $65 as of December 31, 2017.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Certain prior period items, accounts payable and accrued expenses and other current liabilities, have been reclassified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the Spin-off was completed on March 26, 2018, the Company has reflected the Spin-off in these financial statements as if it occurred on March 31, 2018 as the Company determined that the impact is not material to the consolidated financial statements.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financial statements present the consolidated results of operations, financial condition, and cash flows of red violet and its subsidiaries. For periods prior to the Spin-off, these financial statements were prepared on a consolidated and combined basis because certain of the entities were under common control. All intercompany accounts and transactions have been eliminated between the consolidated and combined entities.</w:t>
      </w:r>
    </w:p>
    <w:p>
      <w:pPr>
        <w:spacing w:after="0" w:line="16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historical consolidated and combined financial results presented prior to the Spin-off may not be indicative of the results that would have been achieved by the Company had it operated as a separate, standalone entity prior to the Spin-off. The consolidated and combined financial statements presented prior to the Spin-off do not reflect any changes that were expected to occur in the Company’s operations in connection with or as a result of the Spin-off.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allowance for doubtful accounts, useful lives of property and equipment and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consist of cash on hand and bank deposits with original maturities of three months or less, which are unrestricted as to withdrawal and use.</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$9,950 and $65 as of December 31, 2018 and 2017, respectively.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Accounts receivable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Accounts receivable are due from customers and are generally unsecured, which consist of amounts earned but not yet collected. None of the Company’s accounts receivable bear interest.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allowance for doubtful accounts is management’s best estimate of the amount of probable credit losses in the Company’s existing accounts receivable. Management determines the allowance based on reviews of customer-specific facts and economic conditions.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$77 and $228 as of December 31, 2018 and 2017,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Computer and network equipment</w:t>
            </w:r>
          </w:p>
        </w:tc>
        <w:tc>
          <w:tcPr>
            <w:tcW w:w="212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1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When items of property and equipment are retired or otherwise disposed of, loss/income is charged or credited for the difference between the net book value and proceeds received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 other than goodwill</w:t>
      </w:r>
    </w:p>
    <w:p>
      <w:pPr>
        <w:spacing w:after="0" w:line="225"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the Company capitalizes eligible costs, including salaries and staff benefits, share-based compensation expense, traveling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Goodwill</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December 31, 2018 and 2017, the balance of goodwill of $5,227 was as a result of the acquisition of Interactive Data, LLC (“Interactive Data”), a wholly-owned subsidiary of red violet, effective on October 2, 2014.</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On October 1, 2017, the Company early adopted ASU 2017-04, “</w:t>
      </w:r>
      <w:r>
        <w:rPr>
          <w:rFonts w:ascii="Arial" w:cs="Arial" w:eastAsia="Arial" w:hAnsi="Arial"/>
          <w:sz w:val="18"/>
          <w:szCs w:val="18"/>
          <w:i w:val="1"/>
          <w:iCs w:val="1"/>
          <w:color w:val="auto"/>
        </w:rPr>
        <w:t>Intangibles -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(Topic 350): Simplifying the Test for Goodwill Impairment,” </w:t>
      </w:r>
      <w:r>
        <w:rPr>
          <w:rFonts w:ascii="Arial" w:cs="Arial" w:eastAsia="Arial" w:hAnsi="Arial"/>
          <w:sz w:val="18"/>
          <w:szCs w:val="18"/>
          <w:color w:val="auto"/>
        </w:rPr>
        <w:t>which eliminates step two from the goodwill impairment test. Under ASU 2017-04,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should recognize an impairment charge for the amount by which the carrying amount of a reporting unit exceeds its fair value up to the amount of goodwill allocated to that reporting unit.</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measurement date of our annual goodwill impairment test is October 1. On October 1, 2018, we performed a qualitative assessment on the reporting unit and, based on this assessment, no events have occurred to indicate that it is more likely than not that the fair value of the reporting unit is less than its carry amount. On October 1, 2017, we performed a quantitative assessment on the reporting unit and the result of our assessment indicated that the estimated fair value of the reporting unit exceeds its carrying value. We concluded that goodwill was not impaired as of December 31, 2018 and 2017.</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values, including market multiples, discount rates, etc.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(h) Impairment of long-lived assets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there was no impairment as of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three-tier fair value hierarchy, which prioritizes the inputs used in measuring fair value.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hierarchy prioritizes the inputs into three levels based on the extent to which inputs used in measuring fair value are observable in the market.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defined as observable inputs such as quoted prices in active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defined as inputs other than quoted prices in active markets that are either directly or indirectly observable;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3 – defined as unobservable inputs in which little or no market data exists, therefore requiring an entity to develop its own assumptions.</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the Company’s cash and cash equivalents, receivables and payables approximate their carrying amount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225" w:lineRule="exact"/>
        <w:rPr>
          <w:sz w:val="20"/>
          <w:szCs w:val="20"/>
          <w:color w:val="auto"/>
        </w:rPr>
      </w:pPr>
    </w:p>
    <w:p>
      <w:pPr>
        <w:ind w:right="300"/>
        <w:spacing w:after="0" w:line="221" w:lineRule="exact"/>
        <w:rPr>
          <w:sz w:val="20"/>
          <w:szCs w:val="20"/>
          <w:color w:val="auto"/>
        </w:rPr>
      </w:pPr>
      <w:r>
        <w:rPr>
          <w:rFonts w:ascii="Arial" w:cs="Arial" w:eastAsia="Arial" w:hAnsi="Arial"/>
          <w:sz w:val="18"/>
          <w:szCs w:val="18"/>
          <w:color w:val="auto"/>
        </w:rPr>
        <w:t>On January 1, 2018, we adopted Topic 606, as defined in Note 2(s) below, using the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retrospective method applied to all contracts that were not completed contracts at the date of initial application. There was no impact on the opening accumulated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cit as of January 1, 2018 due to the adoption of Topic 606.</w:t>
      </w:r>
    </w:p>
    <w:p>
      <w:pPr>
        <w:spacing w:after="0" w:line="20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the year ended December 31, 2018, 58% of total revenue was attributable to customers with pricing contracts versus 42% attributable to transactional customers. For the year ended December 31, 2017, 36% of total revenue was attributable to customers with pricing contracts versus 64% attributable to transactional customers. Pricing contracts are generally annual contracts or longer, with auto renewal.</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market our services primarily through our own sales force. We also market our services through indirect channels such as resellers, who sell directly to businesses and consumers, which account for a small portion of revenue.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80"/>
        <w:spacing w:after="0" w:line="220" w:lineRule="exact"/>
        <w:rPr>
          <w:sz w:val="20"/>
          <w:szCs w:val="20"/>
          <w:color w:val="auto"/>
        </w:rPr>
      </w:pPr>
      <w:r>
        <w:rPr>
          <w:rFonts w:ascii="Arial" w:cs="Arial" w:eastAsia="Arial" w:hAnsi="Arial"/>
          <w:sz w:val="18"/>
          <w:szCs w:val="18"/>
          <w:color w:val="auto"/>
        </w:rPr>
        <w:t>Revenue is recognized when control of goods or services is transferred to our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we expect to be entitled to in exchange for those goods or services. Our performance obligation is to provide on demand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20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is recognized over a period of time since the performance obligation is delivered in a series. Our customers simultaneously receive and consume the benefits provided by the Company’s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The Company's revenue arrangements do not contain significant financing components.</w:t>
      </w:r>
    </w:p>
    <w:p>
      <w:pPr>
        <w:spacing w:after="0" w:line="171"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If a customer pays consideration before we transfer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December 31, 2018, the balance of deferred revenue was $26, all of which is expected to be realized in the next 12 months. In relation to the deferred revenue balance as of December 31, 2017, $33 was recognized into revenue during the year ended December 31, 2018.</w:t>
      </w:r>
    </w:p>
    <w:p>
      <w:pPr>
        <w:spacing w:after="0" w:line="20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December 31, 2018, approximately $877 of revenue is expected to be recognized in the future for outstanding performance obligations, primarily related to pricing contracts that have a term of more than 12 months. Approximately $644 of revenue will be recognized in 2019 and the remainder in 2020.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0" w:lineRule="exact"/>
        <w:rPr>
          <w:sz w:val="20"/>
          <w:szCs w:val="20"/>
          <w:color w:val="auto"/>
        </w:rPr>
      </w:pPr>
    </w:p>
    <w:p>
      <w:pPr>
        <w:jc w:val="both"/>
        <w:ind w:right="440"/>
        <w:spacing w:after="0" w:line="223" w:lineRule="exact"/>
        <w:rPr>
          <w:sz w:val="20"/>
          <w:szCs w:val="20"/>
          <w:color w:val="auto"/>
        </w:rPr>
      </w:pPr>
      <w:r>
        <w:rPr>
          <w:rFonts w:ascii="Arial" w:cs="Arial" w:eastAsia="Arial" w:hAnsi="Arial"/>
          <w:sz w:val="16"/>
          <w:szCs w:val="16"/>
          <w:color w:val="auto"/>
        </w:rPr>
        <w:t>In addition, we elected the practical expedient to not disclose the value of unsatis</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performance obligations for (i) contracts with an original expected length of one year or less and (ii) contracts for which we recognize revenue at the amount to which we have the right to invoice for services performed.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Cost of revenue (exclusive of depreciation and amortization)</w:t>
      </w:r>
    </w:p>
    <w:p>
      <w:pPr>
        <w:spacing w:after="0" w:line="225"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Our cost of revenue primarily includes data acquisition costs and other cost of revenue. Data acquisition costs consist primarily of the cost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Advertising and promotion costs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Advertising and promotion costs are charged to operations as incurred. Advertising and promotion costs, included in sales and marketing expenses amounted to $198 and $110 for the years ended December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accounts for share-based compensation to employees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Under ASC 718, the Company measures the cost of employee services received in exchange for an award of equity instruments based on the grant-date fair value of the award and generally recognizes the costs on a straight-line basis over the period the employee is required to provide service in exchange for the award, which generally is the vesting period. For awards with performance conditions, we begin recording share-based compensation when achieving the performance criteria is probable.</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8" w:name="page49"/>
    <w:bookmarkEnd w:id="48"/>
    <w:p>
      <w:pPr>
        <w:ind w:right="140"/>
        <w:spacing w:after="0" w:line="255" w:lineRule="auto"/>
        <w:rPr>
          <w:sz w:val="20"/>
          <w:szCs w:val="20"/>
          <w:color w:val="auto"/>
        </w:rPr>
      </w:pPr>
      <w:r>
        <w:rPr>
          <w:rFonts w:ascii="Arial" w:cs="Arial" w:eastAsia="Arial" w:hAnsi="Arial"/>
          <w:sz w:val="18"/>
          <w:szCs w:val="18"/>
          <w:color w:val="auto"/>
        </w:rPr>
        <w:t>We have issued share-based awards with performance-based vesting criteria. Achievement of the milestones must be probable before we begin recording share-based compensation expense. At each reporting date, we review the likelihood that these awards will vest and if the vesting is deemed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If ultimately performance goals are not met, for any share-based awards where vesting was previously deemed probable, previously recognized compensation cost will be reversed.</w:t>
      </w:r>
    </w:p>
    <w:p>
      <w:pPr>
        <w:spacing w:after="0" w:line="18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second quarter of 2018, we early adopted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which generally expands the scope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 include share-based payment transactions for acquiring goods and services from nonemployees and to supersede the guidance in ASC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which previously included the accounting for nonemployee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December 22, 2017, the tax reform legislation commonly known as the Tax Cuts and Jobs Act of 2017 (the “Act”) was enacted, resulting in significant modifications to existing law, including lowering the U.S. corporate statutory income tax rate to 21%, among other changes. As a full valuation allowance was recognized in 2018 and 2017, the Act did not have any material net impact on our consolidated financial statements, however, certain income tax disclosures, including the re-measurement of deferred tax assets and liabilities and related valuation allowance, and the effective income tax rate reconciliation, were affected.</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Loss per share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periods. Diluted loss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Contingencies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Segment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ASC 280, “Segment Reporting.”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8480" w:firstLine="8"/>
        <w:spacing w:after="0" w:line="501" w:lineRule="auto"/>
        <w:tabs>
          <w:tab w:leader="none" w:pos="23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concentrations and risks Concentration of credit risk</w:t>
      </w:r>
    </w:p>
    <w:p>
      <w:pPr>
        <w:ind w:right="40"/>
        <w:spacing w:after="0" w:line="257" w:lineRule="auto"/>
        <w:rPr>
          <w:sz w:val="20"/>
          <w:szCs w:val="20"/>
          <w:color w:val="auto"/>
        </w:rPr>
      </w:pPr>
      <w:r>
        <w:rPr>
          <w:rFonts w:ascii="Arial" w:cs="Arial" w:eastAsia="Arial" w:hAnsi="Arial"/>
          <w:sz w:val="18"/>
          <w:szCs w:val="18"/>
          <w:color w:val="auto"/>
        </w:rPr>
        <w:t>Assets that potentially subject the Company to significant concentration of credit risk primarily consist of cash and cash equivalents, and accounts receivable. As of December 31, 2018 and 2017,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year ended December 31, 2018, one individual customer accounted for 11% of the total revenue. For the year ended December 31, 2017, there was no individual customer that accounted for more than 10% of the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and 2017, there was no individual customer that accounted for more than 10% of the Company’s accounts receivable, net.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the major credit bureaus, including our largest data supplier. The Company’s other data suppliers include strategic partners, as well as various government and public records repositories. Our largest data supplier, with whom we have expanded our relationship while securing favorable business terms over the years, accounted for approximately 46% of our total data acquisition costs for the year ended December 31, 2018, compared to approximately 43% for the year ended December 31, 2017. The initial term of the agreement, as amended, with this supplier ends April 30, 2022, and continues thereafter on a month-to-month basis unless and until either party provides the other with a minimum of 30 days’ written notice of termination.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150 days’ advance written notice to us and we may terminate this agreement by providing not less than 24 months’ advance written notice to this supplier. The remaining minimum purchase commitments through the end of the initial term is $14.9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one data supplier accounted for 42% and 25% of the Company’s total accounts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issued accounting standards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ind w:right="20"/>
        <w:spacing w:after="0" w:line="268" w:lineRule="auto"/>
        <w:rPr>
          <w:sz w:val="20"/>
          <w:szCs w:val="20"/>
          <w:color w:val="auto"/>
        </w:rPr>
      </w:pPr>
      <w:r>
        <w:rPr>
          <w:rFonts w:ascii="Arial" w:cs="Arial" w:eastAsia="Arial" w:hAnsi="Arial"/>
          <w:sz w:val="17"/>
          <w:szCs w:val="17"/>
          <w:color w:val="auto"/>
        </w:rPr>
        <w:t>In May 2014, Financial Accounting Standards Board (“FASB”) issued Accounting Standards Update (“ASU”) No. 2014-09 (“ASU 2014-09”), “Revenue from Contracts with Customers (Topic 606).” The standard’s core principle is that a company will recognize revenue when it transfers promised goods or services to customers in an amount that reflects the consideration to which the company expects to be entitled in exchange for those goods or services. In August 2015, FASB issued ASU No. 2015-14, “Revenue from Contracts with Customers (Topic 606): Deferral of the Effective Date,” which delays the effective date of ASU 2014-09 by one year. FASB also agreed to allow entities to choose to adopt the standard as of the original effective date. In March 2016, FASB issued ASU No. 2016-08, “Revenue from Contracts with Customers (Topic 606): Principal versus Agent Considerations (Reporting Revenue Gross versus Net)” (“ASU 2016-08”), which clarifies the implementation guidance on principal versus agent considerations. The guidance includes indicators to assist an entity in evaluating whether it controls the good or the service before it is transferred to the customer. The new revenue recognition standard is effective for public entities for annual reporting periods beginning after December 15, 2017, and interim periods therein, that is, the first quarter of 2018. The new standard also permits two methods of adoption: retrospectively to each prior reporting period presented (full retrospective method), or retrospectively with the cumulative effect of initially applying the guidance recognized at the date of initial application (the modified retrospective method). We adopted Topic 606 as of January 1, 2018 using the modified retrospective method, and the adoption did not have a material impact on our consolidated balance sheets, statements of operations, or cash flows. Refer to Note 2(j) above for further details.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FASB issued ASU No. 2016-02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Topic 842 will be effective for public entities and private entities in the first quarter of 2019 and the first quarter of 2020, respectively, on a modified retrospective basis and early adoption is permitted. We plan to adopt Topic 842 in the first quarter of 2019. Based on our assessment, we expect to record a right-of-use asset and a total operating lease obligation on our consolidated balance sheet of approximately $3.0 million and $3.4 million, respectively, upon the adoption.</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June 2018, FASB issued ASU No. 2018-07 (“ASU 2018-07”), “Improvements to Nonemployee Share-Based Payment Accounting,” which generally expands the scope of ASC 718, Compensation – Stock Compensation, to include share-based payment transactions for acquiring goods and services from nonemployees and to supersede the guidance in ASC 505-50, Equity-Based Payments to Non-employees, which previously included the accounting for nonemployee awards. This guidance became effective for public business entities for fiscal years beginning after December 15, 2018, including interim periods, on a modified retrospective basis and early adoption was permitted. We early adopted ASU 2018-07 during the second quarter of 2018 and there was no material impact on our consolidated financial statements and related disclosures.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August 2018, FASB issued ASU No. 2018-15 (“ASU 2018-15”), “Intangibles—Goodwill and Other—Internal-Use Software (Subtopic 350-40): Customer's Accounting for Implementation Costs Incurred in a Cloud Computing Arrangement That Is a Service Contract,” which requires an entity (customer)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We are evaluating the effect that this guidance will have on our consolidated financial statements and related disclosures.</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June 2016, FASB issued ASU No. 2016-13 (“ASU 2016-13”), “Financial Instruments - Credit Losses (Topic 326): Measurement of Credit Losses on Financial Instruments.” In November 2018, FASB issued ASU No. 2018-19, “Codification Improvements to Topic 326, Financial Instruments-Credit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public companies beginning January 1, 2020, with early adoption permitted, on a modified retrospective approach. We are currently evaluating the impact this guidance will have on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3. Loss per share</w:t>
      </w:r>
    </w:p>
    <w:p>
      <w:pPr>
        <w:spacing w:after="0" w:line="16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Prior to the Spin-off, the financial information of red violet represented the consolidated and combined figures of red violet and its subsidiaries. red violet only had 1,000 shares of common stock outstanding, all of which Fluent owned. On March 26, 2018, upon the Spin-off of red violet, an aggregate of 10,266,613 shares of red violet common stock were distributed to Fluent stockholders and certain warrant holders. This number of shares remained outstanding at December 31, 2018, and it is utilized to calculate the basic and diluted loss per share for the years ended December 31, 2018 and 2017, as shown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6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(6,868)</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10,266,613</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10,266,613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(0.67)</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total of 2,121,000 shares of unvested restricted stock units (“RSUs”) granted during the year ended December 31, 2018 have been excluded from the diluted loss per share calculation as the impact is anti-dilutive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1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4"/>
                <w:szCs w:val="14"/>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19"/>
                <w:szCs w:val="19"/>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The movement of allowance for doubtful accounts is shown below:</w:t>
            </w: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4340" w:type="dxa"/>
            <w:vAlign w:val="bottom"/>
            <w:gridSpan w:val="5"/>
          </w:tcPr>
          <w:p>
            <w:pPr>
              <w:jc w:val="right"/>
              <w:ind w:right="1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tcPr>
          <w:p>
            <w:pPr>
              <w:jc w:val="right"/>
              <w:ind w:right="81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tcPr>
          <w:p>
            <w:pPr>
              <w:jc w:val="right"/>
              <w:ind w:right="8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Charges to expenses</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Write-offs</w:t>
            </w:r>
          </w:p>
        </w:tc>
        <w:tc>
          <w:tcPr>
            <w:tcW w:w="2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bad debts of $294 and $287 was provided for the years ended December 31,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December 31, 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December 31, 2017</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and network equipment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cost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(684)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property and equipment of $266 and $272 was recorded for the years ended December 31, 2018 and 2017,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6.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5"/>
              </w:rPr>
              <w:t>December 31, 2017</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114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74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2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6"/>
              </w:rPr>
              <w:t>5-10 years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gross amount associated with software developed for internal use represents capitalized costs of internally-developed software, including eligible salaries and staff benefits, share-based compensation, traveling expenses incurred by relevant employees, and other relevant costs.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Amortization expenses of $1,730 and $866 were included in depreciation and amortization expense for the years ended December 31, 2018 and 2017, respectively. As of December 31, 2018, intangible assets of $3,831, included in the gross amounts of software developed for internal use, have not started amortization, as they are not ready for their intended use.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capitalized costs of internally-developed software of $6,348 and $6,737 during the years ended December 31,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estimated amortization expenses related to the Company’s intangible assets for 2019 through 2024 and thereafter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8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86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December 31, 2018</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Employees compensation expenses</w:t>
            </w:r>
          </w:p>
        </w:tc>
        <w:tc>
          <w:tcPr>
            <w:tcW w:w="8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14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Accrued data acquisition costs</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Litigation settlement payable</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Miscellaneous expenses payable</w:t>
            </w:r>
          </w:p>
        </w:tc>
        <w:tc>
          <w:tcPr>
            <w:tcW w:w="86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620" w:type="dxa"/>
            <w:vAlign w:val="bottom"/>
            <w:tcBorders>
              <w:bottom w:val="single" w:sz="8" w:color="auto"/>
            </w:tcBorders>
          </w:tcPr>
          <w:p>
            <w:pPr>
              <w:jc w:val="right"/>
              <w:ind w:right="14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1,277</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Litigation settlement payable as of December 31, 2017 represents the remaining balance of litigation settlement, as discussed below, which was fully paid out in 2018.</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July 22, 2017, the Company entered into a settlement agreement with TransUnion and TransUnion Risk and Alternative Data Solutions, Inc. (“TRADS”), settling all litigation with TransUnion and TRADS. Company subsidiary, IDI Holdings, LLC, paid $7,000 to TRADS over the course of one year to settle all these matters. The Company recorded the expense of $7,000 in general and administrative expenses during the second quarter of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 net</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year ended December 31, 2018, other income, net consisted primarily of transition service income of $218 and the insurance proceeds of $350 in relation to previously settled litigation with TRADS.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red violet is a “C” corporation, while its subsidiaries are all limited liability companies. Before the Spin-off, red violet and its subsidiaries were consolidated with Fluent for U.S. federal income tax purposes. However, for purposes of these financial statements, the income tax provisions prior to the Spin-off were prepared assuming the entities filed separate tax returns.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federal and state income taxes in the United States. The income taxes on loss before income taxes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Borders>
              <w:bottom w:val="single" w:sz="8" w:color="CEF0FC"/>
            </w:tcBorders>
            <w:vMerge w:val="continue"/>
          </w:tcPr>
          <w:p>
            <w:pPr>
              <w:spacing w:after="0"/>
              <w:rPr>
                <w:sz w:val="13"/>
                <w:szCs w:val="13"/>
                <w:color w:val="auto"/>
              </w:rPr>
            </w:pPr>
          </w:p>
        </w:tc>
        <w:tc>
          <w:tcPr>
            <w:tcW w:w="2520" w:type="dxa"/>
            <w:vAlign w:val="bottom"/>
            <w:tcBorders>
              <w:bottom w:val="single" w:sz="8" w:color="CE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EF0FC"/>
            </w:tcBorders>
          </w:tcPr>
          <w:p>
            <w:pPr>
              <w:spacing w:after="0"/>
              <w:rPr>
                <w:sz w:val="13"/>
                <w:szCs w:val="13"/>
                <w:color w:val="auto"/>
              </w:rPr>
            </w:pPr>
          </w:p>
        </w:tc>
        <w:tc>
          <w:tcPr>
            <w:tcW w:w="20" w:type="dxa"/>
            <w:vAlign w:val="bottom"/>
            <w:tcBorders>
              <w:bottom w:val="single" w:sz="8" w:color="CE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E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EF0FC"/>
          </w:tcPr>
          <w:p>
            <w:pPr>
              <w:spacing w:after="0"/>
              <w:rPr>
                <w:sz w:val="20"/>
                <w:szCs w:val="20"/>
                <w:color w:val="auto"/>
              </w:rPr>
            </w:pPr>
            <w:r>
              <w:rPr>
                <w:rFonts w:ascii="Arial" w:cs="Arial" w:eastAsia="Arial" w:hAnsi="Arial"/>
                <w:sz w:val="18"/>
                <w:szCs w:val="18"/>
                <w:color w:val="auto"/>
              </w:rPr>
              <w:t>Current</w:t>
            </w:r>
          </w:p>
        </w:tc>
        <w:tc>
          <w:tcPr>
            <w:tcW w:w="2520" w:type="dxa"/>
            <w:vAlign w:val="bottom"/>
            <w:shd w:val="clear" w:color="auto" w:fill="CEF0FC"/>
          </w:tcPr>
          <w:p>
            <w:pPr>
              <w:spacing w:after="0"/>
              <w:rPr>
                <w:sz w:val="19"/>
                <w:szCs w:val="19"/>
                <w:color w:val="auto"/>
              </w:rPr>
            </w:pPr>
          </w:p>
        </w:tc>
        <w:tc>
          <w:tcPr>
            <w:tcW w:w="500" w:type="dxa"/>
            <w:vAlign w:val="bottom"/>
            <w:shd w:val="clear" w:color="auto" w:fill="CEF0FC"/>
          </w:tcPr>
          <w:p>
            <w:pPr>
              <w:spacing w:after="0"/>
              <w:rPr>
                <w:sz w:val="19"/>
                <w:szCs w:val="19"/>
                <w:color w:val="auto"/>
              </w:rPr>
            </w:pPr>
          </w:p>
        </w:tc>
        <w:tc>
          <w:tcPr>
            <w:tcW w:w="1560" w:type="dxa"/>
            <w:vAlign w:val="bottom"/>
            <w:shd w:val="clear" w:color="auto" w:fill="CEF0FC"/>
          </w:tcPr>
          <w:p>
            <w:pPr>
              <w:spacing w:after="0"/>
              <w:rPr>
                <w:sz w:val="19"/>
                <w:szCs w:val="19"/>
                <w:color w:val="auto"/>
              </w:rPr>
            </w:pPr>
          </w:p>
        </w:tc>
        <w:tc>
          <w:tcPr>
            <w:tcW w:w="32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40" w:type="dxa"/>
            <w:vAlign w:val="bottom"/>
            <w:shd w:val="clear" w:color="auto" w:fill="CEF0FC"/>
          </w:tcPr>
          <w:p>
            <w:pPr>
              <w:spacing w:after="0"/>
              <w:rPr>
                <w:sz w:val="19"/>
                <w:szCs w:val="19"/>
                <w:color w:val="auto"/>
              </w:rPr>
            </w:pPr>
          </w:p>
        </w:tc>
        <w:tc>
          <w:tcPr>
            <w:tcW w:w="132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Federal and state</w:t>
            </w:r>
          </w:p>
        </w:tc>
        <w:tc>
          <w:tcPr>
            <w:tcW w:w="30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gridSpan w:val="2"/>
          </w:tcPr>
          <w:p>
            <w:pPr>
              <w:jc w:val="right"/>
              <w:ind w:right="585"/>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EF0FC"/>
          </w:tcPr>
          <w:p>
            <w:pPr>
              <w:spacing w:after="0"/>
              <w:rPr>
                <w:sz w:val="20"/>
                <w:szCs w:val="20"/>
                <w:color w:val="auto"/>
              </w:rPr>
            </w:pPr>
            <w:r>
              <w:rPr>
                <w:rFonts w:ascii="Arial" w:cs="Arial" w:eastAsia="Arial" w:hAnsi="Arial"/>
                <w:sz w:val="18"/>
                <w:szCs w:val="18"/>
                <w:color w:val="auto"/>
              </w:rPr>
              <w:t>Deferred</w:t>
            </w:r>
          </w:p>
        </w:tc>
        <w:tc>
          <w:tcPr>
            <w:tcW w:w="2520" w:type="dxa"/>
            <w:vAlign w:val="bottom"/>
            <w:shd w:val="clear" w:color="auto" w:fill="CEF0FC"/>
          </w:tcPr>
          <w:p>
            <w:pPr>
              <w:spacing w:after="0"/>
              <w:rPr>
                <w:sz w:val="19"/>
                <w:szCs w:val="19"/>
                <w:color w:val="auto"/>
              </w:rPr>
            </w:pPr>
          </w:p>
        </w:tc>
        <w:tc>
          <w:tcPr>
            <w:tcW w:w="500" w:type="dxa"/>
            <w:vAlign w:val="bottom"/>
            <w:shd w:val="clear" w:color="auto" w:fill="CEF0FC"/>
          </w:tcPr>
          <w:p>
            <w:pPr>
              <w:spacing w:after="0"/>
              <w:rPr>
                <w:sz w:val="19"/>
                <w:szCs w:val="19"/>
                <w:color w:val="auto"/>
              </w:rPr>
            </w:pPr>
          </w:p>
        </w:tc>
        <w:tc>
          <w:tcPr>
            <w:tcW w:w="1560" w:type="dxa"/>
            <w:vAlign w:val="bottom"/>
            <w:shd w:val="clear" w:color="auto" w:fill="CEF0FC"/>
          </w:tcPr>
          <w:p>
            <w:pPr>
              <w:spacing w:after="0"/>
              <w:rPr>
                <w:sz w:val="19"/>
                <w:szCs w:val="19"/>
                <w:color w:val="auto"/>
              </w:rPr>
            </w:pPr>
          </w:p>
        </w:tc>
        <w:tc>
          <w:tcPr>
            <w:tcW w:w="32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40" w:type="dxa"/>
            <w:vAlign w:val="bottom"/>
            <w:shd w:val="clear" w:color="auto" w:fill="CEF0FC"/>
          </w:tcPr>
          <w:p>
            <w:pPr>
              <w:spacing w:after="0"/>
              <w:rPr>
                <w:sz w:val="19"/>
                <w:szCs w:val="19"/>
                <w:color w:val="auto"/>
              </w:rPr>
            </w:pPr>
          </w:p>
        </w:tc>
        <w:tc>
          <w:tcPr>
            <w:tcW w:w="1320" w:type="dxa"/>
            <w:vAlign w:val="bottom"/>
            <w:shd w:val="clear" w:color="auto" w:fill="CEF0FC"/>
          </w:tcPr>
          <w:p>
            <w:pPr>
              <w:spacing w:after="0"/>
              <w:rPr>
                <w:sz w:val="19"/>
                <w:szCs w:val="19"/>
                <w:color w:val="auto"/>
              </w:rPr>
            </w:pPr>
          </w:p>
        </w:tc>
        <w:tc>
          <w:tcPr>
            <w:tcW w:w="10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Federal</w:t>
            </w:r>
          </w:p>
        </w:tc>
        <w:tc>
          <w:tcPr>
            <w:tcW w:w="2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7,979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4340" w:type="dxa"/>
            <w:vAlign w:val="bottom"/>
            <w:shd w:val="clear" w:color="auto" w:fill="CEF0FC"/>
          </w:tcPr>
          <w:p>
            <w:pPr>
              <w:ind w:left="100"/>
              <w:spacing w:after="0"/>
              <w:rPr>
                <w:sz w:val="20"/>
                <w:szCs w:val="20"/>
                <w:color w:val="auto"/>
              </w:rPr>
            </w:pPr>
            <w:r>
              <w:rPr>
                <w:rFonts w:ascii="Arial" w:cs="Arial" w:eastAsia="Arial" w:hAnsi="Arial"/>
                <w:sz w:val="18"/>
                <w:szCs w:val="18"/>
                <w:color w:val="auto"/>
              </w:rPr>
              <w:t>State</w:t>
            </w:r>
          </w:p>
        </w:tc>
        <w:tc>
          <w:tcPr>
            <w:tcW w:w="2520" w:type="dxa"/>
            <w:vAlign w:val="bottom"/>
            <w:shd w:val="clear" w:color="auto" w:fill="CEF0FC"/>
          </w:tcPr>
          <w:p>
            <w:pPr>
              <w:spacing w:after="0"/>
              <w:rPr>
                <w:sz w:val="19"/>
                <w:szCs w:val="19"/>
                <w:color w:val="auto"/>
              </w:rPr>
            </w:pPr>
          </w:p>
        </w:tc>
        <w:tc>
          <w:tcPr>
            <w:tcW w:w="500" w:type="dxa"/>
            <w:vAlign w:val="bottom"/>
            <w:shd w:val="clear" w:color="auto" w:fill="CEF0FC"/>
          </w:tcPr>
          <w:p>
            <w:pPr>
              <w:spacing w:after="0"/>
              <w:rPr>
                <w:sz w:val="19"/>
                <w:szCs w:val="19"/>
                <w:color w:val="auto"/>
              </w:rPr>
            </w:pPr>
          </w:p>
        </w:tc>
        <w:tc>
          <w:tcPr>
            <w:tcW w:w="1560" w:type="dxa"/>
            <w:vAlign w:val="bottom"/>
            <w:shd w:val="clear" w:color="auto" w:fill="CEF0FC"/>
          </w:tcPr>
          <w:p>
            <w:pPr>
              <w:jc w:val="right"/>
              <w:spacing w:after="0"/>
              <w:rPr>
                <w:sz w:val="20"/>
                <w:szCs w:val="20"/>
                <w:color w:val="auto"/>
              </w:rPr>
            </w:pPr>
            <w:r>
              <w:rPr>
                <w:rFonts w:ascii="Arial" w:cs="Arial" w:eastAsia="Arial" w:hAnsi="Arial"/>
                <w:sz w:val="18"/>
                <w:szCs w:val="18"/>
                <w:color w:val="auto"/>
              </w:rPr>
              <w:t>1,543</w:t>
            </w:r>
          </w:p>
        </w:tc>
        <w:tc>
          <w:tcPr>
            <w:tcW w:w="32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740" w:type="dxa"/>
            <w:vAlign w:val="bottom"/>
            <w:shd w:val="clear" w:color="auto" w:fill="CEF0FC"/>
          </w:tcPr>
          <w:p>
            <w:pPr>
              <w:spacing w:after="0"/>
              <w:rPr>
                <w:sz w:val="19"/>
                <w:szCs w:val="19"/>
                <w:color w:val="auto"/>
              </w:rPr>
            </w:pPr>
          </w:p>
        </w:tc>
        <w:tc>
          <w:tcPr>
            <w:tcW w:w="1420" w:type="dxa"/>
            <w:vAlign w:val="bottom"/>
            <w:gridSpan w:val="2"/>
            <w:shd w:val="clear" w:color="auto" w:fill="CEF0FC"/>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2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(9,522)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EF0FC"/>
            </w:tcBorders>
            <w:shd w:val="clear" w:color="auto" w:fill="CEF0FC"/>
          </w:tcPr>
          <w:p>
            <w:pPr>
              <w:spacing w:after="0"/>
              <w:rPr>
                <w:sz w:val="19"/>
                <w:szCs w:val="19"/>
                <w:color w:val="auto"/>
              </w:rPr>
            </w:pPr>
          </w:p>
        </w:tc>
        <w:tc>
          <w:tcPr>
            <w:tcW w:w="2520" w:type="dxa"/>
            <w:vAlign w:val="bottom"/>
            <w:tcBorders>
              <w:top w:val="single" w:sz="8" w:color="CEF0FC"/>
            </w:tcBorders>
            <w:shd w:val="clear" w:color="auto" w:fill="CEF0FC"/>
          </w:tcPr>
          <w:p>
            <w:pPr>
              <w:spacing w:after="0"/>
              <w:rPr>
                <w:sz w:val="19"/>
                <w:szCs w:val="19"/>
                <w:color w:val="auto"/>
              </w:rPr>
            </w:pPr>
          </w:p>
        </w:tc>
        <w:tc>
          <w:tcPr>
            <w:tcW w:w="500" w:type="dxa"/>
            <w:vAlign w:val="bottom"/>
            <w:tcBorders>
              <w:top w:val="single" w:sz="8" w:color="auto"/>
              <w:bottom w:val="single" w:sz="8" w:color="auto"/>
            </w:tcBorders>
            <w:shd w:val="clear" w:color="auto" w:fill="CEF0FC"/>
          </w:tcPr>
          <w:p>
            <w:pPr>
              <w:spacing w:after="0"/>
              <w:rPr>
                <w:sz w:val="19"/>
                <w:szCs w:val="19"/>
                <w:color w:val="auto"/>
              </w:rPr>
            </w:pPr>
          </w:p>
        </w:tc>
        <w:tc>
          <w:tcPr>
            <w:tcW w:w="156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EF0FC"/>
            </w:tcBorders>
            <w:shd w:val="clear" w:color="auto" w:fill="CEF0FC"/>
          </w:tcPr>
          <w:p>
            <w:pPr>
              <w:spacing w:after="0"/>
              <w:rPr>
                <w:sz w:val="19"/>
                <w:szCs w:val="19"/>
                <w:color w:val="auto"/>
              </w:rPr>
            </w:pPr>
          </w:p>
        </w:tc>
        <w:tc>
          <w:tcPr>
            <w:tcW w:w="20" w:type="dxa"/>
            <w:vAlign w:val="bottom"/>
            <w:tcBorders>
              <w:top w:val="single" w:sz="8" w:color="CEF0FC"/>
            </w:tcBorders>
            <w:shd w:val="clear" w:color="auto" w:fill="CEF0FC"/>
          </w:tcPr>
          <w:p>
            <w:pPr>
              <w:spacing w:after="0"/>
              <w:rPr>
                <w:sz w:val="19"/>
                <w:szCs w:val="19"/>
                <w:color w:val="auto"/>
              </w:rPr>
            </w:pPr>
          </w:p>
        </w:tc>
        <w:tc>
          <w:tcPr>
            <w:tcW w:w="740" w:type="dxa"/>
            <w:vAlign w:val="bottom"/>
            <w:tcBorders>
              <w:top w:val="single" w:sz="8" w:color="auto"/>
              <w:bottom w:val="single" w:sz="8" w:color="auto"/>
            </w:tcBorders>
            <w:shd w:val="clear" w:color="auto" w:fill="CEF0FC"/>
          </w:tcPr>
          <w:p>
            <w:pPr>
              <w:spacing w:after="0"/>
              <w:rPr>
                <w:sz w:val="19"/>
                <w:szCs w:val="19"/>
                <w:color w:val="auto"/>
              </w:rPr>
            </w:pPr>
          </w:p>
        </w:tc>
        <w:tc>
          <w:tcPr>
            <w:tcW w:w="1320" w:type="dxa"/>
            <w:vAlign w:val="bottom"/>
            <w:tcBorders>
              <w:top w:val="single" w:sz="8" w:color="auto"/>
              <w:bottom w:val="single" w:sz="8" w:color="auto"/>
            </w:tcBorders>
            <w:shd w:val="clear" w:color="auto" w:fill="CE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EF0FC"/>
            </w:tcBorders>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22, 2017, the Act was enacted, with the statutory federal income tax rate lowered to 21%, among other changes, effective on January 1, 2018. As a full valuation allowance was provided as of December 31, 2018 and 2017, the Act does not have a material net impact on our consolidated financial statements, however, certain income tax disclosures, including the re-measurement of deferred tax assets and liabilities and related valuation allowance, and the effective income tax rate reconciliation, are affected.</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effective income tax benefit differed from the U.S. corporate statutory income tax rate for the years ended December 31, 2018 and 2017. A reconciliation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Tax on loss before income taxes</w:t>
            </w:r>
          </w:p>
        </w:tc>
        <w:tc>
          <w:tcPr>
            <w:tcW w:w="74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(7,310)</w:t>
            </w:r>
          </w:p>
        </w:tc>
        <w:tc>
          <w:tcPr>
            <w:tcW w:w="4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Effect of state taxes (net of federal tax benefit)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ind w:right="128"/>
              <w:spacing w:after="0"/>
              <w:rPr>
                <w:sz w:val="20"/>
                <w:szCs w:val="20"/>
                <w:color w:val="auto"/>
              </w:rPr>
            </w:pPr>
            <w:r>
              <w:rPr>
                <w:rFonts w:ascii="Arial" w:cs="Arial" w:eastAsia="Arial" w:hAnsi="Arial"/>
                <w:sz w:val="18"/>
                <w:szCs w:val="18"/>
                <w:color w:val="auto"/>
              </w:rPr>
              <w:t>(769)</w:t>
            </w:r>
          </w:p>
        </w:tc>
        <w:tc>
          <w:tcPr>
            <w:tcW w:w="4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Excess tax benefit from share-based compensation</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Other permanent differences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remeasurement for tax rate change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5,842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Effect of the Spin-off from Fluent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-137.0%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(9,522)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138.7%</w:t>
            </w: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4"/>
            <w:vMerge w:val="restart"/>
          </w:tcPr>
          <w:p>
            <w:pPr>
              <w:spacing w:after="0"/>
              <w:rPr>
                <w:sz w:val="20"/>
                <w:szCs w:val="20"/>
                <w:color w:val="auto"/>
              </w:rPr>
            </w:pPr>
            <w:r>
              <w:rPr>
                <w:rFonts w:ascii="Arial" w:cs="Arial" w:eastAsia="Arial" w:hAnsi="Arial"/>
                <w:sz w:val="18"/>
                <w:szCs w:val="18"/>
                <w:color w:val="auto"/>
              </w:rPr>
              <w:t>Income tax benefit</w:t>
            </w:r>
          </w:p>
        </w:tc>
        <w:tc>
          <w:tcPr>
            <w:tcW w:w="7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4"/>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gridSpan w:val="6"/>
          </w:tcPr>
          <w:p>
            <w:pPr>
              <w:spacing w:after="0"/>
              <w:rPr>
                <w:sz w:val="20"/>
                <w:szCs w:val="20"/>
                <w:color w:val="auto"/>
              </w:rPr>
            </w:pPr>
            <w:r>
              <w:rPr>
                <w:rFonts w:ascii="Arial" w:cs="Arial" w:eastAsia="Arial" w:hAnsi="Arial"/>
                <w:sz w:val="18"/>
                <w:szCs w:val="18"/>
                <w:color w:val="auto"/>
                <w:w w:val="93"/>
              </w:rPr>
              <w:t>Components of deferred tax assets and liabilities consist of the following:</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Deferred tax assets:</w:t>
            </w:r>
          </w:p>
        </w:tc>
        <w:tc>
          <w:tcPr>
            <w:tcW w:w="74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Net operating loss carryforwards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3,836</w:t>
            </w:r>
          </w:p>
        </w:tc>
        <w:tc>
          <w:tcPr>
            <w:tcW w:w="160" w:type="dxa"/>
            <w:vAlign w:val="bottom"/>
          </w:tcPr>
          <w:p>
            <w:pPr>
              <w:spacing w:after="0"/>
              <w:rPr>
                <w:sz w:val="19"/>
                <w:szCs w:val="19"/>
                <w:color w:val="auto"/>
              </w:rPr>
            </w:pP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12,666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(2,318)</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2"/>
              </w:rPr>
              <w:t>Deferred tax liabilities:</w:t>
            </w:r>
          </w:p>
        </w:tc>
        <w:tc>
          <w:tcPr>
            <w:tcW w:w="27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deferred income tax</w:t>
            </w:r>
          </w:p>
        </w:tc>
        <w:tc>
          <w:tcPr>
            <w:tcW w:w="7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gridSpan w:val="3"/>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4"/>
          </w:tcPr>
          <w:p>
            <w:pPr>
              <w:jc w:val="right"/>
              <w:ind w:right="1170"/>
              <w:spacing w:after="0"/>
              <w:rPr>
                <w:sz w:val="20"/>
                <w:szCs w:val="20"/>
                <w:color w:val="auto"/>
              </w:rPr>
            </w:pPr>
            <w:r>
              <w:rPr>
                <w:rFonts w:ascii="Arial" w:cs="Arial" w:eastAsia="Arial" w:hAnsi="Arial"/>
                <w:sz w:val="18"/>
                <w:szCs w:val="18"/>
                <w:color w:val="auto"/>
              </w:rPr>
              <w:t>F-17</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54" w:name="page55"/>
    <w:bookmarkEnd w:id="54"/>
    <w:p>
      <w:pPr>
        <w:ind w:right="120"/>
        <w:spacing w:after="0" w:line="257" w:lineRule="auto"/>
        <w:rPr>
          <w:sz w:val="20"/>
          <w:szCs w:val="20"/>
          <w:color w:val="auto"/>
        </w:rPr>
      </w:pPr>
      <w:r>
        <w:rPr>
          <w:rFonts w:ascii="Arial" w:cs="Arial" w:eastAsia="Arial" w:hAnsi="Arial"/>
          <w:sz w:val="18"/>
          <w:szCs w:val="18"/>
          <w:color w:val="auto"/>
        </w:rPr>
        <w:t>As of December 31, 2018, the Company had federal and state net operating loss carryforwards of $16,360 and $8,411, respectively, which begin to expire in 2034, except that $8,816 of federal net operating loss carryforwards incurred in 2018 could be carried forward indefinitely. The decrease in the net operating loss carryforwards in 2018 is due to the net operating loss carryforwards that stayed with Fluent upon the Spin-off. The Company’s net operating losses may be subject to annual Section 382 limitations due to ownership changes that could impact the future realization. The Company uses ASC 740 ordering when determining when excess tax benefits have been realized.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valuation allowance of $2,318 and $11,840 was necessary as of December 31, 2018 and 2017, respectively, to reduce the deferred tax assets to the amount that is more likely than not to be realized. The change in the valuation allowance was a reduction of $9,522 for the year ended December 31, 2018 and an increase of $1,891 for the year ended December 31, 2017.</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2015 remain open for tax examinations.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December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and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2018 and 2017, the number of authorized shares of common stock was 200,000,000 and 5,000, with a par value of $0.001 per share, respectively, of which, 10,266,613 and 1,000 shares of common stock were issued and outstanding, respectively.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26, 2018, Fluent completed the Spin-off of its risk management business from its digital marketing business by way of a distribution of all the shares of common stock of red violet to Fluent’s stockholders of record as of March 19, 2018, the Record Date, and certain warrant holders, which resulted in a distribution of a total of 10,266,613 shares of red violet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2018, we had 10,000,000 shares of preferred stock with par value of $0.001 per share authorized, and there were no shares of preferred stock issued or outstanding. There was no preferred stock authorized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March 22, 2018, the board of directors of red violet and Fluent, in its capacity as sole stockholder of red violet prior to the Spin-off, approved the Red Violet, Inc. 2018 Stock Incentive Plan, (the “2018 Plan”), which became effective immediately prior to the Spin-off.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there were 879,000 shares of common stock reserved for issuance under the 2018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Details of unvested RSUs activity during the year ended December 31, 2018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grant-date fair value</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2017</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2,145,500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(24,500)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Unvested as of December 31, 2018</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2,121,000</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29, 2018, an aggregate of 56,000 RSUs were granted to certain nonemployee directors, at a grant date fair value of $6.10 per share, under the 2018 Plan, with vesting periods ranging from one to three years.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July 2018, an aggregate of 602,000 RSUs were granted to certain employees of the Company, at a grant date fair value ranging from $7.53 to $8.60 per share, under the 2018 Plan, with vesting periods ranging from three to four years.</w:t>
      </w:r>
    </w:p>
    <w:p>
      <w:pPr>
        <w:spacing w:after="0" w:line="17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On September 5, 2018, the Company’s compensation committee approved the grant of an aggregate of 1,487,500 RSUs, subject to both time- and performance-based requirements, to certain of its executive officers and directors, at a grant date fair value of $7.69 per share, under the 2018 Plan, with a three-year vesting period. Such RSU grants shall not vest unless and until the Company has, for any fiscal quarter in which the RSUs are outstanding,</w:t>
      </w: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gross revenue determined in accordance with the Company’s reviewed or audited financial statements in excess of $7.0 million for such fiscal quarter,</w:t>
      </w:r>
    </w:p>
    <w:p>
      <w:pPr>
        <w:spacing w:after="0" w:line="32" w:lineRule="exact"/>
        <w:rPr>
          <w:rFonts w:ascii="Arial" w:cs="Arial" w:eastAsia="Arial" w:hAnsi="Arial"/>
          <w:sz w:val="16"/>
          <w:szCs w:val="16"/>
          <w:color w:val="auto"/>
        </w:rPr>
      </w:pPr>
    </w:p>
    <w:p>
      <w:pPr>
        <w:ind w:right="40" w:firstLine="8"/>
        <w:spacing w:after="0" w:line="269"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positive adjusted EBITDA, as determined based on amounts derived from the Company’s reviewed or audited financial statements for such fiscal quarter, and (iii) the participant continues to provide services to the Company either as an employee, director or consultant on the last date of the quarter that the performance criteria is met (collectively, the “Performance Criteria”). If the Performance Criteria are met, the RSUs will vest one-third annually on each of July 1, 2019, July 1, 2020 and July 1, 2021 (“Time-Based Vesting Requirement”). In the event of a change of control, all RSUs which have not vested on the date of such change of control shall immediately vest even if the Performance Criteria has not been met. No amortization of share-based compensation expense has been recognized during the year ended December 31, 2018 in relation to RSUs with Performance Criteria, because, as of December 31, 2018, the Company determined that it is not probable that the Performance Criteria will be met.</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2018, unrecognized share-based compensation expense associated with the granted RSUs, excluding those RSUs with Performance Criteria, amounted to $3,980, which is expected to be recognized over a weighted 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consolidated financial statements for the years ended December 31,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4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amounts recorded included an allocation of share-based compensation related to the share-based awards granted by Fluent to Company employees or non-employees prior to the Spin-off.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contribution by Fluent, Inc., recorded in the consolidated statements of changes in shareholders’ equity and member’s capital, represents cash funding provided or the portion of certain expenses allocated by Fluent to red violet, on or prior to the Spin-off.</w:t>
      </w:r>
    </w:p>
    <w:p>
      <w:pPr>
        <w:spacing w:after="0" w:line="17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These allocated expenses are primarily corporate employee salaries and benefits of the functional groups (inclusive of executive management, accounting, administrative and information technology) and corporate administrative expenses (inclusive of legal services, accounting and finance services and other corporate and infrastructure services). Corporate employee salaries and benefits were allocated on the basis of time spent, and corporate administrative expenses were allocated on the basis of relative percentage of services utilized or benefit received. red violet recorded expenses of $325 and $3,646 for the years ended December 31, 2018 and 2017, respectively, as a result of the allocation of expenses from Fluent. Upon the Spin-off, Fluent no longer allocates any expenses to red violet.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color w:val="auto"/>
        </w:rPr>
        <w:t>In addition, share-based compensation of $344 and $3,655 for the years ended December 31, 2018 and 2017, respectively, relating to the share-based awards granted by Fluent prior to the Spin-off, were recorded.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 believes the assumptions and allocations underlying the consolidated financial statements are reasonable and appropriate under the circumstances. The expense allocations have been determined on a basis considered to be a reasonable reflection of the utilization of services provided to or the benefit received by red violet during the periods presented relative to the total costs and expenses incurred by Fluent. However, these expenses may not be reflective of the expenses that would have been recorded had red violet been an entity that operated independently of Fluent, and not been a subsidiary of Fluent. Consequently, future results of operations of red violet after the Spin-off will include costs and expenses that may be materially different than red violet’s historical results of operations, financial position, and cash flows. Accordingly, the financial statements for these periods are not indicative of red violet’s future results of operations, financial position, and cash flow.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MDB Agreement and Services Agreement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April 26, 2018, the Company entered into a consulting agreement with MDB Management, Inc. (“MDB”), a company owned by Michael Brauser, a greater than 10% shareholder of the Company and the then chairman of the Company’s board of directors, and one of his sons, for MDB to provide consulting services to the Company (“MDB Agreement”), which was terminated by mutual agreement of the parties on August 7, 2018. The Company recognized consulting service fees relating to the MDB Agreement of a total of $90 during the year ended December 31, 2018. On August 7, 2018, the Company entered into an executive chairman services agreement with Mr. Brauser, the then Executive Chairman of the Company, pursuant to which Mr. Brauser will be providing recommendations on organizational and capital structure, future acquisitions and strategic transactions (“Services Agreement”), for a term of one year, automatically renewing for additional one-year periods unless either party provides written notice to the other of its intent not to renew not fewer than 30 days prior to the expiration of the then current term. Mr. Brauser remains a consultant to the Company and continues to provide services under the existing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$180 during the year ended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19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recorded rental expenses of $981 and $681 for the years ended December 31, 2018 and 2017, respectively. As of December 31, 2018, future minimum rental payments under non-cancellable operating leases having initial or remaining lease terms of more than one year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96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30"/>
        </w:trPr>
        <w:tc>
          <w:tcPr>
            <w:tcW w:w="9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19"/>
                <w:szCs w:val="19"/>
                <w:color w:val="auto"/>
              </w:rPr>
            </w:pPr>
          </w:p>
        </w:tc>
      </w:tr>
      <w:tr>
        <w:trPr>
          <w:trHeight w:val="230"/>
        </w:trPr>
        <w:tc>
          <w:tcPr>
            <w:tcW w:w="9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FF0FC"/>
            </w:tcBorders>
          </w:tcPr>
          <w:p>
            <w:pPr>
              <w:spacing w:after="0"/>
              <w:rPr>
                <w:sz w:val="19"/>
                <w:szCs w:val="19"/>
                <w:color w:val="auto"/>
              </w:rPr>
            </w:pPr>
          </w:p>
        </w:tc>
      </w:tr>
      <w:tr>
        <w:trPr>
          <w:trHeight w:val="223"/>
        </w:trPr>
        <w:tc>
          <w:tcPr>
            <w:tcW w:w="9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Capital commitment</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Company incurred data costs of $5,550 and $4,280 for the years ended December 31, 2018 and 2017, respectively, under certain data licensing agreements. As of December 31, 2018, future material capital commitments under certain data licensing agreements were $21,752, shown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2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4"/>
                <w:szCs w:val="14"/>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6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2020</w:t>
            </w:r>
          </w:p>
        </w:tc>
        <w:tc>
          <w:tcPr>
            <w:tcW w:w="6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6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6620" w:type="dxa"/>
            <w:vAlign w:val="bottom"/>
            <w:gridSpan w:val="2"/>
          </w:tcPr>
          <w:p>
            <w:pPr>
              <w:jc w:val="right"/>
              <w:ind w:right="3885"/>
              <w:spacing w:after="0"/>
              <w:rPr>
                <w:sz w:val="20"/>
                <w:szCs w:val="20"/>
                <w:color w:val="auto"/>
              </w:rPr>
            </w:pPr>
            <w:r>
              <w:rPr>
                <w:rFonts w:ascii="Arial" w:cs="Arial" w:eastAsia="Arial" w:hAnsi="Arial"/>
                <w:sz w:val="18"/>
                <w:szCs w:val="18"/>
                <w:color w:val="auto"/>
              </w:rPr>
              <w:t>F-20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6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 Employment agreements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employment agreements with certain executives, mainly including our Chief Executive Officer, President and Chief Financial Officer, which provide for compensation and certain other benefits and for severance payments under certain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Contingency</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21, 2018, the U.S. Supreme Court in South Dakota v. Wayfair, Inc. et al, overturned prior law which required physical presence for nexus and endorsed economic nexus as a basis for South Dakota to require online merchants to collect and remit sales taxes, even if the business does not have an in-state physical presence (the "Wayfair Decision"). As of the year ended December 31, 2018, more than thirty states have enacted their own interpretation of the Wayfair Decision. The Company collects and remits sales tax in certain states, as a result of the Wayfair Decision and as a result of our continued overall compliance and review practice related to our sales and use tax obligations. In addition, the Company is currently undergoing a state sales and use tax examination. Based upon our analysis of potential sales and use tax labilities, we determined that there were no matters that required an accrual as of the balance sheet date, December 31, 2018. In addition, we do not believe that any adverse decision regarding sales and use tax lability would result in any material impact on the Company’s operations.</w:t>
      </w:r>
    </w:p>
    <w:p>
      <w:pPr>
        <w:spacing w:after="0" w:line="1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55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920" w:type="dxa"/>
            <w:vAlign w:val="bottom"/>
            <w:gridSpan w:val="3"/>
          </w:tcPr>
          <w:p>
            <w:pPr>
              <w:ind w:left="580"/>
              <w:spacing w:after="0"/>
              <w:rPr>
                <w:sz w:val="20"/>
                <w:szCs w:val="20"/>
                <w:color w:val="auto"/>
              </w:rPr>
            </w:pPr>
            <w:r>
              <w:rPr>
                <w:rFonts w:ascii="Arial" w:cs="Arial" w:eastAsia="Arial" w:hAnsi="Arial"/>
                <w:sz w:val="18"/>
                <w:szCs w:val="18"/>
                <w:b w:val="1"/>
                <w:bCs w:val="1"/>
                <w:color w:val="auto"/>
              </w:rPr>
              <w:t>SUBSIDIARIES</w:t>
            </w:r>
          </w:p>
        </w:tc>
      </w:tr>
      <w:tr>
        <w:trPr>
          <w:trHeight w:val="378"/>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2"/>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IDI Holdings, LLC</w:t>
            </w:r>
          </w:p>
        </w:tc>
        <w:tc>
          <w:tcPr>
            <w:tcW w:w="1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20" w:type="dxa"/>
            <w:vAlign w:val="bottom"/>
          </w:tcPr>
          <w:p>
            <w:pPr>
              <w:spacing w:after="0"/>
              <w:rPr>
                <w:sz w:val="19"/>
                <w:szCs w:val="19"/>
                <w:color w:val="auto"/>
              </w:rPr>
            </w:pPr>
          </w:p>
        </w:tc>
        <w:tc>
          <w:tcPr>
            <w:tcW w:w="4480" w:type="dxa"/>
            <w:vAlign w:val="bottom"/>
          </w:tcPr>
          <w:p>
            <w:pPr>
              <w:ind w:left="80"/>
              <w:spacing w:after="0"/>
              <w:rPr>
                <w:sz w:val="20"/>
                <w:szCs w:val="20"/>
                <w:color w:val="auto"/>
              </w:rPr>
            </w:pPr>
            <w:r>
              <w:rPr>
                <w:rFonts w:ascii="Arial" w:cs="Arial" w:eastAsia="Arial" w:hAnsi="Arial"/>
                <w:sz w:val="18"/>
                <w:szCs w:val="18"/>
                <w:color w:val="auto"/>
              </w:rPr>
              <w:t>Interactive Data,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Red Violet Technologies,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IDI Verified,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Forewarn,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Red Violet Blockchain and Analytical Solutions,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Whoodle, LLC</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HolSol, LLC</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have issued our report dated March 7, 2019, with respect to the consolidated financial statements included in the Annual Report of Red Violet, Inc. on Form 10-K for the year ended December 31, 2018. We consent to the incorporation by reference of said report in the Registration Statement of Red Violet, Inc. on Form S-8 (File No. 333-224147).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25"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7, 2019</w:t>
            </w:r>
          </w:p>
        </w:tc>
        <w:tc>
          <w:tcPr>
            <w:tcW w:w="7460" w:type="dxa"/>
            <w:vAlign w:val="bottom"/>
            <w:gridSpan w:val="2"/>
          </w:tcPr>
          <w:p>
            <w:pPr>
              <w:ind w:left="290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16"/>
        </w:trPr>
        <w:tc>
          <w:tcPr>
            <w:tcW w:w="3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25"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040" w:right="100" w:hanging="519"/>
        <w:spacing w:after="0" w:line="291"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7, 2019</w:t>
            </w:r>
          </w:p>
        </w:tc>
        <w:tc>
          <w:tcPr>
            <w:tcW w:w="7460" w:type="dxa"/>
            <w:vAlign w:val="bottom"/>
            <w:gridSpan w:val="2"/>
          </w:tcPr>
          <w:p>
            <w:pPr>
              <w:ind w:left="290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2018, as filed with the U.S. Securities and Exchange Commission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7, 2019</w:t>
            </w:r>
          </w:p>
        </w:tc>
        <w:tc>
          <w:tcPr>
            <w:tcW w:w="7460" w:type="dxa"/>
            <w:vAlign w:val="bottom"/>
            <w:gridSpan w:val="2"/>
          </w:tcPr>
          <w:p>
            <w:pPr>
              <w:ind w:left="2900"/>
              <w:spacing w:after="0"/>
              <w:rPr>
                <w:sz w:val="20"/>
                <w:szCs w:val="20"/>
                <w:color w:val="auto"/>
              </w:rPr>
            </w:pPr>
            <w:r>
              <w:rPr>
                <w:rFonts w:ascii="Arial" w:cs="Arial" w:eastAsia="Arial" w:hAnsi="Arial"/>
                <w:sz w:val="18"/>
                <w:szCs w:val="18"/>
                <w:color w:val="auto"/>
              </w:rPr>
              <w:t>By:  /s/ Derek Dubner</w:t>
            </w:r>
          </w:p>
        </w:tc>
      </w:tr>
      <w:tr>
        <w:trPr>
          <w:trHeight w:val="195"/>
        </w:trPr>
        <w:tc>
          <w:tcPr>
            <w:tcW w:w="3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Dubner</w:t>
            </w:r>
          </w:p>
        </w:tc>
      </w:tr>
      <w:tr>
        <w:trPr>
          <w:trHeight w:val="230"/>
        </w:trPr>
        <w:tc>
          <w:tcPr>
            <w:tcW w:w="39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6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2018, as filed with the U.S. Securities and Exchange Commission (the “Report”), the undersigned hereby certifies pursuant to 18 U.S.C. Section 1350, as adopted pursuant to Section 906 of the Sarbanes-Oxley Act of 2002, to my knowledge and belief, that:</w:t>
      </w:r>
    </w:p>
    <w:p>
      <w:pPr>
        <w:spacing w:after="0" w:line="181"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March 7, 2019</w:t>
            </w:r>
          </w:p>
        </w:tc>
        <w:tc>
          <w:tcPr>
            <w:tcW w:w="7460" w:type="dxa"/>
            <w:vAlign w:val="bottom"/>
            <w:gridSpan w:val="2"/>
          </w:tcPr>
          <w:p>
            <w:pPr>
              <w:ind w:left="2900"/>
              <w:spacing w:after="0"/>
              <w:rPr>
                <w:sz w:val="20"/>
                <w:szCs w:val="20"/>
                <w:color w:val="auto"/>
              </w:rPr>
            </w:pPr>
            <w:r>
              <w:rPr>
                <w:rFonts w:ascii="Arial" w:cs="Arial" w:eastAsia="Arial" w:hAnsi="Arial"/>
                <w:sz w:val="18"/>
                <w:szCs w:val="18"/>
                <w:color w:val="auto"/>
              </w:rPr>
              <w:t>By:  /s/ Daniel MacLachlan</w:t>
            </w:r>
          </w:p>
        </w:tc>
      </w:tr>
      <w:tr>
        <w:trPr>
          <w:trHeight w:val="195"/>
        </w:trPr>
        <w:tc>
          <w:tcPr>
            <w:tcW w:w="39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MacLachlan</w:t>
            </w:r>
          </w:p>
        </w:tc>
      </w:tr>
      <w:tr>
        <w:trPr>
          <w:trHeight w:val="216"/>
        </w:trPr>
        <w:tc>
          <w:tcPr>
            <w:tcW w:w="39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9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56"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8"/>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53" Type="http://schemas.openxmlformats.org/officeDocument/2006/relationships/hyperlink" Target="http://www.sec.gov/Archives/edgar/data/1720116/000119312518062230/d528710dex21.htm" TargetMode="External"/><Relationship Id="rId54" Type="http://schemas.openxmlformats.org/officeDocument/2006/relationships/hyperlink" Target="http://www.sec.gov/Archives/edgar/data/1720116/000119312518097860/d559011dex31.htm" TargetMode="External"/><Relationship Id="rId55" Type="http://schemas.openxmlformats.org/officeDocument/2006/relationships/hyperlink" Target="http://www.sec.gov/Archives/edgar/data/1720116/000119312518097860/d559011dex32.htm" TargetMode="External"/><Relationship Id="rId56" Type="http://schemas.openxmlformats.org/officeDocument/2006/relationships/hyperlink" Target="http://www.sec.gov/Archives/edgar/data/1720116/000119312518062230/d528710dex102.htm" TargetMode="External"/><Relationship Id="rId57" Type="http://schemas.openxmlformats.org/officeDocument/2006/relationships/hyperlink" Target="http://www.sec.gov/Archives/edgar/data/1720116/000119312518062230/d528710dex103.htm" TargetMode="External"/><Relationship Id="rId58" Type="http://schemas.openxmlformats.org/officeDocument/2006/relationships/hyperlink" Target="http://www.sec.gov/Archives/edgar/data/1720116/000119312518062230/d528710dex104.htm" TargetMode="External"/><Relationship Id="rId59" Type="http://schemas.openxmlformats.org/officeDocument/2006/relationships/hyperlink" Target="http://www.sec.gov/Archives/edgar/data/1720116/000119312518069582/d528710dex105.htm" TargetMode="External"/><Relationship Id="rId60" Type="http://schemas.openxmlformats.org/officeDocument/2006/relationships/hyperlink" Target="http://www.sec.gov/Archives/edgar/data/1720116/000119312518097860/d559011dex101.htm" TargetMode="External"/><Relationship Id="rId61" Type="http://schemas.openxmlformats.org/officeDocument/2006/relationships/hyperlink" Target="http://www.sec.gov/Archives/edgar/data/1720116/000119312518097860/d559011dex102.htm" TargetMode="External"/><Relationship Id="rId62" Type="http://schemas.openxmlformats.org/officeDocument/2006/relationships/hyperlink" Target="http://www.sec.gov/Archives/edgar/data/1720116/000119312518097860/d559011dex103.htm" TargetMode="External"/><Relationship Id="rId63" Type="http://schemas.openxmlformats.org/officeDocument/2006/relationships/hyperlink" Target="http://www.sec.gov/Archives/edgar/data/1720116/000119312518097860/d559011dex104.htm" TargetMode="External"/><Relationship Id="rId64" Type="http://schemas.openxmlformats.org/officeDocument/2006/relationships/hyperlink" Target="http://www.sec.gov/Archives/edgar/data/1720116/000119312518097860/d559011dex105.htm" TargetMode="External"/><Relationship Id="rId65" Type="http://schemas.openxmlformats.org/officeDocument/2006/relationships/hyperlink" Target="http://www.sec.gov/Archives/edgar/data/1720116/000119312518097860/d559011dex106.htm" TargetMode="External"/><Relationship Id="rId66" Type="http://schemas.openxmlformats.org/officeDocument/2006/relationships/hyperlink" Target="http://www.sec.gov/Archives/edgar/data/1460329/000119312516510510/d115868dex1026.htm" TargetMode="External"/><Relationship Id="rId67" Type="http://schemas.openxmlformats.org/officeDocument/2006/relationships/hyperlink" Target="http://www.sec.gov/Archives/edgar/data/1720116/000156459018020212/rdvt-ex101_136.htm" TargetMode="External"/><Relationship Id="rId68" Type="http://schemas.openxmlformats.org/officeDocument/2006/relationships/hyperlink" Target="http://www.sec.gov/Archives/edgar/data/1720116/000156459018028035/rdvt-ex102_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2019-12-28T14:49:22Z</dcterms:created>
  <dcterms:modified xsi:type="dcterms:W3CDTF">2019-12-28T14:49:22Z</dcterms:modified>
</cp:coreProperties>
</file>