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60630.htm"/>
      <w:bookmarkStart w:id="1" w:name="ksrdvt20260630"/>
      <w:bookmarkEnd w:id="0"/>
      <w:bookmarkEnd w:id="1"/>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001-38407</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7588" w:type="dxa"/>
        <w:jc w:val="left"/>
        <w:tblInd w:w="0" w:type="dxa"/>
        <w:tblLayout w:type="fixed"/>
        <w:tblCellMar>
          <w:top w:w="28" w:type="dxa"/>
          <w:left w:w="28" w:type="dxa"/>
          <w:bottom w:w="28" w:type="dxa"/>
          <w:right w:w="28" w:type="dxa"/>
        </w:tblCellMar>
      </w:tblPr>
      <w:tblGrid>
        <w:gridCol w:w="4696"/>
        <w:gridCol w:w="14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82-2408531</w:t>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2650 North Military Trail, Suite 300, Boca Raton, Florida</w:t>
      </w:r>
      <w:r>
        <w:rPr>
          <w:rFonts w:ascii="Times New Roman" w:hAnsi="Times New Roman"/>
          <w:color w:val="000000"/>
          <w:sz w:val="20"/>
        </w:rPr>
        <w:t xml:space="preserve"> </w:t>
      </w:r>
      <w:r>
        <w:rPr>
          <w:rFonts w:ascii="Times New Roman" w:hAnsi="Times New Roman"/>
          <w:b/>
          <w:color w:val="000000"/>
          <w:sz w:val="20"/>
        </w:rPr>
        <w:t>33431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(561) 757-4000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None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6" w:type="dxa"/>
        <w:jc w:val="left"/>
        <w:tblInd w:w="0" w:type="dxa"/>
        <w:tblLayout w:type="fixed"/>
        <w:tblCellMar>
          <w:top w:w="28" w:type="dxa"/>
          <w:left w:w="28" w:type="dxa"/>
          <w:bottom w:w="28" w:type="dxa"/>
          <w:right w:w="28" w:type="dxa"/>
        </w:tblCellMar>
      </w:tblPr>
      <w:tblGrid>
        <w:gridCol w:w="1921"/>
        <w:gridCol w:w="701"/>
        <w:gridCol w:w="391"/>
        <w:gridCol w:w="2386"/>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Exchange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7, 2026, the registrant had 16,046,975 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 FOR FORM 10-Q</w:t>
      </w:r>
    </w:p>
    <w:tbl>
      <w:tblPr>
        <w:tblW w:w="10205" w:type="dxa"/>
        <w:jc w:val="left"/>
        <w:tblInd w:w="0" w:type="dxa"/>
        <w:tblLayout w:type="fixed"/>
        <w:tblCellMar>
          <w:top w:w="28" w:type="dxa"/>
          <w:left w:w="28" w:type="dxa"/>
          <w:bottom w:w="28" w:type="dxa"/>
          <w:right w:w="28" w:type="dxa"/>
        </w:tblCellMar>
      </w:tblPr>
      <w:tblGrid>
        <w:gridCol w:w="731"/>
        <w:gridCol w:w="161"/>
        <w:gridCol w:w="8381"/>
        <w:gridCol w:w="283"/>
        <w:gridCol w:w="649"/>
      </w:tblGrid>
      <w:tr>
        <w:trPr/>
        <w:tc>
          <w:tcPr>
            <w:tcW w:w="7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color w:val="000000"/>
                <w:sz w:val="16"/>
              </w:rPr>
            </w:pPr>
            <w:r>
              <w:rPr>
                <w:rFonts w:ascii="Times New Roman" w:hAnsi="Times New Roman"/>
                <w:b/>
                <w:color w:val="000000"/>
                <w:sz w:val="16"/>
              </w:rPr>
              <w:t>Page</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hyperlink w:anchor="condensed_consolidated_balance_sheets">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2026 and 2025</w:t>
              </w:r>
            </w:hyperlink>
            <w:hyperlink w:anchor="condensed_consolidated_statements_operat">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changes">
              <w:r>
                <w:rPr>
                  <w:rStyle w:val="InternetLink"/>
                  <w:rFonts w:ascii="Times New Roman" w:hAnsi="Times New Roman"/>
                  <w:color w:val="0000FF"/>
                  <w:sz w:val="20"/>
                  <w:u w:val="single"/>
                </w:rPr>
                <w:t>Condensed consolidated statements of changes in shareholders' equity for the three and six months ended June 30, 2026 and 2025</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hyperlink w:anchor="condensed_consolidated_statements_cash_f">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 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80"/>
                  <w:sz w:val="20"/>
                  <w:u w:val="single"/>
                </w:rPr>
                <w:t>Mine Safety Disclosure</w:t>
              </w:r>
            </w:hyperlink>
            <w:r>
              <w:rPr>
                <w:rFonts w:ascii="Times New Roman" w:hAnsi="Times New Roman"/>
                <w:color w:val="0000FF"/>
                <w:sz w:val="20"/>
                <w:u w:val="single"/>
              </w:rPr>
              <w:t>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otherwise indicated or required by the context, all references in this Quarterly Report on Form 10-Q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78"/>
        <w:gridCol w:w="146"/>
        <w:gridCol w:w="237"/>
        <w:gridCol w:w="881"/>
        <w:gridCol w:w="146"/>
        <w:gridCol w:w="146"/>
        <w:gridCol w:w="314"/>
        <w:gridCol w:w="1163"/>
        <w:gridCol w:w="194"/>
      </w:tblGrid>
      <w:tr>
        <w:trPr/>
        <w:tc>
          <w:tcPr>
            <w:tcW w:w="6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 of $145 and $231 as of</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stock—$0.001 par value, 10,000,000 shares authorized, and 0 shares</w:t>
              <w:br/>
              <w:t>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stock—$0.001 par value, 200,000,000 shares authorized, 14,114,395 and</w:t>
              <w:br/>
              <w:t>  14,151,350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14,018,629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14,008,385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14,553,282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14,528,789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sz w:val="20"/>
        </w:rPr>
      </w:pPr>
      <w:bookmarkStart w:id="6" w:name="condensed_consolidated_statement_changes"/>
      <w:bookmarkEnd w:id="6"/>
      <w:r>
        <w:rPr>
          <w:rFonts w:ascii="Times New Roman" w:hAnsi="Times New Roman"/>
          <w:b/>
          <w:color w:val="000000"/>
          <w:sz w:val="20"/>
        </w:rPr>
        <w:t>CONDENSED CONSOLIDATED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380"/>
        <w:gridCol w:w="146"/>
        <w:gridCol w:w="146"/>
        <w:gridCol w:w="1036"/>
        <w:gridCol w:w="166"/>
        <w:gridCol w:w="146"/>
        <w:gridCol w:w="276"/>
        <w:gridCol w:w="415"/>
        <w:gridCol w:w="146"/>
        <w:gridCol w:w="146"/>
        <w:gridCol w:w="146"/>
        <w:gridCol w:w="736"/>
        <w:gridCol w:w="166"/>
        <w:gridCol w:w="146"/>
        <w:gridCol w:w="211"/>
        <w:gridCol w:w="631"/>
        <w:gridCol w:w="166"/>
        <w:gridCol w:w="146"/>
        <w:gridCol w:w="215"/>
        <w:gridCol w:w="690"/>
        <w:gridCol w:w="166"/>
        <w:gridCol w:w="146"/>
        <w:gridCol w:w="338"/>
        <w:gridCol w:w="781"/>
        <w:gridCol w:w="166"/>
        <w:gridCol w:w="146"/>
        <w:gridCol w:w="211"/>
        <w:gridCol w:w="781"/>
        <w:gridCol w:w="214"/>
      </w:tblGrid>
      <w:tr>
        <w:trPr/>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13,950,797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14,114,395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14,114,395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64" w:type="dxa"/>
        <w:jc w:val="left"/>
        <w:tblInd w:w="0" w:type="dxa"/>
        <w:tblLayout w:type="fixed"/>
        <w:tblCellMar>
          <w:top w:w="28" w:type="dxa"/>
          <w:left w:w="28" w:type="dxa"/>
          <w:bottom w:w="28" w:type="dxa"/>
          <w:right w:w="28" w:type="dxa"/>
        </w:tblCellMar>
      </w:tblPr>
      <w:tblGrid>
        <w:gridCol w:w="6721"/>
        <w:gridCol w:w="146"/>
        <w:gridCol w:w="211"/>
        <w:gridCol w:w="676"/>
        <w:gridCol w:w="166"/>
        <w:gridCol w:w="146"/>
        <w:gridCol w:w="211"/>
        <w:gridCol w:w="676"/>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Basis of preparation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included in this quarterly report on Form 10-Q should be read in conjunction with the consolidated financial statements and accompanying notes included in the Company’s Annual Report on Form 10-K for the year ended December 31, 2025 filed with the SEC on March 4, 2026 (the “2025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balance sheet as of December 31, 2025 included herein was derived from the audited financial statements as of that date included in the 2025 Form 10-K, but does not include all disclosures required by US GAAP.</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Principles of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include the financial statements of the Company and its subsidiaries. All significant intercompany transactions and balances have been eliminated in consolidation.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 Recently issued accounting standards</w:t>
      </w:r>
    </w:p>
    <w:p>
      <w:pPr>
        <w:pStyle w:val="TextBody"/>
        <w:bidi w:val="0"/>
        <w:spacing w:before="200" w:after="283"/>
        <w:jc w:val="left"/>
        <w:rPr>
          <w:rFonts w:ascii="Times New Roman" w:hAnsi="Times New Roman"/>
          <w:sz w:val="20"/>
        </w:rPr>
      </w:pPr>
      <w:r>
        <w:rPr>
          <w:rFonts w:ascii="Times New Roman" w:hAnsi="Times New Roman"/>
          <w:color w:val="231F20"/>
          <w:sz w:val="20"/>
        </w:rPr>
        <w:t>In November 2024, the Financial Accounting Standards Board (the “FASB”) issued Accounting Standards Update (“ASU”) No. 2024-03, "</w:t>
      </w:r>
      <w:r>
        <w:rPr>
          <w:rFonts w:ascii="Times New Roman" w:hAnsi="Times New Roman"/>
          <w:i/>
          <w:color w:val="231F20"/>
          <w:sz w:val="20"/>
        </w:rPr>
        <w:t>Income Statement - Reporting Comprehensive Income - Expense Disaggregation Disclosures (Subtopic 220-40), Disaggregation of Income Statement Expenses,"</w:t>
      </w:r>
      <w:r>
        <w:rPr>
          <w:rFonts w:ascii="Times New Roman" w:hAnsi="Times New Roman"/>
          <w:color w:val="231F20"/>
          <w:sz w:val="20"/>
        </w:rPr>
        <w:t xml:space="preserve"> which requires disclosure within the notes to financial statements of specific information about certain costs and expenses including more detailed disclosures of certain categories of expenses such as employee compensation, depreciation, and intangible asset amortization that are components of existing expense captions presented on the face of the income statement. The update is effective for annual periods for fiscal years beginning after December 15, 2026 and interim periods beginning after December 15, 2027 on a prospective or retrospective basis. Early adoption is permitted. The Company is currently evaluating the impact this ASU may have on its condensed consolidated financial statements.</w:t>
      </w:r>
    </w:p>
    <w:p>
      <w:pPr>
        <w:pStyle w:val="TextBody"/>
        <w:bidi w:val="0"/>
        <w:spacing w:before="200" w:after="240"/>
        <w:jc w:val="left"/>
        <w:rPr>
          <w:rFonts w:ascii="Times New Roman" w:hAnsi="Times New Roman"/>
          <w:sz w:val="20"/>
        </w:rPr>
      </w:pPr>
      <w:r>
        <w:rPr>
          <w:rFonts w:ascii="Times New Roman" w:hAnsi="Times New Roman"/>
          <w:color w:val="231F20"/>
          <w:sz w:val="20"/>
        </w:rPr>
        <w:t xml:space="preserve">In September 2025, the FASB issued ASU No. 2025-06, </w:t>
      </w:r>
      <w:r>
        <w:rPr>
          <w:rFonts w:ascii="Times New Roman" w:hAnsi="Times New Roman"/>
          <w:i/>
          <w:color w:val="231F20"/>
          <w:sz w:val="20"/>
        </w:rPr>
        <w:t>"Intangibles—Goodwill and Other—Internal-Use Software (Subtopic 350-40): Targeted Improvements to the Accounting for Internal-Use Software."</w:t>
      </w:r>
      <w:r>
        <w:rPr>
          <w:rFonts w:ascii="Times New Roman" w:hAnsi="Times New Roman"/>
          <w:color w:val="231F20"/>
          <w:sz w:val="20"/>
        </w:rPr>
        <w:t xml:space="preserve"> This ASU removes all references to prescriptive and sequential software development stages (referred to as “project stages”) and instead requires an entity to start capitalizing software costs when management has authorized and committed to funding the software project and it is probable that the project will be completed and the software will be used to perform the function intended. Additional updates include changes to accounting for website development costs and certain disclosure requirements. This ASU will be effective for annual reporting periods beginning after December 15, 2027, and interim reporting periods within those annual reporting periods. Early adoption is permitted as of the beginning of an annual reporting period. This ASU permits an entity to apply the new guidance using either a prospective transition approach, a modified transition approach that is based on the status of the project and whether software costs were capitalized before the date of adoption, or a retrospective transition approach. The Company is currently evaluating the impact this ASU may have on its condensed consolidated financial statements.</w:t>
      </w:r>
    </w:p>
    <w:p>
      <w:pPr>
        <w:pStyle w:val="TextBody"/>
        <w:bidi w:val="0"/>
        <w:jc w:val="left"/>
        <w:rPr>
          <w:rFonts w:ascii="Times New Roman" w:hAnsi="Times New Roman"/>
          <w:sz w:val="20"/>
        </w:rPr>
      </w:pPr>
      <w:r>
        <w:rPr>
          <w:rFonts w:ascii="Times New Roman" w:hAnsi="Times New Roman"/>
          <w:color w:val="231F20"/>
          <w:sz w:val="20"/>
        </w:rPr>
        <w:t xml:space="preserve">In December 2025, the FASB issued ASU No. 2025-11, </w:t>
      </w:r>
      <w:r>
        <w:rPr>
          <w:rFonts w:ascii="Times New Roman" w:hAnsi="Times New Roman"/>
          <w:i/>
          <w:color w:val="231F20"/>
          <w:sz w:val="20"/>
        </w:rPr>
        <w:t>"Interim Reporting (Topic 270): Narrow-Scope Improvements."</w:t>
      </w:r>
      <w:r>
        <w:rPr>
          <w:rFonts w:ascii="Times New Roman" w:hAnsi="Times New Roman"/>
          <w:color w:val="231F20"/>
          <w:sz w:val="20"/>
        </w:rPr>
        <w:t xml:space="preserve">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using either a prospective or a retrospective approach. Early adoption is permitted. The Company is currently evaluating the impact this ASU may have on its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In December 2025, the FASB issued ASU No. 2025-12, </w:t>
      </w:r>
      <w:r>
        <w:rPr>
          <w:rFonts w:ascii="Times New Roman" w:hAnsi="Times New Roman"/>
          <w:i/>
          <w:color w:val="231F20"/>
          <w:sz w:val="20"/>
        </w:rPr>
        <w:t>"Codification Improvements."</w:t>
      </w:r>
      <w:r>
        <w:rPr>
          <w:rFonts w:ascii="Times New Roman" w:hAnsi="Times New Roman"/>
          <w:color w:val="231F20"/>
          <w:sz w:val="20"/>
        </w:rPr>
        <w:t xml:space="preserve"> The ASU clarifies, corrects and makes minor improvements to various provisions of the Accounting Standards Codification. Among other amendments, the ASU clarifies that, upon the formal or constructive retirement of treasury stock, the excess of the repurchase price over par value may be recognized entirely as a deduction from additional paid-in capital, provided that additional paid-in capital does not become negative. The amendments are effective for annual reporting periods beginning after December 15, 2026, and interim periods within those annual reporting periods. Early adoption is permitted. The Company does not expect the adoption of this ASU to have a material effect on its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vested, or converted into common stock and is calculated using the treasury stock method and contingently issuable share guidance, as applicable. </w:t>
      </w:r>
    </w:p>
    <w:p>
      <w:pPr>
        <w:pStyle w:val="TextBody"/>
        <w:bidi w:val="0"/>
        <w:jc w:val="left"/>
        <w:rPr/>
      </w:pPr>
      <w:r>
        <w:rPr/>
        <w:t> </w:t>
      </w:r>
    </w:p>
    <w:tbl>
      <w:tblPr>
        <w:tblW w:w="9547" w:type="dxa"/>
        <w:jc w:val="left"/>
        <w:tblInd w:w="0" w:type="dxa"/>
        <w:tblLayout w:type="fixed"/>
        <w:tblCellMar>
          <w:top w:w="28" w:type="dxa"/>
          <w:left w:w="28" w:type="dxa"/>
          <w:bottom w:w="28" w:type="dxa"/>
          <w:right w:w="28" w:type="dxa"/>
        </w:tblCellMar>
      </w:tblPr>
      <w:tblGrid>
        <w:gridCol w:w="3346"/>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14,018,629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14,008,385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14,553,282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14,528,789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diluted weighted average shares outstanding reflect the dilutive effect of certain unvested restricted stock units ("RSUs").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Intangible assets,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other than goodwill consist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9"/>
        <w:gridCol w:w="146"/>
        <w:gridCol w:w="946"/>
        <w:gridCol w:w="146"/>
        <w:gridCol w:w="217"/>
        <w:gridCol w:w="697"/>
        <w:gridCol w:w="146"/>
        <w:gridCol w:w="146"/>
        <w:gridCol w:w="251"/>
        <w:gridCol w:w="878"/>
        <w:gridCol w:w="166"/>
        <w:gridCol w:w="146"/>
        <w:gridCol w:w="211"/>
        <w:gridCol w:w="676"/>
        <w:gridCol w:w="146"/>
        <w:gridCol w:w="146"/>
        <w:gridCol w:w="217"/>
        <w:gridCol w:w="697"/>
        <w:gridCol w:w="146"/>
        <w:gridCol w:w="146"/>
        <w:gridCol w:w="251"/>
        <w:gridCol w:w="878"/>
        <w:gridCol w:w="166"/>
        <w:gridCol w:w="146"/>
        <w:gridCol w:w="211"/>
        <w:gridCol w:w="676"/>
        <w:gridCol w:w="198"/>
      </w:tblGrid>
      <w:tr>
        <w:trPr/>
        <w:tc>
          <w:tcPr>
            <w:tcW w:w="1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Amortization</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gross carrying amount of software developed for internal use includes capitalized costs related to the design, development, and testing of internal-use software. These costs primarily consist of eligible personnel-related expenses, share-based compensation, and travel expenses incurred by relevant employees, and other directly attributable costs incurred during the application development stage. The gross carrying amount of acquired intangible assets reflects the acquisition cost of certain data assets for which the Company has obtained perpetual usage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expenses of $2,716 and $2,595 for the three months ended June 30, 2026 and 2025, respectively, and $5,462 and $5,095 for the six months ended June 30, 2026 and 2025, respectively, were included in depreciation and amortization expense. As of June 30, 2026, intangible assets of $7,790, included in the gross carrying amounts of intangible assets, have not yet commenced amortization, as they are not ready for their intended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capitalized costs of intangible assets of $3,733 and $2,784 during the three months ended June 30, 2026 and 2025, respectively, and $7,394 and $6,775 during the six months ended June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estimated amortization expense related to the Company’s intangible assets for the remainder of 2026 through 2031 and thereafter is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158" w:type="dxa"/>
        <w:jc w:val="left"/>
        <w:tblInd w:w="0" w:type="dxa"/>
        <w:tblLayout w:type="fixed"/>
        <w:tblCellMar>
          <w:top w:w="28" w:type="dxa"/>
          <w:left w:w="28" w:type="dxa"/>
          <w:bottom w:w="28" w:type="dxa"/>
          <w:right w:w="28" w:type="dxa"/>
        </w:tblCellMar>
      </w:tblPr>
      <w:tblGrid>
        <w:gridCol w:w="1696"/>
        <w:gridCol w:w="146"/>
        <w:gridCol w:w="267"/>
        <w:gridCol w:w="858"/>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Revenue recognition</w:t>
      </w:r>
    </w:p>
    <w:p>
      <w:pPr>
        <w:pStyle w:val="TextBody"/>
        <w:bidi w:val="0"/>
        <w:spacing w:before="200" w:after="283"/>
        <w:jc w:val="left"/>
        <w:rPr>
          <w:rFonts w:ascii="Times New Roman" w:hAnsi="Times New Roman"/>
          <w:sz w:val="20"/>
        </w:rPr>
      </w:pPr>
      <w:r>
        <w:rPr>
          <w:rFonts w:ascii="Times New Roman" w:hAnsi="Times New Roman"/>
          <w:color w:val="000000"/>
          <w:sz w:val="20"/>
        </w:rPr>
        <w:t>The Company recognizes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(“Topic 606”). Under this standard, revenue is recognized when control of goods or services is transferred to the Company’s customers, in an amount that reﬂects the consideration the Company expects to be entitled to in exchange for those goods or services. The Company’s performance obligation is to provide on-demand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Permitted under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contract-by-contract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over a period of time. The Company’s customers simultaneously receive and consume the benefits provided by the Company’s performance as and when provided. Furthermore, the Company has elected the “right to invoice” practical expedient, permitted under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June 30, 2026, the current and noncurrent portions of unbilled accounts receivable of $1,296 and $777, respectively, were included within accounts receivable and other noncurrent assets, respectively, on the condensed consolidated balance sheets. As of December 31, 2025, the current and noncurrent portions of unbilled accounts receivable of $1,137 and $880, respectively, were included within accounts receivable and other noncurrent assets, respectively, on the condensed consolidated balance sheets. The Company's revenue arrangements do not contain significant financing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each of the three months ended June 30, 2026 and 2025, 77% of total revenue was attributable to customers with pricing contracts, versus 23% attributable to transactional customers. For each of the six months ended June 30, 2026 and 2025, 76% of total revenue was attributable to customers with pricing contracts, versus 24% attributable to transactional customers. Pricing contracts are generally annual contracts or longer, with auto renewal.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customer pays consideration before the Company transfers services to the customer, those amounts are classified as deferred revenue. As of June 30, 2026 and December 31, 2025, the balance of deferred revenue was $1,195 and $1,028, respectively, all of which is expected to be recognized as revenue in the next 12 months. In relation to the deferred revenue balance as of December 31, 2025, $287 and $727 were recognized as revenue during the three and six months ended June 30, 2026,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$23,770 of revenue is expected to be recognized in the future for performance obligations that are unsatisfied or partially unsatisfied, related to pricing contracts that have a term of more than 12 months, of which, $7,032 of revenue will be recognized in the remainder of 2026, $10,300 in 2027, $4,144 in 2028, $1,625 in 2029, $370 in 2030, and $299 in 2031 and thereafter.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commissions are incurred and recorded on an ongoing basis over the term of the customer relationship. These costs are recorded in 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The Company concluded that, due to its established historical cumulative positive income before income taxes plus permanent differences for recent years, projections of future taxable income, and the reversal of taxable temporary differences, the realization of deferred tax assets as of June 30, 2026 was more likely than not.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effective income tax rate was 24% and 13% for the three months ended June 30, 2026 and 2025, respectively, and 24% and 19% for the six months ended June 30, 2026 and 2025, respectively, differing from the U.S. federal statutory rate of 21%.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six months ended June 30, 2026, the effective income tax rates were higher than the statutory rate, primarily driven by state income taxes and nondeductible expenses, partially offset by research and development tax credits and excess tax benefits related to share-based compensation. In contrast, for the three and six months ended June 30, 2025, the effective income tax rates were lower than the statutory rate, primarily attributable to the research and development tax credits and excess tax benefits related to share-based compensation, partially offset by state income taxes and nondeductible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does not have any material unrecognized tax benefits as of June 30, 2026 and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Shareholders' equity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Common stock and treasury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the number of issued shares of common stock was 14,114,395 and 14,151,350, respectively. The Company held no shares of treasury stock as of either date. The changes in the number of issued shares of common stock and treasury stock were due to the following factors: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aggregate of 53,469 shares of common stock were issued as a result of the vesting of RSUs, of which, 15,924 shares of common stock were withheld to pay withholding taxes upon such vesting, which were reflected in treasury stock, with a cost of $714. All 15,924 shares of treasury stock were retired during the six months ended June 30, 2026.</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2026, the Company repurchased 74,500 shares of common stock under the Stock Repurchase Program, as defined below, which was reflected in treasury stock, with a cost of $3,122. All 74,500 shares of treasury stock were retired during the six months ended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 2022, the Company's Board of Directors authorized a stock repurchase program to repurchase the Company's common stock from time to time through open market purchases, privately negotiated transactions or other means, including pursuant to Rule 10b5-1 trading plans, which was subsequently amended on each of December 19, 2023, March 28, 2024, and November 3, 2025, bringing the total authorization to $30.0 million (the "Stock Repurchase Program"). The Stock Repurchase Program does not obligate the Company to repurchase any shares and may be modified, suspended, or terminated at any time at the discretion of the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Share-based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Red Violet, Inc. 2018 Stock Incentive Plan, as amended and restated (the “2018 Plan”), 7,500,000 shares of the Company’s common stock are authorized for issuance. The current amended and restated form of the 2018 Plan was approved by the Company’s stockholders on June 10, 2025 and, among other things, increased the number of shares authorized for issuance from 6,500,000 shares to 7,500,000 shares.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purpose of the 2018 Plan is to attract, retain, reward and motivate certain individuals by providing them with an opportunity to acquire or increase a proprietary interest in the Company and to incentivize them to contribute to the growth and success of the Company, so as to strengthen the mutuality of the interests between such individuals and the stockholders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there were 1,583,202 shares of common stock available for future issuance under the 2018 Plan.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To date, all share-based awards granted under the 2018 Plan have been in the form of RSUs. RSUs granted under the 2018 Plan vest upon the satisfaction of either service-based vesting conditions or both service-based and performance-based vesting conditions.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Service-based vesting conditions are generally satisfied over periods ranging from one to four years with annual vesting. Unvested activity related to RSUs subject solely to service-based vesting conditions for the six months ended June 30, 2026 was as follows: </w:t>
      </w:r>
    </w:p>
    <w:tbl>
      <w:tblPr>
        <w:tblW w:w="6485" w:type="dxa"/>
        <w:jc w:val="left"/>
        <w:tblInd w:w="0" w:type="dxa"/>
        <w:tblLayout w:type="fixed"/>
        <w:tblCellMar>
          <w:top w:w="28" w:type="dxa"/>
          <w:left w:w="28" w:type="dxa"/>
          <w:bottom w:w="28" w:type="dxa"/>
          <w:right w:w="28" w:type="dxa"/>
        </w:tblCellMar>
      </w:tblPr>
      <w:tblGrid>
        <w:gridCol w:w="2926"/>
        <w:gridCol w:w="146"/>
        <w:gridCol w:w="200"/>
        <w:gridCol w:w="1075"/>
        <w:gridCol w:w="166"/>
        <w:gridCol w:w="146"/>
        <w:gridCol w:w="441"/>
        <w:gridCol w:w="1194"/>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Withheld as treasury stock</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During the six months ended June 30, 2026, the Company granted an aggregate of 60,641 RSUs to certain employees and directors, and a consultant, at grant date fair values ranging from $42.39 to $54.09 per share, with vesting periods ranging generally from one to four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Withheld as treasury stock represents shares withheld to pay statutory taxes upon the vesting of RSUs. Refer to Note 6, "Shareholders' equity" for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unrecognized share-based compensation expense associated with the granted RSUs subject solely to service-based vesting conditions amounted to $16,846, which is expected to be recognized over a remaining weighted average period of 2.1 years.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Performance-based awards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In addition to RSUs subject solely to service-based vesting conditions as described above, all RSUs granted by the Company that are subject to performance-based vesting conditions also carry service-based vesting conditions. Unvested activity related to RSUs subject to both service-based and performance-based vesting conditions for the six months ended June 30, 2026 was as follows: </w:t>
      </w:r>
    </w:p>
    <w:tbl>
      <w:tblPr>
        <w:tblW w:w="6485" w:type="dxa"/>
        <w:jc w:val="left"/>
        <w:tblInd w:w="0" w:type="dxa"/>
        <w:tblLayout w:type="fixed"/>
        <w:tblCellMar>
          <w:top w:w="28" w:type="dxa"/>
          <w:left w:w="28" w:type="dxa"/>
          <w:bottom w:w="28" w:type="dxa"/>
          <w:right w:w="28" w:type="dxa"/>
        </w:tblCellMar>
      </w:tblPr>
      <w:tblGrid>
        <w:gridCol w:w="2926"/>
        <w:gridCol w:w="146"/>
        <w:gridCol w:w="200"/>
        <w:gridCol w:w="1075"/>
        <w:gridCol w:w="166"/>
        <w:gridCol w:w="146"/>
        <w:gridCol w:w="441"/>
        <w:gridCol w:w="1194"/>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not delivered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 xml:space="preserve">On March 18, 2024, the Company granted 130,000 RSUs to one non-executive employee, subject to both service-based and performance-based vesting conditions, with a grant-date fair value of $18.30 per share. The RSUs vest upon the achievement of specified revenue targets for a portion of the Company's business on or prior to December 31, 2030 (the "2024 Performance Criteria"). As of December 31, 2025, 15,000 RSUs had vested and been delivered. Of the remaining 115,000 unvested RSUs included in "Unvested as of December 31, 2025" in the table above, achievement of the applicable performance conditions for 45,000 RSUs was considered probable. During the six months ended June 30, 2026, 20,000 of these RSUs vested but had not yet been delivered, and the Company determined that achievement of performance conditions applicable to an additional 35,000 RSUs had become probable. Accordingly, as of June 30, 2026, 60,000 RSUs remained probable of achievement but unvested. No share-based compensation expense has been recognized for the remaining 35,000 unvested RSUs because achievement of the applicable performance conditions was not considered probable as of June 30,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9, 2026, the Company granted an aggregate of 832,690 RSUs to certain key executive officers under the 2018 Plan, subject to both service-based and performance-based vesting conditions, with a grant-date fair value of $52.77 per share. The awards vest upon achievement of specified revenue and adjusted EBITDA margin targets over a trailing twelve-month period on or prior to March 31, 2030 (the "2026 Performance Criteria"). Each recipient received three awards of increasing size tied to progressively higher revenue thresholds, subject to a consistent adjusted EBITDA margin requirement. In the event of a change of control, portions of the awards may vest based on enterprise value at the time of the transaction. Compensation expense for these awards will be recognized if and when the performance conditions are determined to be probable of achievement. No share-based compensation expense related to these awards has been recognized because, as of June 30, 2026, achievement of the 2026 Performance Criteria was not considered probable.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April 7, 2026, the Company granted 30,000 RSUs to one non-executive employee, subject to both service-based and performance-based vesting conditions, with a grant-date fair value of $37.23 per share. The award vests in increments upon the achievement of specified qualifying acquisitions on or prior to March 2, 2029 (the "2026 Acquisition Performance Criteria"). No share-based compensation expense related to this award has been recognized because, as of June 30, 2026, achievement of the 2026 Acquisition Performance Criteria was not considered probable.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June 30, 2026 and December 31, 2025, the number of unvested RSUs subject to both service-based and performance-based vesting conditions that were considered probable of achievement was 60,000 and 45,000, respectively. </w:t>
      </w:r>
    </w:p>
    <w:p>
      <w:pPr>
        <w:pStyle w:val="TextBody"/>
        <w:bidi w:val="0"/>
        <w:jc w:val="left"/>
        <w:rPr>
          <w:rFonts w:ascii="Times New Roman" w:hAnsi="Times New Roman"/>
          <w:color w:val="000000"/>
          <w:sz w:val="20"/>
        </w:rPr>
      </w:pPr>
      <w:r>
        <w:rPr>
          <w:rFonts w:ascii="Times New Roman" w:hAnsi="Times New Roman"/>
          <w:color w:val="000000"/>
          <w:sz w:val="20"/>
        </w:rPr>
        <w:t>As of June 30, 2026, the unrecognized share-based compensation expense associated with the granted RSUs subject to both service-based and performance-based vesting conditions amounted to $46,843. For awards probable of achievement, the unrecognized share-based compensation expense amounted to $504, which is expected to be recognized over a remaining weighted average period of 2.8 years.</w:t>
      </w:r>
    </w:p>
    <w:p>
      <w:pPr>
        <w:pStyle w:val="TextBody"/>
        <w:bidi w:val="0"/>
        <w:spacing w:before="200" w:after="283"/>
        <w:jc w:val="left"/>
        <w:rPr>
          <w:rFonts w:ascii="Times New Roman" w:hAnsi="Times New Roman"/>
          <w:sz w:val="20"/>
        </w:rPr>
      </w:pPr>
      <w:r>
        <w:rPr>
          <w:rFonts w:ascii="Times New Roman" w:hAnsi="Times New Roman"/>
          <w:i/>
          <w:color w:val="000000"/>
          <w:sz w:val="20"/>
        </w:rPr>
        <w:t>Summary of share-based compensation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Share-based compensation was allocated to the following accounts in the condensed consolidated financial statements for the three and six months ended June 30, 2026 and 2025:</w:t>
      </w:r>
    </w:p>
    <w:p>
      <w:pPr>
        <w:pStyle w:val="TextBody"/>
        <w:bidi w:val="0"/>
        <w:jc w:val="left"/>
        <w:rPr/>
      </w:pPr>
      <w:r>
        <w:rPr/>
        <w:t> </w:t>
      </w:r>
    </w:p>
    <w:tbl>
      <w:tblPr>
        <w:tblW w:w="10002" w:type="dxa"/>
        <w:jc w:val="left"/>
        <w:tblInd w:w="0" w:type="dxa"/>
        <w:tblLayout w:type="fixed"/>
        <w:tblCellMar>
          <w:top w:w="28" w:type="dxa"/>
          <w:left w:w="28" w:type="dxa"/>
          <w:bottom w:w="28" w:type="dxa"/>
          <w:right w:w="28" w:type="dxa"/>
        </w:tblCellMar>
      </w:tblPr>
      <w:tblGrid>
        <w:gridCol w:w="5041"/>
        <w:gridCol w:w="146"/>
        <w:gridCol w:w="257"/>
        <w:gridCol w:w="697"/>
        <w:gridCol w:w="178"/>
        <w:gridCol w:w="178"/>
        <w:gridCol w:w="257"/>
        <w:gridCol w:w="697"/>
        <w:gridCol w:w="146"/>
        <w:gridCol w:w="146"/>
        <w:gridCol w:w="235"/>
        <w:gridCol w:w="637"/>
        <w:gridCol w:w="162"/>
        <w:gridCol w:w="162"/>
        <w:gridCol w:w="235"/>
        <w:gridCol w:w="637"/>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its corporate headquarters of 21,020 rentable square feet in accordance with a non-cancellable operating lease agreement as amended and effective in January 2017, and the Company entered into a further amendment on September 20, 2023 to exercise the extension option for an additional 60 months through June 30, 2029, with an option to further extend for an additional 60 months. The Company also leased an additional office space of 6,003 rentable square feet for its Seattle office in accordance with a non-cancellable operating lease agreement that expired in March 2025. The extension options of such agreements were not included in the determination of the lease terms. On December 20, 2024, the Company entered into a non-cancellable 80-month operating lease agreement for its new Seattle office space of 6,709 rentable square feet, with the lease commencement date on May 1, 2025 (the "New Seattle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six months ended June 30, 2026 and 2025, a summary of the Company’s lease information is shown below:</w:t>
      </w:r>
    </w:p>
    <w:p>
      <w:pPr>
        <w:pStyle w:val="TextBody"/>
        <w:bidi w:val="0"/>
        <w:jc w:val="left"/>
        <w:rPr/>
      </w:pPr>
      <w:r>
        <w:rPr/>
        <w:t> </w:t>
      </w:r>
    </w:p>
    <w:tbl>
      <w:tblPr>
        <w:tblW w:w="9058" w:type="dxa"/>
        <w:jc w:val="left"/>
        <w:tblInd w:w="0" w:type="dxa"/>
        <w:tblLayout w:type="fixed"/>
        <w:tblCellMar>
          <w:top w:w="28" w:type="dxa"/>
          <w:left w:w="28" w:type="dxa"/>
          <w:bottom w:w="28" w:type="dxa"/>
          <w:right w:w="28" w:type="dxa"/>
        </w:tblCellMar>
      </w:tblPr>
      <w:tblGrid>
        <w:gridCol w:w="4096"/>
        <w:gridCol w:w="146"/>
        <w:gridCol w:w="280"/>
        <w:gridCol w:w="559"/>
        <w:gridCol w:w="193"/>
        <w:gridCol w:w="193"/>
        <w:gridCol w:w="280"/>
        <w:gridCol w:w="758"/>
        <w:gridCol w:w="146"/>
        <w:gridCol w:w="146"/>
        <w:gridCol w:w="256"/>
        <w:gridCol w:w="511"/>
        <w:gridCol w:w="177"/>
        <w:gridCol w:w="177"/>
        <w:gridCol w:w="256"/>
        <w:gridCol w:w="693"/>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Right-of-use assets obtained in exchange for new</w:t>
              <w:br/>
              <w:t>  operating lease liabilities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New Seattle Lease resulted in the recognition of $1,153</w:t>
      </w:r>
      <w:r>
        <w:rPr>
          <w:color w:val="000000"/>
        </w:rPr>
        <w:t xml:space="preserve"> </w:t>
      </w:r>
      <w:r>
        <w:rPr>
          <w:rFonts w:ascii="Times New Roman" w:hAnsi="Times New Roman"/>
          <w:color w:val="000000"/>
          <w:sz w:val="20"/>
        </w:rPr>
        <w:t>in right-of-use assets obtained in exchange for operating lease liabilities as of May 1, 2025. The Company applied a 6.0% discount rate, its estimated incremental borrowing rate for similar secured assets, to determine the present value of the lease payments, as the implicit rate in the lease is not readily determinable. The discount rate was based on information available as of the lease commencement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weighted average remaining operating lease term was 4.2 years and 4.6 years, respectively, and the weighted average discount rate used to measure the operating lease liabilities was 8.09% and 8.23%,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scheduled future maturities and present value of the operating lease liabilities are as follows:</w:t>
      </w:r>
    </w:p>
    <w:p>
      <w:pPr>
        <w:pStyle w:val="TextBody"/>
        <w:bidi w:val="0"/>
        <w:jc w:val="left"/>
        <w:rPr/>
      </w:pPr>
      <w:r>
        <w:rPr/>
        <w:t> </w:t>
      </w:r>
    </w:p>
    <w:tbl>
      <w:tblPr>
        <w:tblW w:w="8678" w:type="dxa"/>
        <w:jc w:val="left"/>
        <w:tblInd w:w="0" w:type="dxa"/>
        <w:tblLayout w:type="fixed"/>
        <w:tblCellMar>
          <w:top w:w="28" w:type="dxa"/>
          <w:left w:w="28" w:type="dxa"/>
          <w:bottom w:w="28" w:type="dxa"/>
          <w:right w:w="28" w:type="dxa"/>
        </w:tblCellMar>
      </w:tblPr>
      <w:tblGrid>
        <w:gridCol w:w="7216"/>
        <w:gridCol w:w="146"/>
        <w:gridCol w:w="303"/>
        <w:gridCol w:w="822"/>
        <w:gridCol w:w="191"/>
      </w:tblGrid>
      <w:tr>
        <w:trPr/>
        <w:tc>
          <w:tcPr>
            <w:tcW w:w="7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Present value included in condensed consolidated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between the maturities and related 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Segment information</w:t>
      </w:r>
    </w:p>
    <w:p>
      <w:pPr>
        <w:pStyle w:val="TextBody"/>
        <w:bidi w:val="0"/>
        <w:jc w:val="left"/>
        <w:rPr>
          <w:rFonts w:ascii="Times New Roman" w:hAnsi="Times New Roman"/>
          <w:color w:val="000000"/>
          <w:sz w:val="20"/>
        </w:rPr>
      </w:pPr>
      <w:r>
        <w:rPr>
          <w:rFonts w:ascii="Times New Roman" w:hAnsi="Times New Roman"/>
          <w:color w:val="000000"/>
          <w:sz w:val="20"/>
        </w:rPr>
        <w:t>The Company operates as a single operating and reportable segment, identity and information solutions, as defined under ASC 280, “Segment Reporting.” There have been no significant changes in the basis of segmentation or in the basis of measurement of segment profit since the last annual report.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operating decision maker (the “CODM”) is a group consisting of its Chief Executive Officer, President, and Chief Financial Officer. The CODM assesses performance for the identity and information solutions segment and decides how to allocate resources based on net income that also is reported on the condensed consolidated statements of operations as net income. The measure of segment assets is reported on the condensed consolidated balance sheet as total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about reported segment revenue, segment net income, and significant segment expenses is shown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86"/>
        <w:gridCol w:w="146"/>
        <w:gridCol w:w="228"/>
        <w:gridCol w:w="733"/>
        <w:gridCol w:w="179"/>
        <w:gridCol w:w="157"/>
        <w:gridCol w:w="228"/>
        <w:gridCol w:w="733"/>
        <w:gridCol w:w="166"/>
        <w:gridCol w:w="146"/>
        <w:gridCol w:w="211"/>
        <w:gridCol w:w="676"/>
        <w:gridCol w:w="166"/>
        <w:gridCol w:w="146"/>
        <w:gridCol w:w="211"/>
        <w:gridCol w:w="676"/>
        <w:gridCol w:w="217"/>
      </w:tblGrid>
      <w:tr>
        <w:trPr/>
        <w:tc>
          <w:tcPr>
            <w:tcW w:w="5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 (exclusive of depreciation and amortization)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marketing and agency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Professional fees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Cost of revenue (exclusive of depreciation and amortization) includes certain personnel-related expenses and share-based compensation expense, which are not included in the related line items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Professional fees for the three and six months ended June 30, 2026 included $49 and $308, respectively, of acquisition-related costs incurred in connection with due diligence of potential strategic targets. Comparable acquisition-related costs were $370 for each of the three and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Other segment items include primarily travel and entertainment, write-off of long-lived assets, and other selling, general and administrative expenses.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Capital commitment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incurred data costs, included within cost of revenue (exclusive of depreciation and amortization), of $2,443 and $2,417 for the three months ended June 30, 2026 and 2025, respectively, and $4,882 and $4,959 for the six months ended June 30, 2026 and 2025, respectively, under certain data licensing agreements.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2025, the Company entered into a five-year, non-cancellable cloud services agreement with a third-party provider. The agreement includes a minimum annual purchase commitment of $3.0 million, beginning May 1, 2025. Costs incurred under this agreement are either (i) expensed as infrastructure fees and included in cost of revenue (exclusive of depreciation and amortization) when used in the delivery of our services to customers, or (ii) capitalized as internal-use software costs within intangible assets when consumed in the development or enhancement of the Company’s internal-use software.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total material capital commitments under certain data licensing agreements and the cloud service agreement amounted to $35,498, shown as follows:</w:t>
      </w:r>
    </w:p>
    <w:p>
      <w:pPr>
        <w:pStyle w:val="TextBody"/>
        <w:bidi w:val="0"/>
        <w:jc w:val="left"/>
        <w:rPr/>
      </w:pPr>
      <w:r>
        <w:rPr/>
        <w:t> </w:t>
      </w:r>
    </w:p>
    <w:tbl>
      <w:tblPr>
        <w:tblW w:w="3343" w:type="dxa"/>
        <w:jc w:val="left"/>
        <w:tblInd w:w="0" w:type="dxa"/>
        <w:tblLayout w:type="fixed"/>
        <w:tblCellMar>
          <w:top w:w="28" w:type="dxa"/>
          <w:left w:w="28" w:type="dxa"/>
          <w:bottom w:w="28" w:type="dxa"/>
          <w:right w:w="28" w:type="dxa"/>
        </w:tblCellMar>
      </w:tblPr>
      <w:tblGrid>
        <w:gridCol w:w="1781"/>
        <w:gridCol w:w="246"/>
        <w:gridCol w:w="267"/>
        <w:gridCol w:w="858"/>
        <w:gridCol w:w="191"/>
      </w:tblGrid>
      <w:tr>
        <w:trPr/>
        <w:tc>
          <w:tcPr>
            <w:tcW w:w="1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follows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loss has been incurred is probable, but the amount cannot be reasonably estimated.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it was remanded to the Superior Court of New Jersey, Law Division, Monmouth County by order dated November 21, 2024, where the Action is pending. On May 1, 2026, the acting Administrative Director of the Courts denied Atlas’s application to consolidate all cases against various defendants in the Superior Court of New Jersey.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the Company may be involved in litigation from time to time in the ordinary course of business. The Company does not believe that the ultimate resolution of any such matter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the Company entered into an underwriting agreement with Raymond James &amp; Associates, Inc. and Needham &amp; Company, LLC, as representatives of the several underwriters (the “Underwriters”), relating to an underwritten public offering (the “Offering”) of 1,666,667 shares of its common stock. The Company also granted the Underwriters a 30-day option to purchase up to an additional 250,000 shares, which the Underwriters exercised in full on August 6, 2026, resulting in the issuance and sale of an aggregate of 1,916,667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7, 2026, the Company closed the Offering at a public offering price of $60.00 per share. The shares were issued under the Company’s effective shelf registration statement on Form S-3. Net proceeds to the Company were approximately $108.6 million, after deducting underwriting discounts and commissions and estimated offering expenses. The Company intends to use the net proceeds for working capital and general corporate purposes, including potential strategic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2025 filed on March 4, 2026 (the “2025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References in this discussion and analysis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sz w:val="20"/>
        </w:rPr>
      </w:pPr>
      <w:r>
        <w:rPr>
          <w:rFonts w:ascii="Times New Roman" w:hAnsi="Times New Roman"/>
          <w:color w:val="000000"/>
          <w:sz w:val="2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AI-embedded identity intelligence platform, CORE</w:t>
      </w:r>
      <w:r>
        <w:rPr>
          <w:rFonts w:ascii="Times New Roman" w:hAnsi="Times New Roman"/>
          <w:color w:val="000000"/>
          <w:sz w:val="13"/>
        </w:rPr>
        <w:t>TM</w:t>
      </w:r>
      <w:r>
        <w:rPr>
          <w:rFonts w:ascii="Times New Roman" w:hAnsi="Times New Roman"/>
          <w:color w:val="000000"/>
          <w:sz w:val="2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 artificial intelligence and machine learning embedded directly into CORE’s architecture from inception, and integrated with extensive proprietary data assets and regulated workflows, the platform enables customers to uncover actionable insights, accelerate decision-making, and operate at enterprise scale with materially reduced manual effort and operating costs. These AI-driven capabilities support the streamlining of labor-intensive workflows through automated, intelligence-driven processes that materially enhance efficiency and outcomes across risk management, compliance, and investigative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extensive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enhance safety, and mitigate fraud and the related financial losses across the markets we 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While our platform powers a vast array of solutions for our customers, we presently market our solutions primarily through two brands, IDI</w:t>
      </w:r>
      <w:r>
        <w:rPr>
          <w:rFonts w:ascii="Times New Roman" w:hAnsi="Times New Roman"/>
          <w:color w:val="000000"/>
          <w:sz w:val="13"/>
        </w:rPr>
        <w:t xml:space="preserve"> </w:t>
      </w:r>
      <w:r>
        <w:rPr>
          <w:rFonts w:ascii="Times New Roman" w:hAnsi="Times New Roman"/>
          <w:color w:val="000000"/>
          <w:sz w:val="20"/>
        </w:rPr>
        <w:t>and FOREWARN</w:t>
      </w:r>
      <w:r>
        <w:rPr>
          <w:rFonts w:ascii="Times New Roman" w:hAnsi="Times New Roman"/>
          <w:color w:val="000000"/>
          <w:sz w:val="13"/>
        </w:rPr>
        <w:t>®</w:t>
      </w:r>
      <w:r>
        <w:rPr>
          <w:rFonts w:ascii="Times New Roman" w:hAnsi="Times New Roman"/>
          <w:color w:val="000000"/>
          <w:sz w:val="20"/>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hAnsi="Times New Roman"/>
          <w:color w:val="000000"/>
          <w:sz w:val="13"/>
        </w:rPr>
        <w:t></w:t>
      </w:r>
      <w:r>
        <w:rPr>
          <w:rFonts w:ascii="Times New Roman" w:hAnsi="Times New Roman"/>
          <w:color w:val="000000"/>
          <w:sz w:val="20"/>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2026 and 2025, IDI had 10,869 and 9,549 billable customers, respectively, and FOREWARN had 443,173 and 346,671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each of the three months ended June 30, 2026 and 2025, 77% of total revenue was attributable to customers with pricing contracts, versus 23% attributable to transactional customers. For each of the six months ended June 30, 2026 and 2025, 76% of total revenue was attributable to customers with pricing contracts, versus 24% attributable to transactional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please refer to our 2025 Form 10-K. There have been no material changes to Critical Accounting Policies and Estimates disclosed in our 2025 Form 10-K.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200" w:after="283"/>
        <w:jc w:val="left"/>
        <w:rPr>
          <w:rFonts w:ascii="Times New Roman" w:hAnsi="Times New Roman"/>
          <w:sz w:val="20"/>
        </w:rPr>
      </w:pPr>
      <w:r>
        <w:rPr>
          <w:rFonts w:ascii="Times New Roman" w:hAnsi="Times New Roman"/>
          <w:color w:val="000000"/>
          <w:sz w:val="20"/>
        </w:rPr>
        <w:t>See Note 1(b), “</w:t>
      </w:r>
      <w:r>
        <w:rPr>
          <w:rFonts w:ascii="Times New Roman" w:hAnsi="Times New Roman"/>
          <w:i/>
          <w:color w:val="000000"/>
          <w:sz w:val="20"/>
        </w:rPr>
        <w:t>Recently issued accounting standards,”</w:t>
      </w:r>
      <w:r>
        <w:rPr>
          <w:rFonts w:ascii="Times New Roman" w:hAnsi="Times New Roman"/>
          <w:color w:val="000000"/>
          <w:sz w:val="20"/>
        </w:rPr>
        <w:t xml:space="preserve"> in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0" w:name="gmnh874a1a8db3fe4af2a262b7d6093c0e4f"/>
      <w:bookmarkEnd w:id="10"/>
      <w:r>
        <w:rPr>
          <w:rFonts w:ascii="Times New Roman" w:hAnsi="Times New Roman"/>
          <w:b/>
          <w:color w:val="000000"/>
          <w:sz w:val="20"/>
        </w:rPr>
        <w:t>Second Quarter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2026 as compared to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23% to $26.7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29% to $20.2 million. Gross margin increased to 76% from 72%.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25% to $22.9 million. Adjusted gross margin increased to 86% from 84%.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85% to $5.0 million, which resulted in earnings of $0.35 and $0.34 per basic and diluted share, respectively. Net income margin increased to 19% from 12%.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48% to $11.2 million. Adjusted EBITDA margin increased to 42% from 35%.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58% to $7.2 million, which resulted in adjusted earnings of $0.51 and $0.50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42% to $10.6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$50.0 million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Second Quarter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the August 2026 closing of an underwritten public offering of 1,916,667 shares of common stock, including 250,000 shares of common stock sold pursuant to the full exercise of the underwriters’ option, providing net proceeds of approximately $109.0 million, after deducting underwriting discounts and commissions and estimated offering expenses. The Company intends to use the net proceeds from the offering for working capital and general corporate purposes, including potential strategic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Added 447 customers to IDI during the second quarter, ending the quarter with 10,869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25,493 users to FOREWARN during the second quarter, ending the quarter with 443,173 users. 660 REALTOR</w:t>
      </w:r>
      <w:r>
        <w:rPr>
          <w:rFonts w:ascii="Times New Roman" w:hAnsi="Times New Roman"/>
          <w:color w:val="000000"/>
          <w:sz w:val="13"/>
        </w:rPr>
        <w:t>®</w:t>
      </w:r>
      <w:r>
        <w:rPr>
          <w:color w:val="000000"/>
        </w:rPr>
        <w:t xml:space="preserve"> </w:t>
      </w:r>
      <w:r>
        <w:rPr>
          <w:rFonts w:ascii="Times New Roman" w:hAnsi="Times New Roman"/>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Purchased 74,500 shares of the Company’s common stock year to date through June 30, 2026, at an average price of $41.87 per share pursuant to the Company’s Stock Repurchase Program. As of June 30, 2026, the Company had $15.5 million remaining under the Stock Repurchase Program.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rPr/>
      </w:pPr>
      <w:r>
        <w:rPr/>
        <w:t> </w:t>
      </w:r>
    </w:p>
    <w:tbl>
      <w:tblPr>
        <w:tblW w:w="8320" w:type="dxa"/>
        <w:jc w:val="left"/>
        <w:tblInd w:w="0" w:type="dxa"/>
        <w:tblLayout w:type="fixed"/>
        <w:tblCellMar>
          <w:top w:w="28" w:type="dxa"/>
          <w:left w:w="28" w:type="dxa"/>
          <w:bottom w:w="28" w:type="dxa"/>
          <w:right w:w="28" w:type="dxa"/>
        </w:tblCellMar>
      </w:tblPr>
      <w:tblGrid>
        <w:gridCol w:w="2986"/>
        <w:gridCol w:w="146"/>
        <w:gridCol w:w="218"/>
        <w:gridCol w:w="699"/>
        <w:gridCol w:w="280"/>
        <w:gridCol w:w="150"/>
        <w:gridCol w:w="218"/>
        <w:gridCol w:w="699"/>
        <w:gridCol w:w="271"/>
        <w:gridCol w:w="146"/>
        <w:gridCol w:w="211"/>
        <w:gridCol w:w="676"/>
        <w:gridCol w:w="271"/>
        <w:gridCol w:w="146"/>
        <w:gridCol w:w="211"/>
        <w:gridCol w:w="676"/>
        <w:gridCol w:w="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rPr/>
      </w:pPr>
      <w:r>
        <w:rPr/>
        <w:t> </w:t>
      </w:r>
    </w:p>
    <w:tbl>
      <w:tblPr>
        <w:tblW w:w="9912" w:type="dxa"/>
        <w:jc w:val="left"/>
        <w:tblInd w:w="0" w:type="dxa"/>
        <w:tblLayout w:type="fixed"/>
        <w:tblCellMar>
          <w:top w:w="28" w:type="dxa"/>
          <w:left w:w="28" w:type="dxa"/>
          <w:bottom w:w="28" w:type="dxa"/>
          <w:right w:w="28" w:type="dxa"/>
        </w:tblCellMar>
      </w:tblPr>
      <w:tblGrid>
        <w:gridCol w:w="3631"/>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share-based compensation </w:t>
              <w:br/>
              <w:t>  capitalized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14,018,629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14,008,385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14,553,282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14,528,789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tax effect of adjustments is calculated using the expected combined federal and state statutory tax rate, which was approximately 26.00% for each of the three and six months ended June 30, 2026 and 2025. The resulting tax effect may differ from applying such rate to total adjustments due to the tax treatment of certain items. Beginning with the 2025 Form 10-K, we updated the methodology for determining the income tax effects of adjustments in calculating non-GAAP adjusted net income. Prior-period amounts have been revised to conform to the current methodology and presentation. These revisions did not affect our previously reported GAAP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tbl>
      <w:tblPr>
        <w:tblW w:w="10015" w:type="dxa"/>
        <w:jc w:val="left"/>
        <w:tblInd w:w="0" w:type="dxa"/>
        <w:tblLayout w:type="fixed"/>
        <w:tblCellMar>
          <w:top w:w="28" w:type="dxa"/>
          <w:left w:w="28" w:type="dxa"/>
          <w:bottom w:w="28" w:type="dxa"/>
          <w:right w:w="28" w:type="dxa"/>
        </w:tblCellMar>
      </w:tblPr>
      <w:tblGrid>
        <w:gridCol w:w="4681"/>
        <w:gridCol w:w="146"/>
        <w:gridCol w:w="218"/>
        <w:gridCol w:w="699"/>
        <w:gridCol w:w="280"/>
        <w:gridCol w:w="150"/>
        <w:gridCol w:w="218"/>
        <w:gridCol w:w="699"/>
        <w:gridCol w:w="271"/>
        <w:gridCol w:w="146"/>
        <w:gridCol w:w="211"/>
        <w:gridCol w:w="676"/>
        <w:gridCol w:w="271"/>
        <w:gridCol w:w="146"/>
        <w:gridCol w:w="211"/>
        <w:gridCol w:w="676"/>
        <w:gridCol w:w="3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related to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 of certain intangible</w:t>
              <w:br/>
              <w:t>  assets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Depreciation and amortization of certain intangible assets primarily consists of the amortization of capitalized internal-use software development costs, which are included within intangible assets and amortized over their estimated useful lives.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8905" w:type="dxa"/>
        <w:jc w:val="left"/>
        <w:tblInd w:w="0" w:type="dxa"/>
        <w:tblLayout w:type="fixed"/>
        <w:tblCellMar>
          <w:top w:w="28" w:type="dxa"/>
          <w:left w:w="28" w:type="dxa"/>
          <w:bottom w:w="28" w:type="dxa"/>
          <w:right w:w="28" w:type="dxa"/>
        </w:tblCellMar>
      </w:tblPr>
      <w:tblGrid>
        <w:gridCol w:w="3886"/>
        <w:gridCol w:w="146"/>
        <w:gridCol w:w="234"/>
        <w:gridCol w:w="750"/>
        <w:gridCol w:w="184"/>
        <w:gridCol w:w="162"/>
        <w:gridCol w:w="234"/>
        <w:gridCol w:w="700"/>
        <w:gridCol w:w="166"/>
        <w:gridCol w:w="146"/>
        <w:gridCol w:w="211"/>
        <w:gridCol w:w="676"/>
        <w:gridCol w:w="166"/>
        <w:gridCol w:w="146"/>
        <w:gridCol w:w="211"/>
        <w:gridCol w:w="676"/>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and share-based compensation expense, and the impact of other items not indicative of our ongoing operating performance.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amortization of share-based compensation capitalized in intangible assets, and other items not indicative of our ongoing operating performance,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increased $4.9 million, or 23%, to $26.7 million for the three months ended June 30, 2026, compared to $21.8 million for the same period in 2025. The increase was driven by strong onboarding of new customers and volume expansion across the existing customer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new customers increased $0.5 million, or 36%, to $2.0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existing customers increased $4.4 million, or 22%, to $24.7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our IDI billable customer base increased to 10,869 customers, up from 9,549 customers a year earlier. Our FOREWARN user base increased to 443,173 users, up from 346,671 users a year earlier.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 (exclusive of 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revenue (exclusive of depreciation and amortization) increased $0.3 million, or 9%, to $3.8 million for the three months ended June 30, 2026, compared to $3.5 million for the same period in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cost of revenue primarily consists of data acquisition costs, which include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46% of our total data acquisition costs for each of the three months ended June 30, 2026 and 2025. Effective on May 1, 2025, we entered into an amendment with our largest data supplier, extending the term of the agreement through April 30, 2031.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 components of our cost of revenue include cloud infrastructure fees, and pertinent personnel-related costs and share-based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Due to the fixed-cost nature of our primary data licensing structure, cost of revenue as a percentage of revenue decreased to 14% for the three months ended June 30, 2026, compared to 16% for the same period in 2025. We expect this percentage to continue to decline over time as our revenue increases.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increased $0.2 million, or 2%, to $5.8 million for the three months ended June 30, 2026, compared to $5.6 million for the same period in 2025. We continued to invest in expanding our go-to-market capabilities to support long-term revenue growth.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include personnel-related expenses, advertising, marketing and agency expenses, travel expenses, and share-based compensation expense incurred by our sales team, and provision for bad debts.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2026 and 2025, sales and marketing expenses consisted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of $4.5 million and $4.5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of $0.1 million and $0.2 million,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marketing and agency expenses of $0.4 million and $0.3 million,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$1.0 million, or 14%, to $8.3 million for the three months ended June 30, 2026, compared to $7.3 million for the same period in 2025. The increase reflects higher personnel-related expenses and share-based compensation expense to support the continued growth of the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2026 and 2025, general and administrative expenses consisted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of $4.1 million and $3.5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of $2.1 million and $1.6 million,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of $1.4 million and $1.6 million, respectively. Professional fees included $0.05 million and $0.4 million, respectively, of acquisition-related costs incurred in connection with the due diligence of potential strategic targets.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Depreciation and amortization expenses increased $0.2 million, or 5%, to $2.8 million for the three months ended June 30, 2026, compared to $2.6 million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 the amortization of intangible assets that became ready for their intended use after June 30,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increased $0.1 million, or 16%, to $0.4 million for the three months ended June 30, 2026, compared to $0.3 million for the three months ended June 30,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interest income was primarily attributable to yields on money market fund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before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before income taxes increased $3.4 million, or 110%, to $6.5 million for the three months ended June 30, 2026, compared to $3.1 million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$4.9 million in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$0.3 million in cost of revenue (exclusive of depreciation and amortization);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$0.7 million in personnel-related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$0.4 million in share-based compensation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$0.2 million in depreciation and amortization expense.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was $1.5 million for the three months ended June 30, 2026, compared to $0.4 million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income tax expense was primarily attributable to higher pre-tax income and the increase in the Company’s effective tax rate to 24% for the three months ended June 30, 2026 from 13%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refer to Note 5, “Income taxes,” in the “Notes to Condensed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income increased $2.3 million, or 85%, to $5.0 million for the three months ended June 30, 2026, compared to $2.7 million for the same period in 2025, as a result of the foregoing.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increased $8.7 million, or 20%, to $52.5 million for the six months ended June 30, 2026, compared to $43.8 million for the same period in 2025. The increase was driven by volume expansion across the existing customer base, partially offset by the decrease in revenue from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existing customers increased $9.0 million, or 23%, to $48.4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new customers decreased $0.3 million, or 7%, to $4.1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our IDI billable customer base increased to 10,869 customers, up from 9,549 customers a year earlier. Our FOREWARN user base increased to 443,173 users, up from 346,671 users a year earlier.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 (exclusive of 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revenue (exclusive of depreciation and amortization) increased $0.4 million, or 7%, to $7.6 million for the six months ended June 30, 2026, compared to $7.2 million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cost of revenue primarily consists of data acquisition costs, which include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46% and 45% of our total data acquisition costs for the six months ended June 30, 2026 and 2025, respectively. Effective on May 1, 2025, we entered into an amendment with our largest data supplier, extending the term of the agreement through April 30, 2031.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 components of our cost of revenue include cloud infrastructure fees, and pertinent personnel-related costs and share-based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Due to the fixed-cost nature of our primary data licensing structure, cost of revenue as a percentage of revenue decreased to 15% for the six months ended June 30, 2026, compared to 16% for the same period in 2025. We expect this percentage to continue to decline over time as our revenue increases.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increased $0.6 million, or 5%, to $11.6 million for the six months ended June 30, 2026, compared to $11.0 million for the same period in 2025. We continued to invest in expanding our go-to-market capabilities to support long-term revenue growth.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include personnel-related expenses, advertising, marketing and agency expenses, travel expenses, and share-based compensation expense incurred by our sales team, and provision for bad debts.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and 2025, sales and marketing expenses consisted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of $9.1 million and $9.1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of $0.4 million and $0.4 million,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marketing and agency expenses of $0.7 million and $0.5 million,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$2.8 million, or 20%, to $16.2 million for the six months ended June 30, 2026, compared to $13.4 million for the same period in 2025. The increase reflects higher personnel-related expenses and share-based compensation expense to support the continued growth of the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and 2025, general and administrative expenses consisted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of $8.1 million and $6.6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of $3.9 million and $3.0 million,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of $3.0 million and $2.6 million, respectively. Professional fees included $0.3 million and $0.4 million, respectively, of acquisition-related costs incurred in connection with the due diligence of potential strategic targets.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Depreciation and amortization expenses increased $0.4 million, or 8%, to $5.6 million for the six months ended June 30, 2026, compared to $5.2 million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 the amortization of intangible assets that became ready for their intended use after June 30,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increased $0.1 million, or 14%, to $0.7 million for the six months ended June 30, 2026, compared to $0.6 million for the six months ended June 30,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interest income was primarily attributable to yields on money market fund investments.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before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before income taxes increased $4.7 million, or 61%, to $12.3 million for the six months ended June 30, 2026, compared to $7.6 million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$8.7 million in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$0.4 million in cost of revenue (exclusive of depreciation and amortization);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$1.9 million in personnel-related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$0.9 million in share-based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$0.4 million in professional fees;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$0.4 million in depreciation and amortization expense.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was $2.9 million for the six months ended June 30, 2026, compared to $1.5 million for the same period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income tax expense was primarily attributable to higher pre-tax income and the increase in the Company’s effective tax rate to 24% for the six months ended June 30, 2026 from 19% for the same period in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refer to Note 5, “Income taxes,” in the “Notes to Condensed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income increased $3.2 million, or 53%, to $9.3 million for the six months ended June 30, 2026, compared to $6.1 million for the same period in 2025, as a result of the foregoing.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Effect of Inflation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While the pace of inflation has shown signs of moderation more recently, macroeconomic uncertainty and higher interest rates have continued to influence business sentiment and spending patterns in certain sectors. These conditions have resulted in — and may continue to contribute to — fluctuations in transaction volumes, pricing dynamics, and operating margins across our services.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elevated interest rates implemented to curb inflation may reduce demand for credit, which could in turn lead to lower usage of our services by customers in the banking, financial services, and adjacent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Despite these broader market dynamics, inflation has not had a material impact on our financial results to date. Where feasible, we have taken proactive steps to mitigate inflation-related cost increases, including implementing pricing adjustments where permitted under contract terms and competitive conditions.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net cash provided by operating activities was $17.2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$9.3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adjustments totaling $12.5 million, including share-based compensation expense, depreciation and amortization, write-off of long-lived assets, provision for bad debts, noncash lease expenses, and deferred 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assets and liabilities, which resulted in a net use of cash of $4.6 million, primarily due to an increase in accounts receivable, and a decrease in accounts payable, and accrued expenses and other current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2025, net cash provided by operating activities was $12.5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$6.1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adjustments totaling $10.3 million, including share-based compensation expense, depreciation and amortization, write-off of long-lived assets, provision for bad debts, noncash lease expenses, and deferred 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assets and liabilities, which resulted in a net use of cash of $4.0 million, primarily due to an increase in accounts receivable, and prepaid expenses and other current assets, and a decrease in accounts payable, accrued expenses and other current liabilities, and operating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and 2025, net cash used in investing activities was $7.0 million and $5.2 million, respectively, primarily as a result of capitalized costs included in intangible assets.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used in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net cash used in financing activities was $3.8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 paid in connection with the net share settlement of vesting RSUs totaling $0.7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repurchases totaling $3.1 million, conducted pursuant to our Stock Repurchase Program (as defined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Stock Repurchase Program was originally authorized by the Company's Board of Directors on May 2, 2022, permitting repurchases of our common stock from time to time, which was subsequently amended on each of December 19, 2023, March 28, 2024, and November 3, 2025, bringing the total authorization to $30.0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2025, net cash used in financing activities was $4.9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payment of a special cash dividend totaling $4.2 million;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 paid in connection with the net share settlement of vesting RSUs totaling $0.7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 2024, we declared a special cash dividend of $0.30 per share on our common stock to shareholders of record as of January 31, 2025. The dividend, totaling $4.2 million, was paid on February 14, 2025.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had material commitments under data licensing agreements and a cloud service agreement totaling $35.5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fund these commitments, as well as our ongoing operating and capital requirements, using available cash on hand and cash flows generated from operations over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reported net income of $5.0 million and $2.7 million for the three months ended June 30, 2026 and 2025, respectively, and $9.3 million and $6.1 million for the six months ended June 30, 2026 and 2025, respectively. As of June 30, 2026, we had total shareholders’ equity of $111.6 million and cash and cash equivalents of $50.0 million. Also, in August 2026, we closed an underwritten public offering of our common stock with net proceeds to us of approximately $108.6 million, after deducting underwriting discounts and commissions and estimated offering expenses. See Note 11, “Subsequent events,” in “Notes to Condensed Consolidated Financial Statements” for additional information on the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our projected growth in revenue and operating results over the next twelve months, and the available cash on hand, we believe that our existing resources will be sufficient to fund operations and expected capital expenditures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we anticipate continuing to fund our business through internally generated cash flows, future capital needs may arise based on the pace of revenue growth, investment in technology, or strategic initiatives, including potential acquisitions. In such cases, we may seek to raise additional capital through the issuance of equity and/or debt securities. However, any such financing, if available, could result in dilution to existing stockholders and may involve terms that are not favorable to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did not have any off-balance sheet arrangements, as defined in Item 303 of Regulation S-K.</w:t>
      </w:r>
    </w:p>
    <w:p>
      <w:pPr>
        <w:pStyle w:val="TextBody"/>
        <w:bidi w:val="0"/>
        <w:spacing w:before="20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include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the Company’s Chief Executive Officer and Chief Financial Officer, evaluated the effectiveness of the Company’s disclosure controls and procedures (as defined in Rules 13a-15(e) and 15d–15(e) of the Exchange Act) as of June 30, 2026.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evaluation of disclosure controls and procedures (as defined in Rules 13a-15(e) and 15d-15(e) of the Exchange Act), the Company’s Chief Executive Officer and Chief Financial Officer concluded that the Company’s disclosure controls and procedures were effective as of June 30,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identified in connection with management's evaluation pursuant to Rules 13a-15(d) or 15d-15(d) of the Exchange Act during the quarter ended June 30, 2026 that materially affected, or are reasonably likely to materially affect, our internal control over financial reporting.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Limitations on Effectiveness of Controls and Procedures and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Information with respect to certain legal proceedings is included in Note 10, “Commitments and contingencies,” included in “Notes to Condensed Consolidated Financial Statements” contained in Part I, Item 1 of this Form 10-Q, and is incorporated herein by reference.</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risk factors previously disclosed in the Company’s 2025 Form 10-K.</w:t>
      </w:r>
    </w:p>
    <w:p>
      <w:pPr>
        <w:pStyle w:val="TextBody"/>
        <w:bidi w:val="0"/>
        <w:spacing w:before="20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information relating to the Company's repurchase of common stock during the three months ended June 30, 2026 pursuant to the Stock Repurchase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146"/>
        <w:gridCol w:w="236"/>
        <w:gridCol w:w="1101"/>
        <w:gridCol w:w="146"/>
        <w:gridCol w:w="146"/>
        <w:gridCol w:w="331"/>
        <w:gridCol w:w="896"/>
        <w:gridCol w:w="146"/>
        <w:gridCol w:w="146"/>
        <w:gridCol w:w="425"/>
        <w:gridCol w:w="1975"/>
        <w:gridCol w:w="146"/>
        <w:gridCol w:w="146"/>
        <w:gridCol w:w="479"/>
        <w:gridCol w:w="2355"/>
        <w:gridCol w:w="194"/>
      </w:tblGrid>
      <w:tr>
        <w:trPr/>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price paid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15,593,021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15,543,002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15,543,002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Exclusive of commission fees incurred in relation to the repurchase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 2022, the Company's Board of Directors authorized the Stock Repurchase Program to repurchase the Company's common stock from time to time through open market purchases, privately negotiated transactions or other means, including pursuant to Rule 10b5-1 trading plans, which was subsequently amended on each of December 19, 2023, March 28, 2024, and November 3, 2025, bringing the total authorization to $30.0 million. The Stock Repurchase Program does not obligate the Company to repurchase any shares and may be modified, suspended, or terminated at any time at the discretion of the Company's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three months ended June 30, 2026, the Company repurchased 11,000 shares of its common stock under the Stock Repurchase Program, pursuant to a Rule 10b5-1 trading plan. Such repurchases were made in accordance with the limitations set forth in Rule 10b-18 and applicable securities laws.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the inception of the Stock Repurchase Program and through June 30, 2026, the Company has purchased a total of $14.5 million of common stock at an average price of $22.82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pStyle w:val="TextBody"/>
        <w:bidi w:val="0"/>
        <w:spacing w:before="20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
        <w:gridCol w:w="146"/>
        <w:gridCol w:w="6031"/>
        <w:gridCol w:w="146"/>
        <w:gridCol w:w="421"/>
        <w:gridCol w:w="146"/>
        <w:gridCol w:w="409"/>
        <w:gridCol w:w="146"/>
        <w:gridCol w:w="556"/>
        <w:gridCol w:w="146"/>
        <w:gridCol w:w="570"/>
        <w:gridCol w:w="146"/>
        <w:gridCol w:w="693"/>
      </w:tblGrid>
      <w:tr>
        <w:trPr/>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w:t>
            </w:r>
          </w:p>
        </w:tc>
      </w:tr>
      <w:tr>
        <w:trPr/>
        <w:tc>
          <w:tcPr>
            <w:tcW w:w="6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Herewith</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10_1.htm">
              <w:r>
                <w:rPr>
                  <w:rStyle w:val="InternetLink"/>
                  <w:rFonts w:ascii="Times New Roman" w:hAnsi="Times New Roman"/>
                  <w:color w:val="0000FF"/>
                  <w:sz w:val="16"/>
                  <w:u w:val="single"/>
                </w:rPr>
                <w:t>Form of Director RSU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31.1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1.htm">
              <w:r>
                <w:rPr>
                  <w:rStyle w:val="InternetLink"/>
                  <w:rFonts w:ascii="Times New Roman" w:hAnsi="Times New Roman"/>
                  <w:color w:val="0000FF"/>
                  <w:sz w:val="16"/>
                  <w:u w:val="single"/>
                </w:rPr>
                <w:t>Certification of Chief Executive Officer filed pursuant to Exchange Act Rules 13a-14(a) and 15d-14(a)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X</w:t>
            </w:r>
          </w:p>
          <w:p>
            <w:pPr>
              <w:pStyle w:val="TableContents"/>
              <w:bidi w:val="0"/>
              <w:spacing w:before="0" w:after="283"/>
              <w:jc w:val="left"/>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2.htm">
              <w:r>
                <w:rPr>
                  <w:rStyle w:val="InternetLink"/>
                  <w:rFonts w:ascii="Times New Roman" w:hAnsi="Times New Roman"/>
                  <w:color w:val="0000FF"/>
                  <w:sz w:val="16"/>
                  <w:u w:val="single"/>
                </w:rPr>
                <w:t>Certification of Chief Financial Officer filed pursuant to Exchange Act Rules 13a-14(a) and 15d-14(a)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1.htm">
              <w:r>
                <w:rPr>
                  <w:rStyle w:val="InternetLink"/>
                  <w:rFonts w:ascii="Times New Roman" w:hAnsi="Times New Roman"/>
                  <w:color w:val="0000FF"/>
                  <w:sz w:val="16"/>
                  <w:u w:val="single"/>
                </w:rPr>
                <w:t>Certification by Chief Executive Officer pursuant to 18 U.S.C. Section 1350, as adopted pursuant to Section 906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2.htm">
              <w:r>
                <w:rPr>
                  <w:rStyle w:val="InternetLink"/>
                  <w:rFonts w:ascii="Times New Roman" w:hAnsi="Times New Roman"/>
                  <w:color w:val="0000FF"/>
                  <w:sz w:val="16"/>
                  <w:u w:val="single"/>
                </w:rPr>
                <w:t>Certification by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Management contract or compensatory plan or arrangement.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1471"/>
        <w:gridCol w:w="146"/>
        <w:gridCol w:w="406"/>
        <w:gridCol w:w="146"/>
        <w:gridCol w:w="3766"/>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August 10,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22" w:name="rdvt-ex10_1.htm"/>
      <w:bookmarkStart w:id="23" w:name="ksrdvtex10_1"/>
      <w:bookmarkEnd w:id="22"/>
      <w:bookmarkEnd w:id="23"/>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10.1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RESTRICTED STOCK UNIT AGREEMENT</w:t>
      </w:r>
    </w:p>
    <w:p>
      <w:pPr>
        <w:pStyle w:val="TextBody"/>
        <w:bidi w:val="0"/>
        <w:jc w:val="center"/>
        <w:rPr>
          <w:rFonts w:ascii="Times New Roman" w:hAnsi="Times New Roman"/>
          <w:b/>
          <w:color w:val="000000"/>
          <w:sz w:val="20"/>
        </w:rPr>
      </w:pPr>
      <w:r>
        <w:rPr>
          <w:rFonts w:ascii="Times New Roman" w:hAnsi="Times New Roman"/>
          <w:b/>
          <w:color w:val="000000"/>
          <w:sz w:val="20"/>
        </w:rPr>
        <w:t>PURSUANT TO THE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RED VIOLET, INC.</w:t>
        <w:br/>
        <w:t>AMENDED AND RESTATED 2018 STOCK INCENTIVE PLAN</w:t>
      </w:r>
    </w:p>
    <w:p>
      <w:pPr>
        <w:pStyle w:val="TextBody"/>
        <w:bidi w:val="0"/>
        <w:spacing w:before="0" w:after="60"/>
        <w:jc w:val="left"/>
        <w:rPr/>
      </w:pPr>
      <w:r>
        <w:rPr/>
        <w:t> </w:t>
      </w:r>
    </w:p>
    <w:p>
      <w:pPr>
        <w:pStyle w:val="TextBody"/>
        <w:bidi w:val="0"/>
        <w:jc w:val="left"/>
        <w:rPr>
          <w:rFonts w:ascii="Times New Roman" w:hAnsi="Times New Roman"/>
          <w:sz w:val="20"/>
        </w:rPr>
      </w:pPr>
      <w:r>
        <w:rPr>
          <w:rFonts w:ascii="Times New Roman" w:hAnsi="Times New Roman"/>
          <w:b/>
          <w:color w:val="000000"/>
          <w:sz w:val="20"/>
        </w:rPr>
        <w:t>THIS AGREEMENT</w:t>
      </w:r>
      <w:r>
        <w:rPr>
          <w:rFonts w:ascii="Times New Roman" w:hAnsi="Times New Roman"/>
          <w:color w:val="000000"/>
          <w:sz w:val="20"/>
        </w:rPr>
        <w:t xml:space="preserve"> (“Agreement”) is made between Red Violet, Inc. (“Company”), a Delaware corporation and the participant included in Section 1(b) below (the “Participant”). Capitalized terms not defined herein shall have the meaning ascribed thereto in the Amended and Restated Red Violet, Inc. Stock Incentive Plan (as amended from time to time, the “Plan”). This Agreement shall be effective as of the date included in Section 1(a) below (“Effective Date”).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b/>
          <w:color w:val="000000"/>
          <w:sz w:val="20"/>
          <w:u w:val="single"/>
        </w:rPr>
        <w:t>Award</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color w:val="000000"/>
          <w:sz w:val="20"/>
          <w:u w:val="single"/>
        </w:rPr>
        <w:t>Effective Date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u w:val="single"/>
        </w:rPr>
        <w:t>Participant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color w:val="000000"/>
          <w:sz w:val="20"/>
          <w:u w:val="single"/>
        </w:rPr>
        <w:t>Number of Shares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rFonts w:ascii="Times New Roman" w:hAnsi="Times New Roman"/>
          <w:color w:val="000000"/>
          <w:sz w:val="20"/>
          <w:u w:val="single"/>
        </w:rPr>
        <w:t>Shares</w:t>
      </w:r>
      <w:r>
        <w:rPr>
          <w:rFonts w:ascii="Times New Roman" w:hAnsi="Times New Roman"/>
          <w:color w:val="000000"/>
          <w:sz w:val="20"/>
        </w:rPr>
        <w:t xml:space="preserve">. Pursuant to the Plan, the Company hereby grants to the Participant the right to receive the number of shares listed in Section 1(c) (the “Number of Shares Awarded”) of the Company’s Common Stock upon the satisfaction of certain conditions (the “Restricted Stock Units”). Shares of the Company’s Common Stock shall be issued only upon vesting of the Restricted Stock Units and only upon the satisfaction of the terms and conditions set forth herein and in the Plan (such shares shall be referred to hereafter as the “Award Stock”).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pPr>
      <w:r>
        <w:rPr>
          <w:rFonts w:ascii="Times New Roman" w:hAnsi="Times New Roman"/>
          <w:color w:val="000000"/>
          <w:sz w:val="20"/>
          <w:u w:val="single"/>
        </w:rPr>
        <w:t>Plan Incorporated</w:t>
      </w:r>
      <w:r>
        <w:rPr>
          <w:rFonts w:ascii="Times New Roman" w:hAnsi="Times New Roman"/>
          <w:color w:val="000000"/>
          <w:sz w:val="20"/>
        </w:rPr>
        <w:t>. Participant acknowledges receipt of a copy of the Plan, and agrees that this Award of Restricted Stock Units shall be subject to all of the terms and conditions set forth in the Plan, including future amendments thereto, if any, pursuant to the terms thereof, which Plan is incorporated herein by reference as a part of this Agreement.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b/>
          <w:color w:val="000000"/>
          <w:sz w:val="20"/>
          <w:u w:val="single"/>
        </w:rPr>
        <w:t>Restricted Stock Units</w:t>
      </w:r>
      <w:r>
        <w:rPr>
          <w:rFonts w:ascii="Times New Roman" w:hAnsi="Times New Roman"/>
          <w:color w:val="000000"/>
          <w:sz w:val="20"/>
        </w:rPr>
        <w:t>. Participant hereby accepts the Restricted Stock Units when issued and agrees as follows: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color w:val="000000"/>
          <w:sz w:val="20"/>
          <w:u w:val="single"/>
        </w:rPr>
        <w:t>Vesting</w:t>
      </w:r>
      <w:r>
        <w:rPr>
          <w:rFonts w:ascii="Times New Roman" w:hAnsi="Times New Roman"/>
          <w:color w:val="000000"/>
          <w:sz w:val="20"/>
        </w:rPr>
        <w:t>. No Award Stock shall be issued pursuant to the unvested Restricted Stock Units. Except as otherwise provided for in the Plan and this Agreement, the Restricted Stock Units shall vest upon the earlier of ______</w:t>
      </w:r>
      <w:r>
        <w:rPr>
          <w:rFonts w:ascii="Times New Roman" w:hAnsi="Times New Roman"/>
          <w:color w:val="000000"/>
          <w:sz w:val="13"/>
        </w:rPr>
        <w:t>1</w:t>
      </w:r>
      <w:r>
        <w:rPr>
          <w:color w:val="000000"/>
        </w:rPr>
        <w:t xml:space="preserve"> </w:t>
      </w:r>
      <w:r>
        <w:rPr>
          <w:rFonts w:ascii="Times New Roman" w:hAnsi="Times New Roman"/>
          <w:color w:val="000000"/>
          <w:sz w:val="20"/>
        </w:rPr>
        <w:t>or the _____</w:t>
      </w:r>
      <w:r>
        <w:rPr>
          <w:rFonts w:ascii="Times New Roman" w:hAnsi="Times New Roman"/>
          <w:color w:val="000000"/>
          <w:sz w:val="13"/>
        </w:rPr>
        <w:t>2</w:t>
      </w:r>
      <w:r>
        <w:rPr>
          <w:color w:val="000000"/>
        </w:rPr>
        <w:t xml:space="preserve"> </w:t>
      </w:r>
      <w:r>
        <w:rPr>
          <w:rFonts w:ascii="Times New Roman" w:hAnsi="Times New Roman"/>
          <w:color w:val="000000"/>
          <w:sz w:val="20"/>
        </w:rPr>
        <w:t>Annual Meeting of Stockholders (the “Vesting Date”). Except as otherwise provided herein, there shall be no proportionate or partial vesting in the periods between the Effective Date and the Vesting Date and all vesting shall occur only on the aforementioned Vesting Date.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u w:val="single"/>
        </w:rPr>
        <w:t>Termination of Employment or Other Service; Change in Control</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pPr>
      <w:r>
        <w:rPr>
          <w:rFonts w:ascii="Times New Roman" w:hAnsi="Times New Roman"/>
          <w:color w:val="000000"/>
          <w:sz w:val="20"/>
          <w:u w:val="single"/>
        </w:rPr>
        <w:t>General</w:t>
      </w:r>
      <w:r>
        <w:rPr>
          <w:rFonts w:ascii="Times New Roman" w:hAnsi="Times New Roman"/>
          <w:color w:val="000000"/>
          <w:sz w:val="20"/>
        </w:rPr>
        <w:t>. Except as otherwise provided in this Agreement, if Participant’s employment or other service with the Company terminates, all Restricted Stock Units unvested at the time of termination shall expire and be forfeited immediately and returned to the Company.</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pPr>
      <w:r>
        <w:rPr>
          <w:rFonts w:ascii="Times New Roman" w:hAnsi="Times New Roman"/>
          <w:color w:val="000000"/>
          <w:sz w:val="20"/>
          <w:u w:val="single"/>
        </w:rPr>
        <w:t>Death</w:t>
      </w:r>
      <w:r>
        <w:rPr>
          <w:rFonts w:ascii="Times New Roman" w:hAnsi="Times New Roman"/>
          <w:color w:val="000000"/>
          <w:sz w:val="20"/>
        </w:rPr>
        <w:t>. In the event that the Participant dies while in the employment or other service of the Company, all Restricted Stock Units which have not vested on the date of death shall immediately vest.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left"/>
        <w:rPr/>
      </w:pPr>
      <w:r>
        <w:rPr>
          <w:rFonts w:ascii="Times New Roman" w:hAnsi="Times New Roman"/>
          <w:color w:val="000000"/>
          <w:sz w:val="20"/>
          <w:u w:val="single"/>
        </w:rPr>
        <w:t>Disability</w:t>
      </w:r>
      <w:r>
        <w:rPr>
          <w:rFonts w:ascii="Times New Roman" w:hAnsi="Times New Roman"/>
          <w:color w:val="000000"/>
          <w:sz w:val="20"/>
        </w:rPr>
        <w:t>. In the event that the Participant’s employment or other service with the Company is terminated by reason of Disability, the Committee may, in its sole discretion, provide that Restricted Stock Units which have not vested on the date of such termination shall immediately vest.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One year from the Effective Date to be inserted.</w:t>
      </w:r>
    </w:p>
    <w:p>
      <w:pPr>
        <w:pStyle w:val="TextBody"/>
        <w:bidi w:val="0"/>
        <w:jc w:val="left"/>
        <w:rPr>
          <w:rFonts w:ascii="Times New Roman" w:hAnsi="Times New Roman"/>
          <w:sz w:val="20"/>
        </w:rPr>
      </w:pPr>
      <w:r>
        <w:rPr>
          <w:rFonts w:ascii="Times New Roman" w:hAnsi="Times New Roman"/>
          <w:color w:val="000000"/>
          <w:sz w:val="16"/>
        </w:rPr>
        <w:t>2</w:t>
      </w:r>
      <w:r>
        <w:rPr>
          <w:rFonts w:ascii="Times New Roman" w:hAnsi="Times New Roman"/>
          <w:color w:val="000000"/>
          <w:sz w:val="20"/>
        </w:rPr>
        <w:t xml:space="preserve"> Year of next Annual Meeting of Stockholders to be inserted.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(iv)</w:t>
      </w:r>
    </w:p>
    <w:p>
      <w:pPr>
        <w:pStyle w:val="TextBody"/>
        <w:bidi w:val="0"/>
        <w:jc w:val="left"/>
        <w:rPr/>
      </w:pPr>
      <w:r>
        <w:rPr>
          <w:rFonts w:ascii="Times New Roman" w:hAnsi="Times New Roman"/>
          <w:color w:val="000000"/>
          <w:sz w:val="20"/>
          <w:u w:val="single"/>
        </w:rPr>
        <w:t>Change in Control</w:t>
      </w:r>
      <w:r>
        <w:rPr>
          <w:rFonts w:ascii="Times New Roman" w:hAnsi="Times New Roman"/>
          <w:color w:val="000000"/>
          <w:sz w:val="20"/>
        </w:rPr>
        <w:t xml:space="preserve">. In the event of a Change in Control, all Restricted Stock Units which have not vested on the date of such Change in Control shall immediately vest; provided however, if the Change in Control occurs prior to the one year anniversary of the Participant’s appointment to the Company’s Board of Directors, then the number of shares vested in the event of a Change in Control shall equal the Number of Shares Awarded multiplied by a fraction, the numerator of which is equal to the number of days between the Effective Date and the date of the Change in Control and the denominator of which is equal to the number of days between the Effective Date and the Vesting Date. After such calculation, any fractional share will be rounded to the next whole number. </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color w:val="000000"/>
          <w:sz w:val="20"/>
          <w:u w:val="single"/>
        </w:rPr>
        <w:t>Transferability</w:t>
      </w:r>
      <w:r>
        <w:rPr>
          <w:rFonts w:ascii="Times New Roman" w:hAnsi="Times New Roman"/>
          <w:color w:val="000000"/>
          <w:sz w:val="20"/>
        </w:rPr>
        <w:t xml:space="preserve">. The Restricted Stock Units may not be sold, assigned, pledged, exchanged, hypothecated or otherwise transferred, encumbered or disposed of unless the Plan so provides.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rFonts w:ascii="Times New Roman" w:hAnsi="Times New Roman"/>
          <w:color w:val="000000"/>
          <w:sz w:val="20"/>
          <w:u w:val="single"/>
        </w:rPr>
        <w:t>Distribution</w:t>
      </w:r>
      <w:r>
        <w:rPr>
          <w:rFonts w:ascii="Times New Roman" w:hAnsi="Times New Roman"/>
          <w:color w:val="000000"/>
          <w:sz w:val="20"/>
        </w:rPr>
        <w:t>. The Company shall deliver a certificate evidencing shares of Award Stock to the Participant or direct its transfer agent to register such shares in book entry form, within thirty (30) days following the satisfaction of the vesting requirements.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b/>
          <w:color w:val="000000"/>
          <w:sz w:val="20"/>
          <w:u w:val="single"/>
        </w:rPr>
        <w:t>Distribution; Deferral</w:t>
      </w:r>
      <w:r>
        <w:rPr>
          <w:rFonts w:ascii="Times New Roman" w:hAnsi="Times New Roman"/>
          <w:color w:val="000000"/>
          <w:sz w:val="20"/>
        </w:rPr>
        <w:t>. Unless otherwise provided in the Restricted Stock Unit Deferral Election Form attached hereto as Appendix A, the Company shall deliver a certificate evidencing shares of Award Stock to the Participant or direct its transfer agent to register such shares in book entry form, within thirty (30) days following the satisfaction of the vesting requirements. For the Restricted Stock Unit Deferral Election Form to be effective, it must be received by the Company on the Effective Date.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b/>
          <w:color w:val="000000"/>
          <w:sz w:val="20"/>
          <w:u w:val="single"/>
        </w:rPr>
        <w:t>Status as a Shareholder</w:t>
      </w:r>
      <w:r>
        <w:rPr>
          <w:rFonts w:ascii="Times New Roman" w:hAnsi="Times New Roman"/>
          <w:color w:val="000000"/>
          <w:sz w:val="20"/>
        </w:rPr>
        <w:t>. Unless otherwise provided in the Plan, Participant shall have no rights of a shareholder with respect to the Restricted Stock Units until the Award Stock is issued to him or her pursuant to Section 2 above.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rFonts w:ascii="Times New Roman" w:hAnsi="Times New Roman"/>
          <w:b/>
          <w:color w:val="000000"/>
          <w:sz w:val="20"/>
          <w:u w:val="single"/>
        </w:rPr>
        <w:t>Committee’s Powers</w:t>
      </w:r>
      <w:r>
        <w:rPr>
          <w:rFonts w:ascii="Times New Roman" w:hAnsi="Times New Roman"/>
          <w:color w:val="000000"/>
          <w:sz w:val="20"/>
        </w:rPr>
        <w:t>. No provision contained in this Agreement shall in any way terminate, modify or alter, or be construed or interpreted as terminating, modifying or altering any of the powers, rights or authority vested in the Committee or, to the extent delegated, in its delegate pursuant to the terms of the Plan or resolutions adopted in furtherance of the Plan, including, without limitation, the right to make certain determinations and elections with respect to the Restricted Stock Units.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rFonts w:ascii="Times New Roman" w:hAnsi="Times New Roman"/>
          <w:b/>
          <w:color w:val="000000"/>
          <w:sz w:val="20"/>
          <w:u w:val="single"/>
        </w:rPr>
        <w:t>Binding Effect</w:t>
      </w:r>
      <w:r>
        <w:rPr>
          <w:rFonts w:ascii="Times New Roman" w:hAnsi="Times New Roman"/>
          <w:color w:val="000000"/>
          <w:sz w:val="20"/>
        </w:rPr>
        <w:t>. This Agreement shall be binding upon and inure to the benefit of any successors to the Company and all persons lawfully claiming under Participant.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pPr>
      <w:r>
        <w:rPr>
          <w:rFonts w:ascii="Times New Roman" w:hAnsi="Times New Roman"/>
          <w:b/>
          <w:color w:val="000000"/>
          <w:sz w:val="20"/>
          <w:u w:val="single"/>
        </w:rPr>
        <w:t>Governing Law</w:t>
      </w:r>
      <w:r>
        <w:rPr>
          <w:rFonts w:ascii="Times New Roman" w:hAnsi="Times New Roman"/>
          <w:color w:val="000000"/>
          <w:sz w:val="20"/>
        </w:rPr>
        <w:t>. This Agreement shall be governed by, and construed in accordance with, the laws of the State of Delaware.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rFonts w:ascii="Times New Roman" w:hAnsi="Times New Roman"/>
          <w:b/>
          <w:color w:val="000000"/>
          <w:sz w:val="20"/>
          <w:u w:val="single"/>
        </w:rPr>
        <w:t>Miscellaneous</w:t>
      </w: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Provisions of Plan and Other Agreements Control</w:t>
      </w:r>
      <w:r>
        <w:rPr>
          <w:rFonts w:ascii="Times New Roman" w:hAnsi="Times New Roman"/>
          <w:color w:val="000000"/>
          <w:sz w:val="20"/>
        </w:rPr>
        <w:t xml:space="preserve">. This Agreement is subject to all the terms, conditions and provisions of the Plan, including, without limitation, the amendment provisions thereof, and to such rules, regulations and interpretations relating to the Plan as may be adopted by the Board and as may be in effect from time to time. The Plan is incorporated herein by reference. If and to the extent that this Agreement conflicts or is inconsistent with the terms, conditions and provisions of the Plan, the Plan shall control, and this Agreement shall be deemed to be modified accordingly.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No Third</w:t>
        <w:noBreakHyphen/>
        <w:t>Party Beneficiaries</w:t>
      </w:r>
      <w:r>
        <w:rPr>
          <w:rFonts w:ascii="Times New Roman" w:hAnsi="Times New Roman"/>
          <w:color w:val="000000"/>
          <w:sz w:val="20"/>
        </w:rPr>
        <w:t>. This Agreement shall not confer any rights or remedies upon any person other than the parties and their respective successors and permitted assigns.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Entire Agreement; Amendments</w:t>
      </w:r>
      <w:r>
        <w:rPr>
          <w:rFonts w:ascii="Times New Roman" w:hAnsi="Times New Roman"/>
          <w:color w:val="000000"/>
          <w:sz w:val="20"/>
        </w:rPr>
        <w:t>. This Agreement (including the documents and exhibits referred to herein) and the Plan constitute the entire agreement among the parties and supersedes any prior understandings, agreements, or representations by or among the parties, written or oral, that may have related in any way to the subject matter hereof. This Agreement may not be amended, supplemented, or modified in whole or in part except by an instrument in writing signed by the party or parties against whom enforcement of any such amendment, supplement, or modification is sought.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each of which will be deemed an original and all of which together will constitute one and the same instrument.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 Page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Company has caused this Agreement to be duly executed by an officer thereunto duly authorized, and the Participant has executed this Agreement, all as of the date first above written.</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Red Violet,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Derek Dubner, Chief Executive Officer</w:t>
      </w:r>
    </w:p>
    <w:p>
      <w:pPr>
        <w:pStyle w:val="TextBody"/>
        <w:bidi w:val="0"/>
        <w:jc w:val="both"/>
        <w:rPr>
          <w:rFonts w:ascii="Times New Roman" w:hAnsi="Times New Roman"/>
          <w:color w:val="000000"/>
          <w:sz w:val="20"/>
        </w:rPr>
      </w:pPr>
      <w:r>
        <w:rPr>
          <w:rFonts w:ascii="Times New Roman" w:hAnsi="Times New Roman"/>
          <w:color w:val="000000"/>
          <w:sz w:val="20"/>
        </w:rPr>
        <w:t xml:space="preserve">Date: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PARTICIPANT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APPENDIX A:</w:t>
      </w:r>
    </w:p>
    <w:p>
      <w:pPr>
        <w:pStyle w:val="Heading1"/>
        <w:bidi w:val="0"/>
        <w:jc w:val="center"/>
        <w:rPr>
          <w:rFonts w:ascii="Times New Roman" w:hAnsi="Times New Roman"/>
          <w:color w:val="000000"/>
          <w:sz w:val="20"/>
        </w:rPr>
      </w:pPr>
      <w:r>
        <w:rPr>
          <w:rFonts w:ascii="Times New Roman" w:hAnsi="Times New Roman"/>
          <w:color w:val="000000"/>
          <w:sz w:val="20"/>
        </w:rPr>
        <w:t xml:space="preserve">AMENDED AND RESTATED 2018 STOCK INCENTIVE PLAN </w:t>
      </w:r>
    </w:p>
    <w:p>
      <w:pPr>
        <w:pStyle w:val="Heading1"/>
        <w:bidi w:val="0"/>
        <w:jc w:val="center"/>
        <w:rPr>
          <w:rFonts w:ascii="Times New Roman" w:hAnsi="Times New Roman"/>
          <w:color w:val="000000"/>
          <w:sz w:val="20"/>
        </w:rPr>
      </w:pPr>
      <w:r>
        <w:rPr>
          <w:rFonts w:ascii="Times New Roman" w:hAnsi="Times New Roman"/>
          <w:color w:val="000000"/>
          <w:sz w:val="20"/>
        </w:rPr>
        <w:t>RESTRICTED STOCK UNIT</w:t>
      </w:r>
    </w:p>
    <w:p>
      <w:pPr>
        <w:pStyle w:val="Heading1"/>
        <w:bidi w:val="0"/>
        <w:jc w:val="center"/>
        <w:rPr>
          <w:rFonts w:ascii="Times New Roman" w:hAnsi="Times New Roman"/>
          <w:sz w:val="20"/>
        </w:rPr>
      </w:pPr>
      <w:r>
        <w:rPr>
          <w:rFonts w:ascii="Times New Roman" w:hAnsi="Times New Roman"/>
          <w:color w:val="000000"/>
          <w:sz w:val="20"/>
        </w:rPr>
        <w:t>DEFERRAL ELECTION FORM(</w:t>
      </w:r>
      <w:r>
        <w:rPr>
          <w:rFonts w:ascii="Cambria;serif" w:hAnsi="Cambria;serif"/>
          <w:b w:val="false"/>
          <w:color w:val="000000"/>
          <w:sz w:val="20"/>
        </w:rPr>
        <w:t>3</w:t>
      </w:r>
      <w:r>
        <w:rPr>
          <w:rFonts w:ascii="Times New Roman" w:hAnsi="Times New Roman"/>
          <w:color w:val="000000"/>
          <w:sz w:val="20"/>
        </w:rPr>
        <w:t>)</w:t>
      </w:r>
    </w:p>
    <w:p>
      <w:pPr>
        <w:pStyle w:val="TextBody"/>
        <w:bidi w:val="0"/>
        <w:spacing w:before="240" w:after="60"/>
        <w:jc w:val="center"/>
        <w:rPr>
          <w:rFonts w:ascii="Times New Roman" w:hAnsi="Times New Roman"/>
          <w:color w:val="FF0000"/>
          <w:sz w:val="20"/>
        </w:rPr>
      </w:pPr>
      <w:r>
        <w:rPr>
          <w:rFonts w:ascii="Times New Roman" w:hAnsi="Times New Roman"/>
          <w:color w:val="FF0000"/>
          <w:sz w:val="20"/>
        </w:rPr>
        <w:t>FOR THIS DEFERRAL ELECTION TO BE EFFECTIVE, IT MUST BE RECEIVED BY THE COMPANY ON THE EFFECTIVE DATE.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PARTICIPANT INFORMATION</w:t>
      </w:r>
    </w:p>
    <w:p>
      <w:pPr>
        <w:pStyle w:val="TextBody"/>
        <w:bidi w:val="0"/>
        <w:jc w:val="left"/>
        <w:rPr>
          <w:rFonts w:ascii="Times New Roman" w:hAnsi="Times New Roman"/>
          <w:b/>
          <w:color w:val="000000"/>
          <w:sz w:val="20"/>
        </w:rPr>
      </w:pPr>
      <w:r>
        <w:rPr>
          <w:rFonts w:ascii="Times New Roman" w:hAnsi="Times New Roman"/>
          <w:b/>
          <w:color w:val="000000"/>
          <w:sz w:val="20"/>
        </w:rPr>
        <w:t xml:space="preserve">Name: </w:t>
      </w:r>
    </w:p>
    <w:p>
      <w:pPr>
        <w:pStyle w:val="TextBody"/>
        <w:bidi w:val="0"/>
        <w:jc w:val="left"/>
        <w:rPr>
          <w:rFonts w:ascii="Times New Roman" w:hAnsi="Times New Roman"/>
          <w:b/>
          <w:color w:val="000000"/>
          <w:sz w:val="20"/>
        </w:rPr>
      </w:pPr>
      <w:r>
        <w:rPr>
          <w:rFonts w:ascii="Times New Roman" w:hAnsi="Times New Roman"/>
          <w:b/>
          <w:color w:val="000000"/>
          <w:sz w:val="20"/>
        </w:rPr>
        <w:t xml:space="preserve">Address: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DEFERRAL ELECTION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each share of Common Stock to be issued to me pursuant to the Restricted Stock Unit Award Agreement effective _________, I hereby irrevocably elect to defer the receipt of such Common Stock as set forth below.</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 xml:space="preserve">STOCK ISSUANCE 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Restricted Stock Units vest under your Award, the Company will issue you shares of Common Stock with respect to such vested Restricted Stock Units within thirty (30) days following the satisfaction of such vesting requirements, unless you timely elect to receive the shares at a different time. If you elect a different date, Common Stock will generally be issued to you on such date but only to the extent your Restricted Stock Units are vested and additional shares of Common Stock (if any) will be issued to you when any remaining Restricted Stock Units vest.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hereby elect to receive my shares of Common Stock on the earlier of (check all that apply):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 _________________________________, 20____; (enter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 my death;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3.  my Disability (as defined in the Plan);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 a Change in Control (as defined in the Plan); and/or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 my “separation from service” (as defined in Code Section 409A) with the Company, if applicable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extent you are a “specified employee” for purposes of Code Section 409A and to the extent Section 409A is applicable to deferral of receipt of Common Stock pursuant to this Deferral Election Form (the “Form”), notwithstanding any contrary provision which exists in the Plan or the Agreement, your distribution will be delayed for a period of 6 months as required by Code Section 409A.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This Form is subject to all the terms, conditions and provisions of the Plan and the Agreement including, without limitation, the amendment provisions thereof. The Plan and the Agreement are incorporated herein by reference. If and to the extent that this Form conflicts or is inconsistent with the terms, conditions and provisions of the Plan or the Agreement, the Plan and the Agreement shall control, and this Form shall be deemed to be modified accordingly.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extBody"/>
        <w:bidi w:val="0"/>
        <w:jc w:val="both"/>
        <w:rPr>
          <w:rFonts w:ascii="Times New Roman" w:hAnsi="Times New Roman"/>
          <w:color w:val="000000"/>
          <w:sz w:val="20"/>
        </w:rPr>
      </w:pPr>
      <w:r>
        <w:rPr>
          <w:rFonts w:ascii="Times New Roman" w:hAnsi="Times New Roman"/>
          <w:color w:val="000000"/>
          <w:sz w:val="20"/>
        </w:rPr>
        <w:t>Date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Capitalized terms not defined herein shall have the meaning ascribed thereto in the Red Violet, Inc. 2018 Stock Incentive Plan (as amended to date, the “Plan”).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INSTRUCTIONS FOR</w:t>
      </w:r>
    </w:p>
    <w:p>
      <w:pPr>
        <w:pStyle w:val="TextBody"/>
        <w:bidi w:val="0"/>
        <w:jc w:val="center"/>
        <w:rPr>
          <w:rFonts w:ascii="Times New Roman" w:hAnsi="Times New Roman"/>
          <w:b/>
          <w:color w:val="000000"/>
          <w:sz w:val="20"/>
        </w:rPr>
      </w:pPr>
      <w:r>
        <w:rPr>
          <w:rFonts w:ascii="Times New Roman" w:hAnsi="Times New Roman"/>
          <w:b/>
          <w:color w:val="000000"/>
          <w:sz w:val="20"/>
        </w:rPr>
        <w:t>RED VIOLET, INC. 2018 STOCK INCENTIVE PLAN</w:t>
      </w:r>
    </w:p>
    <w:p>
      <w:pPr>
        <w:pStyle w:val="TextBody"/>
        <w:bidi w:val="0"/>
        <w:jc w:val="center"/>
        <w:rPr>
          <w:rFonts w:ascii="Times New Roman" w:hAnsi="Times New Roman"/>
          <w:b/>
          <w:color w:val="000000"/>
          <w:sz w:val="20"/>
        </w:rPr>
      </w:pPr>
      <w:r>
        <w:rPr>
          <w:rFonts w:ascii="Times New Roman" w:hAnsi="Times New Roman"/>
          <w:b/>
          <w:color w:val="000000"/>
          <w:sz w:val="20"/>
        </w:rPr>
        <w:t>DEFERRAL ELECTION FORM</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Form is to be used to defer receipt of shares of Common Stock that are issuable under the Plan in connection with Restricted Stock Units. The following instructions provide more information about the Form.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 PARTICIPANT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complete all items.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 DEFERRAL ELECTION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identify the Restricted Stock Units subject to this Form.</w:t>
      </w:r>
    </w:p>
    <w:p>
      <w:pPr>
        <w:pStyle w:val="TextBody"/>
        <w:bidi w:val="0"/>
        <w:spacing w:before="0" w:after="240"/>
        <w:jc w:val="left"/>
        <w:rPr>
          <w:rFonts w:ascii="Times New Roman" w:hAnsi="Times New Roman"/>
          <w:sz w:val="20"/>
        </w:rPr>
      </w:pPr>
      <w:r>
        <w:rPr>
          <w:rFonts w:ascii="Times New Roman" w:hAnsi="Times New Roman"/>
          <w:b/>
          <w:color w:val="000000"/>
          <w:sz w:val="20"/>
        </w:rPr>
        <w:t>C. STOCK ISSUANCE DATE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may elect the timing of the issuance of your Common Stock to be issued pursuant to the Restricted Stock Units by checking the first box and inserting a specific date in the future that you want such Common Stock issued to you. If you make such an election, you shall be issued Common Stock with respect to any Restricted Stock Units that are vested on the date you elect and shall receive any remaining shares of Common Stock with respect to any other Restricted Stock Units when they vest. Notwithstanding the date you elect to receive your shares of Common Stock, you may choose by checking the corresponding boxes to receive shares of Common Stock corresponding to any vested Restricted Stock Units earlier if and upon occurrence of any of the following events to the extent selected: (1) your death; (2) your Disability; or (3) a Change in Control. If you make no election, the Company will issue you shares of Common Stock with respect to Restricted Stock Units within thirty (30) days following the satisfaction of such vesting requirements.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rdvt-ex31_1.htm"/>
      <w:bookmarkStart w:id="25" w:name="ksrdvt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Derek Dubner,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99" w:type="dxa"/>
        <w:jc w:val="left"/>
        <w:tblInd w:w="0" w:type="dxa"/>
        <w:tblLayout w:type="fixed"/>
        <w:tblCellMar>
          <w:top w:w="28" w:type="dxa"/>
          <w:left w:w="28" w:type="dxa"/>
          <w:bottom w:w="28" w:type="dxa"/>
          <w:right w:w="28" w:type="dxa"/>
        </w:tblCellMar>
      </w:tblPr>
      <w:tblGrid>
        <w:gridCol w:w="1471"/>
        <w:gridCol w:w="406"/>
        <w:gridCol w:w="146"/>
        <w:gridCol w:w="247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rdvt-ex31_2.htm"/>
      <w:bookmarkStart w:id="27" w:name="ksrdvt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Daniel MacLachlan,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1471"/>
        <w:gridCol w:w="406"/>
        <w:gridCol w:w="146"/>
        <w:gridCol w:w="376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dvt-ex32_1.htm"/>
      <w:bookmarkStart w:id="29" w:name="ksrdvt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June 30, 2026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4499" w:type="dxa"/>
        <w:jc w:val="left"/>
        <w:tblInd w:w="0" w:type="dxa"/>
        <w:tblLayout w:type="fixed"/>
        <w:tblCellMar>
          <w:top w:w="28" w:type="dxa"/>
          <w:left w:w="28" w:type="dxa"/>
          <w:bottom w:w="28" w:type="dxa"/>
          <w:right w:w="28" w:type="dxa"/>
        </w:tblCellMar>
      </w:tblPr>
      <w:tblGrid>
        <w:gridCol w:w="1471"/>
        <w:gridCol w:w="406"/>
        <w:gridCol w:w="146"/>
        <w:gridCol w:w="247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rdvt-ex32_2.htm"/>
      <w:bookmarkStart w:id="31" w:name="ksrdvtex32_2"/>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June 30, 2026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1471"/>
        <w:gridCol w:w="406"/>
        <w:gridCol w:w="146"/>
        <w:gridCol w:w="376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18171</Words>
  <Characters>99099</Characters>
  <CharactersWithSpaces>118054</CharactersWithSpaces>
  <Paragraphs>4945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