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66" w:lineRule="exact"/>
        <w:rPr>
          <w:rFonts w:ascii="MS PGothic" w:cs="MS PGothic" w:eastAsia="MS PGothic" w:hAnsi="MS PGothic"/>
          <w:sz w:val="21"/>
          <w:szCs w:val="21"/>
          <w:color w:val="auto"/>
          <w:highlight w:val="black"/>
        </w:rPr>
      </w:pPr>
    </w:p>
    <w:p>
      <w:pPr>
        <w:spacing w:after="0"/>
        <w:rPr>
          <w:rFonts w:ascii="MS PGothic" w:cs="MS PGothic" w:eastAsia="MS PGothic" w:hAnsi="MS PGothic"/>
          <w:sz w:val="21"/>
          <w:szCs w:val="21"/>
          <w:color w:val="auto"/>
          <w:highlight w:val="black"/>
        </w:rPr>
      </w:pPr>
      <w:r>
        <w:rPr>
          <w:rFonts w:ascii="Times New Roman" w:cs="Times New Roman" w:eastAsia="Times New Roman" w:hAnsi="Times New Roman"/>
          <w:sz w:val="18"/>
          <w:szCs w:val="18"/>
          <w:b w:val="1"/>
          <w:bCs w:val="1"/>
          <w:color w:val="auto"/>
        </w:rPr>
        <w:t>For the quarterly period ended June 30, 2022</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9"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1"/>
          <w:szCs w:val="21"/>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69" w:lineRule="exact"/>
        <w:rPr>
          <w:sz w:val="24"/>
          <w:szCs w:val="24"/>
          <w:color w:val="auto"/>
        </w:rPr>
      </w:pPr>
    </w:p>
    <w:p>
      <w:pPr>
        <w:spacing w:after="0"/>
        <w:tabs>
          <w:tab w:leader="none" w:pos="32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1510030</wp:posOffset>
            </wp:positionH>
            <wp:positionV relativeFrom="paragraph">
              <wp:posOffset>-6350</wp:posOffset>
            </wp:positionV>
            <wp:extent cx="542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2925" cy="8255"/>
                    </a:xfrm>
                    <a:prstGeom prst="rect">
                      <a:avLst/>
                    </a:prstGeom>
                    <a:noFill/>
                  </pic:spPr>
                </pic:pic>
              </a:graphicData>
            </a:graphic>
          </wp:anchor>
        </w:drawing>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RED VIOLET,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82-2408531</w:t>
      </w:r>
    </w:p>
    <w:p>
      <w:pPr>
        <w:spacing w:after="0" w:line="59" w:lineRule="exact"/>
        <w:rPr>
          <w:sz w:val="24"/>
          <w:szCs w:val="24"/>
          <w:color w:val="auto"/>
        </w:rPr>
      </w:pPr>
    </w:p>
    <w:p>
      <w:pPr>
        <w:sectPr>
          <w:pgSz w:w="11900" w:h="16838" w:orient="portrait"/>
          <w:cols w:equalWidth="0" w:num="2">
            <w:col w:w="7340" w:space="720"/>
            <w:col w:w="3180"/>
          </w:cols>
          <w:pgMar w:left="320" w:top="759" w:right="339"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2">
            <w:col w:w="6680" w:space="720"/>
            <w:col w:w="3840"/>
          </w:cols>
          <w:pgMar w:left="320" w:top="759" w:right="339" w:bottom="1440" w:gutter="0" w:footer="0" w:header="0"/>
          <w:type w:val="continuous"/>
        </w:sectPr>
      </w:pP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2650 North Military Trail, Suite 300, Boca Raton, Florida 33431</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 757-4000</w:t>
      </w: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142240</wp:posOffset>
            </wp:positionV>
            <wp:extent cx="22542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9" w:lineRule="exact"/>
        <w:rPr>
          <w:sz w:val="24"/>
          <w:szCs w:val="24"/>
          <w:color w:val="auto"/>
        </w:rPr>
      </w:pPr>
    </w:p>
    <w:tbl>
      <w:tblPr>
        <w:tblLayout w:type="fixed"/>
        <w:tblInd w:w="10" w:type="dxa"/>
        <w:tblCellMar>
          <w:top w:w="0" w:type="dxa"/>
          <w:left w:w="0" w:type="dxa"/>
          <w:bottom w:w="0" w:type="dxa"/>
          <w:right w:w="0" w:type="dxa"/>
        </w:tblCellMar>
      </w:tblPr>
      <w:tr>
        <w:trPr>
          <w:trHeight w:val="219"/>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Trading Symbol (s)</w:t>
            </w:r>
          </w:p>
        </w:tc>
        <w:tc>
          <w:tcPr>
            <w:tcW w:w="3740" w:type="dxa"/>
            <w:vAlign w:val="bottom"/>
            <w:tcBorders>
              <w:top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95"/>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RDVT</w:t>
            </w:r>
          </w:p>
        </w:tc>
        <w:tc>
          <w:tcPr>
            <w:tcW w:w="3740" w:type="dxa"/>
            <w:vAlign w:val="bottom"/>
            <w:tcBorders>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w:t>
      </w:r>
    </w:p>
    <w:p>
      <w:pPr>
        <w:spacing w:after="0" w:line="2" w:lineRule="exact"/>
        <w:rPr>
          <w:sz w:val="24"/>
          <w:szCs w:val="24"/>
          <w:color w:val="auto"/>
        </w:rPr>
      </w:pPr>
    </w:p>
    <w:p>
      <w:pPr>
        <w:ind w:right="460"/>
        <w:spacing w:after="0" w:line="205" w:lineRule="exact"/>
        <w:rPr>
          <w:sz w:val="20"/>
          <w:szCs w:val="20"/>
          <w:color w:val="auto"/>
        </w:rPr>
      </w:pPr>
      <w:r>
        <w:rPr>
          <w:rFonts w:ascii="Times New Roman" w:cs="Times New Roman" w:eastAsia="Times New Roman" w:hAnsi="Times New Roman"/>
          <w:sz w:val="18"/>
          <w:szCs w:val="18"/>
          <w:color w:val="auto"/>
        </w:rPr>
        <w:t xml:space="preserve">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44" w:lineRule="exact"/>
        <w:rPr>
          <w:sz w:val="24"/>
          <w:szCs w:val="24"/>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77" w:lineRule="exact"/>
        <w:rPr>
          <w:sz w:val="24"/>
          <w:szCs w:val="24"/>
          <w:color w:val="auto"/>
        </w:rPr>
      </w:pPr>
    </w:p>
    <w:p>
      <w:pPr>
        <w:ind w:right="320"/>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p>
      <w:pPr>
        <w:spacing w:after="0" w:line="163" w:lineRule="exact"/>
        <w:rPr>
          <w:sz w:val="24"/>
          <w:szCs w:val="24"/>
          <w:color w:val="auto"/>
        </w:rPr>
      </w:pPr>
    </w:p>
    <w:tbl>
      <w:tblPr>
        <w:tblLayout w:type="fixed"/>
        <w:tblInd w:w="40" w:type="dxa"/>
        <w:tblCellMar>
          <w:top w:w="0" w:type="dxa"/>
          <w:left w:w="0" w:type="dxa"/>
          <w:bottom w:w="0" w:type="dxa"/>
          <w:right w:w="0" w:type="dxa"/>
        </w:tblCellMar>
      </w:tblPr>
      <w:tr>
        <w:trPr>
          <w:trHeight w:val="24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2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9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6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right="1600"/>
        <w:spacing w:after="0" w:line="28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5, 2022, the registrant had 13,717,098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810895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 FOR FORM 10-Q</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10060" w:type="dxa"/>
            <w:vAlign w:val="bottom"/>
            <w:gridSpan w:val="21"/>
            <w:vMerge w:val="restart"/>
          </w:tcPr>
          <w:p>
            <w:pPr>
              <w:ind w:left="20"/>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8"/>
        </w:trPr>
        <w:tc>
          <w:tcPr>
            <w:tcW w:w="10060" w:type="dxa"/>
            <w:vAlign w:val="bottom"/>
            <w:gridSpan w:val="21"/>
            <w:vMerge w:val="continue"/>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9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spacing w:after="0"/>
              <w:rPr>
                <w:sz w:val="19"/>
                <w:szCs w:val="19"/>
                <w:color w:val="auto"/>
              </w:rPr>
            </w:pPr>
          </w:p>
        </w:tc>
        <w:tc>
          <w:tcPr>
            <w:tcW w:w="60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June 30, 2022 and December 31, 2021</w:t>
            </w:r>
          </w:p>
        </w:tc>
        <w:tc>
          <w:tcPr>
            <w:tcW w:w="2900" w:type="dxa"/>
            <w:vAlign w:val="bottom"/>
            <w:gridSpan w:val="4"/>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78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six months ended June 30, 2022 and 2021</w:t>
            </w:r>
          </w:p>
        </w:tc>
        <w:tc>
          <w:tcPr>
            <w:tcW w:w="10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89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shareholders' equity for the three and six months ended June 30, 2022 and</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32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83"/>
              </w:rPr>
              <w:t>2021</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71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June 30, 2022 and 2021</w:t>
            </w:r>
          </w:p>
        </w:tc>
        <w:tc>
          <w:tcPr>
            <w:tcW w:w="1780" w:type="dxa"/>
            <w:vAlign w:val="bottom"/>
            <w:gridSpan w:val="2"/>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38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Notes to condensed consolidated financial statements</w:t>
            </w:r>
          </w:p>
        </w:tc>
        <w:tc>
          <w:tcPr>
            <w:tcW w:w="20" w:type="dxa"/>
            <w:vAlign w:val="bottom"/>
            <w:tcBorders>
              <w:bottom w:val="single" w:sz="8" w:color="0000EE"/>
            </w:tcBorders>
          </w:tcPr>
          <w:p>
            <w:pPr>
              <w:spacing w:after="0"/>
              <w:rPr>
                <w:sz w:val="19"/>
                <w:szCs w:val="19"/>
                <w:color w:val="auto"/>
              </w:rPr>
            </w:pPr>
          </w:p>
        </w:tc>
        <w:tc>
          <w:tcPr>
            <w:tcW w:w="5100" w:type="dxa"/>
            <w:vAlign w:val="bottom"/>
            <w:gridSpan w:val="7"/>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9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gridSpan w:val="2"/>
          </w:tcPr>
          <w:p>
            <w:pPr>
              <w:spacing w:after="0"/>
              <w:rPr>
                <w:sz w:val="19"/>
                <w:szCs w:val="19"/>
                <w:color w:val="auto"/>
              </w:rPr>
            </w:pPr>
          </w:p>
        </w:tc>
        <w:tc>
          <w:tcPr>
            <w:tcW w:w="2540" w:type="dxa"/>
            <w:vAlign w:val="bottom"/>
            <w:gridSpan w:val="3"/>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7180" w:type="dxa"/>
            <w:vAlign w:val="bottom"/>
            <w:gridSpan w:val="11"/>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58"/>
        </w:trPr>
        <w:tc>
          <w:tcPr>
            <w:tcW w:w="266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400" w:type="dxa"/>
            <w:vAlign w:val="bottom"/>
            <w:gridSpan w:val="13"/>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9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4"/>
              </w:rPr>
              <w:t>Risk Factors</w:t>
            </w:r>
          </w:p>
        </w:tc>
        <w:tc>
          <w:tcPr>
            <w:tcW w:w="20" w:type="dxa"/>
            <w:vAlign w:val="bottom"/>
            <w:tcBorders>
              <w:top w:val="single" w:sz="8" w:color="0000FF"/>
              <w:bottom w:val="single" w:sz="8" w:color="0000EE"/>
            </w:tcBorders>
          </w:tcPr>
          <w:p>
            <w:pPr>
              <w:spacing w:after="0"/>
              <w:rPr>
                <w:sz w:val="19"/>
                <w:szCs w:val="19"/>
                <w:color w:val="auto"/>
              </w:rPr>
            </w:pPr>
          </w:p>
        </w:tc>
        <w:tc>
          <w:tcPr>
            <w:tcW w:w="400" w:type="dxa"/>
            <w:vAlign w:val="bottom"/>
            <w:tcBorders>
              <w:top w:val="single" w:sz="8" w:color="0000FF"/>
            </w:tcBorders>
            <w:gridSpan w:val="2"/>
          </w:tcPr>
          <w:p>
            <w:pPr>
              <w:spacing w:after="0"/>
              <w:rPr>
                <w:sz w:val="19"/>
                <w:szCs w:val="19"/>
                <w:color w:val="auto"/>
              </w:rPr>
            </w:pPr>
          </w:p>
        </w:tc>
        <w:tc>
          <w:tcPr>
            <w:tcW w:w="7640" w:type="dxa"/>
            <w:vAlign w:val="bottom"/>
            <w:gridSpan w:val="14"/>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c>
          <w:tcPr>
            <w:tcW w:w="4620" w:type="dxa"/>
            <w:vAlign w:val="bottom"/>
            <w:gridSpan w:val="6"/>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6600" w:type="dxa"/>
            <w:vAlign w:val="bottom"/>
            <w:gridSpan w:val="9"/>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Mine Safety Disclosures</w:t>
            </w:r>
          </w:p>
        </w:tc>
        <w:tc>
          <w:tcPr>
            <w:tcW w:w="7200" w:type="dxa"/>
            <w:vAlign w:val="bottom"/>
            <w:gridSpan w:val="12"/>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9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2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660" w:type="dxa"/>
            <w:vAlign w:val="bottom"/>
            <w:gridSpan w:val="15"/>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380" w:type="dxa"/>
            <w:vAlign w:val="bottom"/>
            <w:gridSpan w:val="18"/>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6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189"/>
        </w:trPr>
        <w:tc>
          <w:tcPr>
            <w:tcW w:w="112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9"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Unless otherwise indicated or required by the context, all references in this Quarterly Report on Form 10-Q to “we,” “us,” “our,” “red violet,” or the “Company,” refer to Red Violet, Inc. and its consolidated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6940" w:type="dxa"/>
            <w:vAlign w:val="bottom"/>
            <w:tcBorders>
              <w:bottom w:val="single" w:sz="8" w:color="CFF0FC"/>
            </w:tcBorders>
            <w:gridSpan w:val="2"/>
            <w:shd w:val="clear" w:color="auto" w:fill="CFF0FC"/>
          </w:tcPr>
          <w:p>
            <w:pPr>
              <w:spacing w:after="0"/>
              <w:rPr>
                <w:sz w:val="16"/>
                <w:szCs w:val="16"/>
                <w:color w:val="auto"/>
              </w:rPr>
            </w:pPr>
          </w:p>
        </w:tc>
        <w:tc>
          <w:tcPr>
            <w:tcW w:w="240" w:type="dxa"/>
            <w:vAlign w:val="bottom"/>
            <w:tcBorders>
              <w:top w:val="single" w:sz="8" w:color="auto"/>
              <w:bottom w:val="single" w:sz="8" w:color="CFF0FC"/>
            </w:tcBorders>
            <w:shd w:val="clear" w:color="auto" w:fill="CFF0FC"/>
          </w:tcPr>
          <w:p>
            <w:pPr>
              <w:spacing w:after="0"/>
              <w:rPr>
                <w:sz w:val="16"/>
                <w:szCs w:val="16"/>
                <w:color w:val="auto"/>
              </w:rPr>
            </w:pPr>
          </w:p>
        </w:tc>
        <w:tc>
          <w:tcPr>
            <w:tcW w:w="1360" w:type="dxa"/>
            <w:vAlign w:val="bottom"/>
            <w:tcBorders>
              <w:top w:val="single" w:sz="8" w:color="auto"/>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142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7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32,328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34,258</w:t>
            </w:r>
          </w:p>
        </w:tc>
        <w:tc>
          <w:tcPr>
            <w:tcW w:w="100" w:type="dxa"/>
            <w:vAlign w:val="bottom"/>
            <w:shd w:val="clear" w:color="auto" w:fill="CFF0FC"/>
          </w:tcPr>
          <w:p>
            <w:pPr>
              <w:spacing w:after="0"/>
              <w:rPr>
                <w:sz w:val="18"/>
                <w:szCs w:val="18"/>
                <w:color w:val="auto"/>
              </w:rPr>
            </w:pPr>
          </w:p>
        </w:tc>
      </w:tr>
      <w:tr>
        <w:trPr>
          <w:trHeight w:val="171"/>
        </w:trPr>
        <w:tc>
          <w:tcPr>
            <w:tcW w:w="7700" w:type="dxa"/>
            <w:vAlign w:val="bottom"/>
            <w:gridSpan w:val="4"/>
          </w:tcPr>
          <w:p>
            <w:pPr>
              <w:ind w:left="20"/>
              <w:spacing w:after="0" w:line="170"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$35 and $28 as of</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20" w:type="dxa"/>
            <w:vAlign w:val="bottom"/>
          </w:tcPr>
          <w:p>
            <w:pPr>
              <w:spacing w:after="0"/>
              <w:rPr>
                <w:sz w:val="20"/>
                <w:szCs w:val="20"/>
                <w:color w:val="auto"/>
              </w:rPr>
            </w:pPr>
          </w:p>
        </w:tc>
        <w:tc>
          <w:tcPr>
            <w:tcW w:w="7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June 30, 2022 and December 31, 2021, respectively</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tcPr>
          <w:p>
            <w:pPr>
              <w:spacing w:after="0"/>
              <w:rPr>
                <w:sz w:val="20"/>
                <w:szCs w:val="20"/>
                <w:color w:val="auto"/>
              </w:rPr>
            </w:pPr>
          </w:p>
        </w:tc>
      </w:tr>
      <w:tr>
        <w:trPr>
          <w:trHeight w:val="216"/>
        </w:trPr>
        <w:tc>
          <w:tcPr>
            <w:tcW w:w="770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38,593</w:t>
            </w:r>
          </w:p>
        </w:tc>
        <w:tc>
          <w:tcPr>
            <w:tcW w:w="100" w:type="dxa"/>
            <w:vAlign w:val="bottom"/>
          </w:tcPr>
          <w:p>
            <w:pPr>
              <w:spacing w:after="0"/>
              <w:rPr>
                <w:sz w:val="18"/>
                <w:szCs w:val="18"/>
                <w:color w:val="auto"/>
              </w:rPr>
            </w:pPr>
          </w:p>
        </w:tc>
      </w:tr>
      <w:tr>
        <w:trPr>
          <w:trHeight w:val="216"/>
        </w:trPr>
        <w:tc>
          <w:tcPr>
            <w:tcW w:w="77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28,181</w:t>
            </w:r>
          </w:p>
        </w:tc>
        <w:tc>
          <w:tcPr>
            <w:tcW w:w="100" w:type="dxa"/>
            <w:vAlign w:val="bottom"/>
          </w:tcPr>
          <w:p>
            <w:pPr>
              <w:spacing w:after="0"/>
              <w:rPr>
                <w:sz w:val="18"/>
                <w:szCs w:val="18"/>
                <w:color w:val="auto"/>
              </w:rPr>
            </w:pPr>
          </w:p>
        </w:tc>
      </w:tr>
      <w:tr>
        <w:trPr>
          <w:trHeight w:val="216"/>
        </w:trPr>
        <w:tc>
          <w:tcPr>
            <w:tcW w:w="77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74,641</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74,376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7"/>
        </w:trPr>
        <w:tc>
          <w:tcPr>
            <w:tcW w:w="20" w:type="dxa"/>
            <w:vAlign w:val="bottom"/>
            <w:tcBorders>
              <w:bottom w:val="single" w:sz="8" w:color="CFF0FC"/>
            </w:tcBorders>
            <w:shd w:val="clear" w:color="auto" w:fill="CFF0FC"/>
          </w:tcPr>
          <w:p>
            <w:pPr>
              <w:spacing w:after="0"/>
              <w:rPr>
                <w:sz w:val="15"/>
                <w:szCs w:val="15"/>
                <w:color w:val="auto"/>
              </w:rPr>
            </w:pPr>
          </w:p>
        </w:tc>
        <w:tc>
          <w:tcPr>
            <w:tcW w:w="3940" w:type="dxa"/>
            <w:vAlign w:val="bottom"/>
            <w:tcBorders>
              <w:bottom w:val="single" w:sz="8" w:color="auto"/>
            </w:tcBorders>
            <w:gridSpan w:val="2"/>
            <w:shd w:val="clear" w:color="auto" w:fill="CFF0FC"/>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9"/>
              </w:rPr>
              <w:t>LIABILITIES AND SHAREHOLDERS' EQUITY:</w:t>
            </w:r>
          </w:p>
        </w:tc>
        <w:tc>
          <w:tcPr>
            <w:tcW w:w="37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3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216"/>
        </w:trPr>
        <w:tc>
          <w:tcPr>
            <w:tcW w:w="7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8"/>
                <w:szCs w:val="18"/>
                <w:color w:val="auto"/>
              </w:rPr>
            </w:pPr>
          </w:p>
        </w:tc>
      </w:tr>
      <w:tr>
        <w:trPr>
          <w:trHeight w:val="216"/>
        </w:trPr>
        <w:tc>
          <w:tcPr>
            <w:tcW w:w="77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8"/>
                <w:szCs w:val="18"/>
                <w:color w:val="auto"/>
              </w:rPr>
            </w:pPr>
          </w:p>
        </w:tc>
      </w:tr>
      <w:tr>
        <w:trPr>
          <w:trHeight w:val="210"/>
        </w:trPr>
        <w:tc>
          <w:tcPr>
            <w:tcW w:w="77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00" w:type="dxa"/>
            <w:vAlign w:val="bottom"/>
          </w:tcPr>
          <w:p>
            <w:pPr>
              <w:spacing w:after="0"/>
              <w:rPr>
                <w:sz w:val="18"/>
                <w:szCs w:val="18"/>
                <w:color w:val="auto"/>
              </w:rPr>
            </w:pPr>
          </w:p>
        </w:tc>
      </w:tr>
      <w:tr>
        <w:trPr>
          <w:trHeight w:val="216"/>
        </w:trPr>
        <w:tc>
          <w:tcPr>
            <w:tcW w:w="77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1"/>
        </w:trPr>
        <w:tc>
          <w:tcPr>
            <w:tcW w:w="7700" w:type="dxa"/>
            <w:vAlign w:val="bottom"/>
            <w:gridSpan w:val="4"/>
          </w:tcPr>
          <w:p>
            <w:pPr>
              <w:ind w:left="20"/>
              <w:spacing w:after="0" w:line="170" w:lineRule="exact"/>
              <w:rPr>
                <w:sz w:val="20"/>
                <w:szCs w:val="20"/>
                <w:color w:val="auto"/>
              </w:rPr>
            </w:pPr>
            <w:r>
              <w:rPr>
                <w:rFonts w:ascii="Times New Roman" w:cs="Times New Roman" w:eastAsia="Times New Roman" w:hAnsi="Times New Roman"/>
                <w:sz w:val="18"/>
                <w:szCs w:val="18"/>
                <w:color w:val="auto"/>
              </w:rPr>
              <w:t>Preferred stock—$0.001 par value, 10,000,000 shares authorized, and 0 shares</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20" w:type="dxa"/>
            <w:vAlign w:val="bottom"/>
          </w:tcPr>
          <w:p>
            <w:pPr>
              <w:spacing w:after="0"/>
              <w:rPr>
                <w:sz w:val="20"/>
                <w:szCs w:val="20"/>
                <w:color w:val="auto"/>
              </w:rPr>
            </w:pPr>
          </w:p>
        </w:tc>
        <w:tc>
          <w:tcPr>
            <w:tcW w:w="7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issued and outstanding, as of June 30, 2022 and December 31, 2021</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171"/>
        </w:trPr>
        <w:tc>
          <w:tcPr>
            <w:tcW w:w="7700" w:type="dxa"/>
            <w:vAlign w:val="bottom"/>
            <w:gridSpan w:val="4"/>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Common stock—$0.001 par value, 200,000,000 shares authorized, 13,702,796 and</w:t>
            </w: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20" w:type="dxa"/>
            <w:vAlign w:val="bottom"/>
            <w:shd w:val="clear" w:color="auto" w:fill="CFF0FC"/>
          </w:tcPr>
          <w:p>
            <w:pPr>
              <w:spacing w:after="0"/>
              <w:rPr>
                <w:sz w:val="16"/>
                <w:szCs w:val="16"/>
                <w:color w:val="auto"/>
              </w:rPr>
            </w:pPr>
          </w:p>
        </w:tc>
        <w:tc>
          <w:tcPr>
            <w:tcW w:w="7680" w:type="dxa"/>
            <w:vAlign w:val="bottom"/>
            <w:gridSpan w:val="3"/>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13,488,540 shares issued, 13,695,765 and 13,488,540 shares outstanding, as of</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20" w:type="dxa"/>
            <w:vAlign w:val="bottom"/>
            <w:shd w:val="clear" w:color="auto" w:fill="CFF0FC"/>
          </w:tcPr>
          <w:p>
            <w:pPr>
              <w:spacing w:after="0"/>
              <w:rPr>
                <w:sz w:val="20"/>
                <w:szCs w:val="20"/>
                <w:color w:val="auto"/>
              </w:rPr>
            </w:pPr>
          </w:p>
        </w:tc>
        <w:tc>
          <w:tcPr>
            <w:tcW w:w="76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June 30, 2022 and December 31, 2021</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0"/>
                <w:szCs w:val="20"/>
                <w:color w:val="auto"/>
              </w:rPr>
            </w:pPr>
          </w:p>
        </w:tc>
      </w:tr>
      <w:tr>
        <w:trPr>
          <w:trHeight w:val="216"/>
        </w:trPr>
        <w:tc>
          <w:tcPr>
            <w:tcW w:w="7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Treasury stock, at cost, 7,031 and 0 shares as of June 30, 2022 and December 31, 2021</w:t>
            </w:r>
          </w:p>
        </w:tc>
        <w:tc>
          <w:tcPr>
            <w:tcW w:w="2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(134 )</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7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92,178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91,434</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(22,116 )</w:t>
            </w:r>
          </w:p>
        </w:tc>
        <w:tc>
          <w:tcPr>
            <w:tcW w:w="1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(22,018 )</w:t>
            </w:r>
          </w:p>
        </w:tc>
      </w:tr>
      <w:tr>
        <w:trPr>
          <w:trHeight w:val="210"/>
        </w:trPr>
        <w:tc>
          <w:tcPr>
            <w:tcW w:w="770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69,942</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74,641</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74,376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-3891280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-3891280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-3059430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-3059430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-1645285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ind w:left="4840"/>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2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5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5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21,096</w:t>
            </w: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00" w:type="dxa"/>
            <w:vAlign w:val="bottom"/>
          </w:tcPr>
          <w:p>
            <w:pPr>
              <w:spacing w:after="0"/>
              <w:rPr>
                <w:sz w:val="18"/>
                <w:szCs w:val="18"/>
                <w:color w:val="auto"/>
              </w:rPr>
            </w:pPr>
          </w:p>
        </w:tc>
      </w:tr>
      <w:tr>
        <w:trPr>
          <w:trHeight w:val="21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9,440</w:t>
            </w: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Pr>
          <w:p>
            <w:pPr>
              <w:spacing w:after="0"/>
              <w:rPr>
                <w:sz w:val="18"/>
                <w:szCs w:val="18"/>
                <w:color w:val="auto"/>
              </w:rPr>
            </w:pPr>
          </w:p>
        </w:tc>
      </w:tr>
      <w:tr>
        <w:trPr>
          <w:trHeight w:val="210"/>
        </w:trPr>
        <w:tc>
          <w:tcPr>
            <w:tcW w:w="5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12,655</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11,289</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25,103</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240" w:type="dxa"/>
            <w:vAlign w:val="bottom"/>
          </w:tcPr>
          <w:p>
            <w:pPr>
              <w:spacing w:after="0"/>
              <w:rPr>
                <w:sz w:val="18"/>
                <w:szCs w:val="18"/>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(161 )</w:t>
            </w:r>
          </w:p>
        </w:tc>
        <w:tc>
          <w:tcPr>
            <w:tcW w:w="2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(410 )</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(983 )</w:t>
            </w:r>
          </w:p>
        </w:tc>
      </w:tr>
      <w:tr>
        <w:trPr>
          <w:trHeight w:val="21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Pr>
          <w:p>
            <w:pPr>
              <w:spacing w:after="0"/>
              <w:rPr>
                <w:sz w:val="18"/>
                <w:szCs w:val="18"/>
                <w:color w:val="auto"/>
              </w:rPr>
            </w:pPr>
          </w:p>
        </w:tc>
      </w:tr>
      <w:tr>
        <w:trPr>
          <w:trHeight w:val="210"/>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5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(Loss) earnings per share:</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(0.01 )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(0.01 )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FF0FC"/>
          </w:tcPr>
          <w:p>
            <w:pPr>
              <w:spacing w:after="0"/>
              <w:rPr>
                <w:sz w:val="20"/>
                <w:szCs w:val="20"/>
                <w:color w:val="auto"/>
              </w:rPr>
            </w:pPr>
          </w:p>
        </w:tc>
      </w:tr>
      <w:tr>
        <w:trPr>
          <w:trHeight w:val="20"/>
        </w:trPr>
        <w:tc>
          <w:tcPr>
            <w:tcW w:w="55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(0.01 )</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6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(0.01 )</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7"/>
                <w:szCs w:val="17"/>
                <w:color w:val="auto"/>
              </w:rPr>
            </w:pPr>
          </w:p>
        </w:tc>
      </w:tr>
      <w:tr>
        <w:trPr>
          <w:trHeight w:val="20"/>
        </w:trPr>
        <w:tc>
          <w:tcPr>
            <w:tcW w:w="5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5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13,776,479</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12,269,412</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13,660,686</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12,238,475</w:t>
            </w:r>
          </w:p>
        </w:tc>
        <w:tc>
          <w:tcPr>
            <w:tcW w:w="10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5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13,776,479</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13,560,714</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13,660,686</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13,487,806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-1799590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-1799590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-1799590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-950595</wp:posOffset>
            </wp:positionV>
            <wp:extent cx="768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-933450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-950595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-933450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-950595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-933450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-650875</wp:posOffset>
            </wp:positionV>
            <wp:extent cx="768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-633730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-650875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-633730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-650875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-633730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ind w:left="4840"/>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2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2080" w:type="dxa"/>
            <w:vAlign w:val="bottom"/>
            <w:gridSpan w:val="3"/>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120" w:type="dxa"/>
            <w:vAlign w:val="bottom"/>
            <w:gridSpan w:val="2"/>
            <w:vMerge w:val="restart"/>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20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128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112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12,208,077</w:t>
            </w:r>
          </w:p>
        </w:tc>
        <w:tc>
          <w:tcPr>
            <w:tcW w:w="24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ind w:right="61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68,402</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(23,251</w:t>
            </w:r>
          </w:p>
        </w:tc>
        <w:tc>
          <w:tcPr>
            <w:tcW w:w="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40,717</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12,248,794</w:t>
            </w:r>
          </w:p>
        </w:tc>
        <w:tc>
          <w:tcPr>
            <w:tcW w:w="2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jc w:val="right"/>
              <w:ind w:right="61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70,911</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(21,490</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49,434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13,523,067</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1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93,115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(21,911 )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285,760</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20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Increase in treasury stock resulting</w:t>
            </w: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from shares withheld to cover</w:t>
            </w: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statutory taxes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(106,031 )</w:t>
            </w: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(2,765 )</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(2,765 )</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(7,031 )</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(106,031 )</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106,031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(2,765 )</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(205 )</w:t>
            </w:r>
          </w:p>
        </w:tc>
        <w:tc>
          <w:tcPr>
            <w:tcW w:w="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0"/>
        </w:trPr>
        <w:tc>
          <w:tcPr>
            <w:tcW w:w="3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13,702,796</w:t>
            </w:r>
          </w:p>
        </w:tc>
        <w:tc>
          <w:tcPr>
            <w:tcW w:w="240" w:type="dxa"/>
            <w:vAlign w:val="bottom"/>
          </w:tcPr>
          <w:p>
            <w:pPr>
              <w:spacing w:after="0"/>
              <w:rPr>
                <w:sz w:val="18"/>
                <w:szCs w:val="18"/>
                <w:color w:val="auto"/>
              </w:rPr>
            </w:pPr>
          </w:p>
        </w:tc>
        <w:tc>
          <w:tcPr>
            <w:tcW w:w="80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(7,031 )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92,178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(22,116 )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3200" w:type="dxa"/>
            <w:vAlign w:val="bottom"/>
          </w:tcPr>
          <w:p>
            <w:pPr>
              <w:spacing w:after="0"/>
              <w:rPr>
                <w:sz w:val="24"/>
                <w:szCs w:val="24"/>
                <w:color w:val="auto"/>
              </w:rPr>
            </w:pPr>
          </w:p>
        </w:tc>
        <w:tc>
          <w:tcPr>
            <w:tcW w:w="2080" w:type="dxa"/>
            <w:vAlign w:val="bottom"/>
            <w:gridSpan w:val="3"/>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24"/>
                <w:szCs w:val="24"/>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1120" w:type="dxa"/>
            <w:vAlign w:val="bottom"/>
            <w:gridSpan w:val="2"/>
            <w:vMerge w:val="restart"/>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20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128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112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12,167,327</w:t>
            </w:r>
          </w:p>
        </w:tc>
        <w:tc>
          <w:tcPr>
            <w:tcW w:w="24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ind w:right="61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66,005</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(22,673</w:t>
            </w:r>
          </w:p>
        </w:tc>
        <w:tc>
          <w:tcPr>
            <w:tcW w:w="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81,467</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12,248,794</w:t>
            </w:r>
          </w:p>
        </w:tc>
        <w:tc>
          <w:tcPr>
            <w:tcW w:w="2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jc w:val="right"/>
              <w:ind w:right="61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70,911</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(21,490</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49,434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13,488,540</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1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91,434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(22,018 )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320,510</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20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Increase in treasury stock resulting</w:t>
            </w: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from shares withheld to cover</w:t>
            </w: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statutory taxes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(106,254 )</w:t>
            </w: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(2,771 )</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(2,771 )</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(7,031 )</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(106,254 )</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106,254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(2,771 )</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(98 )</w:t>
            </w:r>
          </w:p>
        </w:tc>
        <w:tc>
          <w:tcPr>
            <w:tcW w:w="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0"/>
        </w:trPr>
        <w:tc>
          <w:tcPr>
            <w:tcW w:w="3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13,702,796</w:t>
            </w:r>
          </w:p>
        </w:tc>
        <w:tc>
          <w:tcPr>
            <w:tcW w:w="240" w:type="dxa"/>
            <w:vAlign w:val="bottom"/>
          </w:tcPr>
          <w:p>
            <w:pPr>
              <w:spacing w:after="0"/>
              <w:rPr>
                <w:sz w:val="18"/>
                <w:szCs w:val="18"/>
                <w:color w:val="auto"/>
              </w:rPr>
            </w:pPr>
          </w:p>
        </w:tc>
        <w:tc>
          <w:tcPr>
            <w:tcW w:w="80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(7,031 )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92,178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(22,116 )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-4199890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-4182745</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-4199890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-4182745</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-4199890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-4182745</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-4199890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-4182745</wp:posOffset>
            </wp:positionV>
            <wp:extent cx="76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-4199890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-4182745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-4199890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-4182745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-4199890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-4182745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-2836545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-2836545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-2836545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-2836545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-2836545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-2836545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-1533525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-1517015</wp:posOffset>
            </wp:positionV>
            <wp:extent cx="76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-1533525</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-1517015</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-1533525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-1517015</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-1533525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-1517015</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-1533525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-1517015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-1533525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-1517015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-1517015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-170815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-170815</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-170815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-170815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-170815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4840"/>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2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(98 )</w:t>
            </w: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bad debts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lease expenses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(2,175 )</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(482 )</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(247 )</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(354 )</w:t>
            </w:r>
          </w:p>
        </w:tc>
        <w:tc>
          <w:tcPr>
            <w:tcW w:w="10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(684 )</w:t>
            </w: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(157 )</w:t>
            </w:r>
          </w:p>
        </w:tc>
        <w:tc>
          <w:tcPr>
            <w:tcW w:w="10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(657 )</w:t>
            </w: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(685 )</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(219 )</w:t>
            </w:r>
          </w:p>
        </w:tc>
        <w:tc>
          <w:tcPr>
            <w:tcW w:w="10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(77 )</w:t>
            </w: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(300 )</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(268 )</w:t>
            </w:r>
          </w:p>
        </w:tc>
      </w:tr>
      <w:tr>
        <w:trPr>
          <w:trHeight w:val="209"/>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260" w:type="dxa"/>
            <w:vAlign w:val="bottom"/>
            <w:tcBorders>
              <w:top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00" w:type="dxa"/>
            <w:vAlign w:val="bottom"/>
            <w:tcBorders>
              <w:top w:val="single" w:sz="8" w:color="CFF0FC"/>
            </w:tcBorders>
          </w:tcPr>
          <w:p>
            <w:pPr>
              <w:spacing w:after="0"/>
              <w:rPr>
                <w:sz w:val="18"/>
                <w:szCs w:val="18"/>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(221 )</w:t>
            </w:r>
          </w:p>
        </w:tc>
        <w:tc>
          <w:tcPr>
            <w:tcW w:w="10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(155 )</w:t>
            </w: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(3,893 )</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(2,420 )</w:t>
            </w:r>
          </w:p>
        </w:tc>
      </w:tr>
      <w:tr>
        <w:trPr>
          <w:trHeight w:val="20"/>
        </w:trPr>
        <w:tc>
          <w:tcPr>
            <w:tcW w:w="77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(4,114 )</w:t>
            </w:r>
          </w:p>
        </w:tc>
        <w:tc>
          <w:tcPr>
            <w:tcW w:w="10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(2,575 )</w:t>
            </w:r>
          </w:p>
        </w:tc>
      </w:tr>
      <w:tr>
        <w:trPr>
          <w:trHeight w:val="21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related to net share settlement of vesting of restricted stock units</w:t>
            </w:r>
          </w:p>
        </w:tc>
        <w:tc>
          <w:tcPr>
            <w:tcW w:w="9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(2,771 )</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(1,930 )</w:t>
            </w: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34,258</w:t>
            </w:r>
          </w:p>
        </w:tc>
        <w:tc>
          <w:tcPr>
            <w:tcW w:w="2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98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32,328</w:t>
            </w:r>
          </w:p>
        </w:tc>
        <w:tc>
          <w:tcPr>
            <w:tcW w:w="260" w:type="dxa"/>
            <w:vAlign w:val="bottom"/>
          </w:tcPr>
          <w:p>
            <w:pPr>
              <w:spacing w:after="0"/>
              <w:rPr>
                <w:sz w:val="18"/>
                <w:szCs w:val="18"/>
                <w:color w:val="auto"/>
              </w:rPr>
            </w:pPr>
          </w:p>
        </w:tc>
        <w:tc>
          <w:tcPr>
            <w:tcW w:w="100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13,915</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DISCLOSURE INFORMATION</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980" w:type="dxa"/>
            <w:vAlign w:val="bottom"/>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capitalized in intangible assets</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60" w:type="dxa"/>
            <w:vAlign w:val="bottom"/>
          </w:tcPr>
          <w:p>
            <w:pPr>
              <w:spacing w:after="0"/>
              <w:rPr>
                <w:sz w:val="18"/>
                <w:szCs w:val="18"/>
                <w:color w:val="auto"/>
              </w:rPr>
            </w:pP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980" w:type="dxa"/>
            <w:vAlign w:val="bottom"/>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-2279650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-1713865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-1139190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-856615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ind w:left="4840"/>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2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preparation</w:t>
      </w:r>
    </w:p>
    <w:p>
      <w:pPr>
        <w:spacing w:after="0" w:line="175"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Red Violet, Inc., a Delaware corporation, and its consolidated subsidiaries (collectively, “red violet” or the “Company”), have been prepared in accordance with accounting principles generally accepted in the United States (“US GAAP”) and applicable rules and regulations of the Securities and Exchange Commission (the “SEC”) regarding interim financial reporting. Certain information and note disclosures normally included in annual financial statements prepared in accordance with US GAAP have been condensed or omitted pursuant to those rules and regulations.</w:t>
      </w:r>
    </w:p>
    <w:p>
      <w:pPr>
        <w:spacing w:after="0" w:line="15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reflect all normal recurring adjustments necessary to present fairly the financial position, results of operations, and cash flows for the interim periods, but are not necessarily indicative of the results of operations to be anticipated for any future interim periods or for the full year ending December 31, 2022.</w:t>
      </w:r>
    </w:p>
    <w:p>
      <w:pPr>
        <w:spacing w:after="0" w:line="1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included in this quarterly report on Form 10-Q should be read in conjunction with the consolidated financial statements and accompanying notes included in the Company’s Annual Report on Form 10-K for the year ended December 31, 2021 (“Form 10-K”).</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2021 included herein was derived from the audited financial statements as of that date included in the Form 10-K, but does not include all disclosures required by US GAAP.</w:t>
      </w:r>
    </w:p>
    <w:p>
      <w:pPr>
        <w:spacing w:after="0" w:line="106" w:lineRule="exact"/>
        <w:rPr>
          <w:sz w:val="20"/>
          <w:szCs w:val="20"/>
          <w:color w:val="auto"/>
        </w:rPr>
      </w:pPr>
    </w:p>
    <w:p>
      <w:pPr>
        <w:ind w:right="1600"/>
        <w:spacing w:after="0" w:line="455" w:lineRule="auto"/>
        <w:rPr>
          <w:sz w:val="20"/>
          <w:szCs w:val="20"/>
          <w:color w:val="auto"/>
        </w:rPr>
      </w:pPr>
      <w:r>
        <w:rPr>
          <w:rFonts w:ascii="Times New Roman" w:cs="Times New Roman" w:eastAsia="Times New Roman" w:hAnsi="Times New Roman"/>
          <w:sz w:val="18"/>
          <w:szCs w:val="18"/>
          <w:color w:val="auto"/>
        </w:rPr>
        <w:t>The Company has only one operating segment, as defined by Accounting Standards Codification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Principles of consolidation</w:t>
      </w: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financial statements of the Company and its subsidiaries. All significant transactions among the Company and its subsidiaries have been eliminated upon consolidation.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Recently issued accounting standards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an emerging growth company, the Company has left open the opportunity to take advantage of the extended transition period provided to emerging</w:t>
      </w:r>
    </w:p>
    <w:p>
      <w:pPr>
        <w:spacing w:after="0" w:line="27" w:lineRule="exact"/>
        <w:rPr>
          <w:sz w:val="20"/>
          <w:szCs w:val="20"/>
          <w:color w:val="auto"/>
        </w:rPr>
      </w:pPr>
    </w:p>
    <w:p>
      <w:pPr>
        <w:ind w:right="560"/>
        <w:spacing w:after="0" w:line="260" w:lineRule="auto"/>
        <w:rPr>
          <w:sz w:val="20"/>
          <w:szCs w:val="20"/>
          <w:color w:val="auto"/>
        </w:rPr>
      </w:pPr>
      <w:r>
        <w:rPr>
          <w:rFonts w:ascii="Times New Roman" w:cs="Times New Roman" w:eastAsia="Times New Roman" w:hAnsi="Times New Roman"/>
          <w:sz w:val="18"/>
          <w:szCs w:val="18"/>
          <w:color w:val="231F20"/>
        </w:rPr>
        <w:t>growth companies in Section 13(a) of the Securities Exchange Act of 1934, as amended (the “Exchange Act”), however, it is the Company’s present intention to adopt any applicable new accounting standards timely.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(Loss) earnings per share</w:t>
      </w:r>
    </w:p>
    <w:p>
      <w:pPr>
        <w:spacing w:after="0" w:line="14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Basic (loss) earnings per share is computed by dividing net (loss) income by the weighted average number of shares of common stock outstanding during the periods. Diluted (loss) earnings per share reflects the potential dilution that could occur if securities or other contracts to issue common stock were exercised or converted into common stock and is calculated using the treasury stock method for unvested shares. Common equivalent shares are excluded from the calculation in the loss periods as their effects would be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(205 )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(98 )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13,776,479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12,269,412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13,660,686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12,238,475</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13,776,479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13,560,714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13,660,686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13,487,806</w:t>
            </w: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earnings per share:</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(0.01 )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(0.01 )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5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28"/>
        </w:trPr>
        <w:tc>
          <w:tcPr>
            <w:tcW w:w="55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5</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5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-504825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-487680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-504825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-487680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-504825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-487680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ind w:left="520" w:right="20" w:hanging="512"/>
        <w:spacing w:after="0" w:line="258"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2022, a total of 1,070,368 unvested restricted stock units (“RSUs”) have been excluded from the diluted loss per share, as the impact is anti-dilutive. For the three and six months ended June 30, 2021, diluted weighted average shares outstanding are calculated by the inclusion of unvested RSUs.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Intangible assets,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other than goodwill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338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84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240" w:type="dxa"/>
            <w:vAlign w:val="bottom"/>
          </w:tcPr>
          <w:p>
            <w:pPr>
              <w:spacing w:after="0"/>
              <w:rPr>
                <w:sz w:val="10"/>
                <w:szCs w:val="10"/>
                <w:color w:val="auto"/>
              </w:rPr>
            </w:pPr>
          </w:p>
        </w:tc>
        <w:tc>
          <w:tcPr>
            <w:tcW w:w="1400" w:type="dxa"/>
            <w:vAlign w:val="bottom"/>
            <w:gridSpan w:val="4"/>
          </w:tcPr>
          <w:p>
            <w:pPr>
              <w:jc w:val="center"/>
              <w:ind w:right="370"/>
              <w:spacing w:after="0" w:line="11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380" w:type="dxa"/>
            <w:vAlign w:val="bottom"/>
            <w:gridSpan w:val="4"/>
          </w:tcPr>
          <w:p>
            <w:pPr>
              <w:ind w:left="80"/>
              <w:spacing w:after="0" w:line="11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Net</w:t>
            </w:r>
          </w:p>
        </w:tc>
        <w:tc>
          <w:tcPr>
            <w:tcW w:w="20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6"/>
                <w:szCs w:val="16"/>
                <w:color w:val="auto"/>
              </w:rPr>
            </w:pPr>
          </w:p>
        </w:tc>
        <w:tc>
          <w:tcPr>
            <w:tcW w:w="9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Software developed for internal use</w:t>
            </w:r>
          </w:p>
        </w:tc>
        <w:tc>
          <w:tcPr>
            <w:tcW w:w="1340" w:type="dxa"/>
            <w:vAlign w:val="bottom"/>
            <w:tcBorders>
              <w:bottom w:val="single" w:sz="8" w:color="CFF0FC"/>
            </w:tcBorders>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7"/>
              </w:rPr>
              <w:t>5-10 years</w:t>
            </w:r>
          </w:p>
        </w:tc>
        <w:tc>
          <w:tcPr>
            <w:tcW w:w="8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   47,598</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(17,824</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29,774</w:t>
            </w:r>
          </w:p>
        </w:tc>
        <w:tc>
          <w:tcPr>
            <w:tcW w:w="2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  42,982</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-24765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-7620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gross amount associated with software developed for internal use represents capitalized costs of internally-developed software, including eligible salaries and staff benefits, share-based compensation, travel expenses incurred by relevant employees, and other relevant costs.</w:t>
      </w:r>
    </w:p>
    <w:p>
      <w:pPr>
        <w:spacing w:after="0" w:line="13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Amortization expenses of $1,551 and $1,272 for the three months ended June 30, 2022 and 2021, respectively, and $3,023 and $2,475 for the six months ended June 30, 2022 and 2021, respectively, were included in depreciation and amortization expense. As of June 30, 2022, intangible assets of $4,194, included in the gross amounts of software developed for internal use, have not started amortization, as they are not ready for their intended use.</w:t>
      </w:r>
    </w:p>
    <w:p>
      <w:pPr>
        <w:spacing w:after="0" w:line="1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capitalized costs of software developed for internal use of $2,521 and $1,517 during the three months ended June 30, 2022 and 2021, respectively, and $4,616 and $3,115 during the six months ended June 30, 2022 and 2021, respectively.</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June 30, 2022, estimated amortization expense related to the Company’s intangible assets for the remainder of 2022 through 2027 and thereafter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7"/>
                <w:szCs w:val="17"/>
                <w:color w:val="auto"/>
              </w:rPr>
            </w:pPr>
          </w:p>
        </w:tc>
      </w:tr>
      <w:tr>
        <w:trPr>
          <w:trHeight w:val="209"/>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shd w:val="clear" w:color="auto" w:fill="CFF0FC"/>
          </w:tcPr>
          <w:p>
            <w:pPr>
              <w:spacing w:after="0"/>
              <w:rPr>
                <w:sz w:val="18"/>
                <w:szCs w:val="18"/>
                <w:color w:val="auto"/>
              </w:rPr>
            </w:pPr>
          </w:p>
        </w:tc>
      </w:tr>
      <w:tr>
        <w:trPr>
          <w:trHeight w:val="216"/>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100" w:type="dxa"/>
            <w:vAlign w:val="bottom"/>
          </w:tcPr>
          <w:p>
            <w:pPr>
              <w:spacing w:after="0"/>
              <w:rPr>
                <w:sz w:val="18"/>
                <w:szCs w:val="18"/>
                <w:color w:val="auto"/>
              </w:rPr>
            </w:pPr>
          </w:p>
        </w:tc>
      </w:tr>
      <w:tr>
        <w:trPr>
          <w:trHeight w:val="216"/>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100" w:type="dxa"/>
            <w:vAlign w:val="bottom"/>
            <w:shd w:val="clear" w:color="auto" w:fill="CFF0FC"/>
          </w:tcPr>
          <w:p>
            <w:pPr>
              <w:spacing w:after="0"/>
              <w:rPr>
                <w:sz w:val="18"/>
                <w:szCs w:val="18"/>
                <w:color w:val="auto"/>
              </w:rPr>
            </w:pPr>
          </w:p>
        </w:tc>
      </w:tr>
      <w:tr>
        <w:trPr>
          <w:trHeight w:val="216"/>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100" w:type="dxa"/>
            <w:vAlign w:val="bottom"/>
          </w:tcPr>
          <w:p>
            <w:pPr>
              <w:spacing w:after="0"/>
              <w:rPr>
                <w:sz w:val="18"/>
                <w:szCs w:val="18"/>
                <w:color w:val="auto"/>
              </w:rPr>
            </w:pPr>
          </w:p>
        </w:tc>
      </w:tr>
      <w:tr>
        <w:trPr>
          <w:trHeight w:val="216"/>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00" w:type="dxa"/>
            <w:vAlign w:val="bottom"/>
            <w:shd w:val="clear" w:color="auto" w:fill="CFF0FC"/>
          </w:tcPr>
          <w:p>
            <w:pPr>
              <w:spacing w:after="0"/>
              <w:rPr>
                <w:sz w:val="18"/>
                <w:szCs w:val="18"/>
                <w:color w:val="auto"/>
              </w:rPr>
            </w:pPr>
          </w:p>
        </w:tc>
      </w:tr>
      <w:tr>
        <w:trPr>
          <w:trHeight w:val="216"/>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tcPr>
          <w:p>
            <w:pPr>
              <w:spacing w:after="0"/>
              <w:rPr>
                <w:sz w:val="18"/>
                <w:szCs w:val="18"/>
                <w:color w:val="auto"/>
              </w:rPr>
            </w:pPr>
          </w:p>
        </w:tc>
      </w:tr>
      <w:tr>
        <w:trPr>
          <w:trHeight w:val="249"/>
        </w:trPr>
        <w:tc>
          <w:tcPr>
            <w:tcW w:w="9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Goodwill represents the cost in excess of the fair value of the net assets acquired in a business combination. As of June 30, 2022 and December 31, 2021, the balance of goodwill of $5,227 was as a result of the acquisition of Interactive Data, LLC, a wholly-owned subsidiary of red violet, effective on October 2, 2014.</w:t>
      </w:r>
    </w:p>
    <w:p>
      <w:pPr>
        <w:spacing w:after="0" w:line="14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 xml:space="preserve">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The measurement date of the Company’s annual goodwill impairment test is October 1.</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periods ended June 30, 2022 and 2021, no goodwill impairment charges were recorded.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 recognition</w:t>
      </w:r>
    </w:p>
    <w:p>
      <w:pPr>
        <w:spacing w:after="0" w:line="173"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 xml:space="preserve">The Company recognized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Under this standard, revenue is recognized when control of goods or services is transferred to the Company’s customers, in an amount that reflects the consideration the Company expects to be entitled to in exchange for those goods or services. The Company’s performance obligation is to provide on demand information and identity intelligence solutions to its customers by leveraging its proprietary technology and applying machine learning and advanced analytics to its massive data repository. The pricing for the customer contracts is based on usage, a monthly fee, or a combination of both.</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ind w:right="40"/>
        <w:spacing w:after="0" w:line="250" w:lineRule="auto"/>
        <w:rPr>
          <w:sz w:val="20"/>
          <w:szCs w:val="20"/>
          <w:color w:val="auto"/>
        </w:rPr>
      </w:pPr>
      <w:r>
        <w:rPr>
          <w:rFonts w:ascii="Times New Roman" w:cs="Times New Roman" w:eastAsia="Times New Roman" w:hAnsi="Times New Roman"/>
          <w:sz w:val="18"/>
          <w:szCs w:val="18"/>
          <w:color w:val="auto"/>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spacing w:after="0" w:line="13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Revenue is recognized over a period of time.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The Company's revenue arrangements do not contain significant financing components.</w:t>
      </w:r>
    </w:p>
    <w:p>
      <w:pPr>
        <w:spacing w:after="0" w:line="15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For the three months ended June 30, 2022 and 2021, 80% and 81% of total revenue was attributable to customers with pricing contracts, respectively, versus 20% and 19% attributable to transactional customers, respectively. For the six months ended June 30, 2022 and 2021, 78% and 80% of total revenue was attributable to customers with pricing contracts, respectively, versus 22% and 20% attributable to transactional customers, respectively. Pricing contracts are generally annual contracts or longer, with auto renewal.</w:t>
      </w:r>
    </w:p>
    <w:p>
      <w:pPr>
        <w:spacing w:after="0" w:line="137"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If a customer pays consideration before the Company transfers services to the customer, those amounts are classified as deferred revenue. As of June 30, 2022 and December 31, 2021, the balance of deferred revenue was $622 and $841, respectively, all of which is expected to be realized in the next 12 months. In relation to the deferred revenue balance as of December 31, 2021, $145 and $469 was recognized into revenue during the three and six months ended June 30, 2022, respectively.</w:t>
      </w:r>
    </w:p>
    <w:p>
      <w:pPr>
        <w:spacing w:after="0" w:line="15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As of June 30, 2022, $9,369 of revenue is expected to be recognized in the future for performance obligations that are unsatisfied or partially unsatisfied, related to pricing contracts that have a term of more than 12 months, of which, $3,520 of revenue will be recognized in the remainder of 2022, $4,821 in 2023, $1,017 in 2024, and $11 in 2025.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54"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Sales commissions are incurred and recorded on an ongoing basis over the term of the customer relationship. These costs are recorded in sales and marketing expenses.</w:t>
      </w:r>
    </w:p>
    <w:p>
      <w:pPr>
        <w:spacing w:after="0" w:line="135"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In addition, the Company elected the practical expedient to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18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The Company is subject to federal and state income taxes in the United States. The Company’s tax provision for interim periods is determined using an estimate of its annual effective tax rate, adjusted for discrete items arising in that quarter, unless a reliable estimate of ordinary income or the related tax expense/benefit cannot be made or the Company is in cumulative losses for which the benefit cannot be realized. In each quarter, the Company updates its estimate of the annual effective tax rate, and if its estimated annual tax rate changes, the Company makes a cumulative adjustment in that quarter. For the three and six months ended June 30, 2022 and 2021, the Company concluded that, due to a recent history of operating losses, a valuation allowance should be applied to reduce its deferred tax assets to the amount that is more likely than not to be realized.</w:t>
      </w:r>
    </w:p>
    <w:p>
      <w:pPr>
        <w:spacing w:after="0" w:line="15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The Company’s effective income tax rate was negative 27% and 0% for the three months ended June 30, 2022 and 2021, respectively, and 181% and 0% for the six months ended June 30, 2022 and 2021, respectively, differing from the U.S. corporate statutory federal income tax rate of 21%. The Company’s income tax expense for the three and six months ended June 30, 2022 was primarily a result of the remeasurement of its valuation allowance, which differed from the income tax that would result from applying the U.S. corporate statutory federal income tax rate of 21% to its (loss) income before income taxes.</w:t>
      </w:r>
    </w:p>
    <w:p>
      <w:pPr>
        <w:spacing w:after="0" w:line="154"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8"/>
          <w:szCs w:val="18"/>
          <w:color w:val="auto"/>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1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continually evaluates expiring statutes of limitations, audits, proposed settlements, changes in tax law and new authoritative rulings. All of the Company’s income tax filings since 2018 remain open for tax examinations.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material unrecognized tax benefits as of June 30, 2022 and December 31, 2021.</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number of issued shares of common stock was 13,702,796 and 13,488,540, respectively. The change in the number of issued shares of common stock was due to the following factors:</w:t>
      </w:r>
    </w:p>
    <w:p>
      <w:pPr>
        <w:spacing w:after="0" w:line="108" w:lineRule="exact"/>
        <w:rPr>
          <w:sz w:val="20"/>
          <w:szCs w:val="20"/>
          <w:color w:val="auto"/>
        </w:rPr>
      </w:pPr>
    </w:p>
    <w:p>
      <w:pPr>
        <w:ind w:left="380" w:right="80" w:hanging="372"/>
        <w:spacing w:after="0" w:line="258"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320,510 shares of common stock issued as a result of the vesting of RSUs, of which, 106,254 shares of common stock were withheld to pay withholding taxes upon such vesting, which were reflected in treasury stock, with a cost of $2,771. The treasury stock of 106,254 shares was retired during the six months ended June 30, 2022.</w:t>
      </w:r>
    </w:p>
    <w:p>
      <w:pPr>
        <w:spacing w:after="0" w:line="142" w:lineRule="exact"/>
        <w:rPr>
          <w:rFonts w:ascii="Times New Roman" w:cs="Times New Roman" w:eastAsia="Times New Roman" w:hAnsi="Times New Roman"/>
          <w:sz w:val="18"/>
          <w:szCs w:val="18"/>
          <w:color w:val="auto"/>
        </w:rPr>
      </w:pPr>
    </w:p>
    <w:p>
      <w:pPr>
        <w:ind w:left="380" w:right="40" w:hanging="372"/>
        <w:spacing w:after="0" w:line="24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2022, the board of directors of the Company authorized the repurchase of up to $5.0 million of the Company's common stock from time to time (the “Stock Repurchase Program”). The Stock Repurchase Program does not obligate the Company to repurchase any shares and may be modified, suspended or terminated at any time and for any reason at the discretion of the board of directors. During the six months ended June 30, 2022, the Company repurchased 7,031 shares of common stock under the Stock Repurchase Program at a net average price of $19.11 per share, which was reflected in treasury stock, with a cost of $134.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18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On March 22, 2018, the board of directors of the Company and Cogint, Inc. (“cogint”) (now known as Fluent, Inc.), in its capacity as sole stockholder of the Company prior to the Company’s spin-off from cogint on March 26, 2018, approved the Red Violet, Inc. 2018 Stock Incentive Plan (the “2018 Plan”), which became effective immediately prior to the spin-off. A total of 3,000,000 shares of common stock were authorized to be issued under the 2018 Plan. On June 3, 2020, the Company’s stockholders approved an amendment to the 2018 Plan to increase the number of shares of common stock authorized for issuance under the 2018 Plan from 3,000,000 shares to 4,500,000 shares, and on May 25, 2022, the Company's stockholders approved an amendment to the 2018 Plan to increase the number of shares of common stock authorized for issuance under the 2018 Plan from 4,500,000 shares to 6,500,000 shares.</w:t>
      </w:r>
    </w:p>
    <w:p>
      <w:pPr>
        <w:spacing w:after="0" w:line="139" w:lineRule="exact"/>
        <w:rPr>
          <w:sz w:val="20"/>
          <w:szCs w:val="20"/>
          <w:color w:val="auto"/>
        </w:rPr>
      </w:pPr>
    </w:p>
    <w:p>
      <w:pPr>
        <w:jc w:val="both"/>
        <w:ind w:right="400"/>
        <w:spacing w:after="0" w:line="258" w:lineRule="auto"/>
        <w:rPr>
          <w:sz w:val="20"/>
          <w:szCs w:val="20"/>
          <w:color w:val="auto"/>
        </w:rPr>
      </w:pPr>
      <w:r>
        <w:rPr>
          <w:rFonts w:ascii="Times New Roman" w:cs="Times New Roman" w:eastAsia="Times New Roman" w:hAnsi="Times New Roman"/>
          <w:sz w:val="18"/>
          <w:szCs w:val="18"/>
          <w:color w:val="auto"/>
        </w:rPr>
        <w:t>The primary purpose of the 2018 Plan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there were 2,722,287 shares of common stock available for future issuance under the 2018 Plan, as amended.</w:t>
      </w:r>
    </w:p>
    <w:p>
      <w:pPr>
        <w:spacing w:after="0" w:line="171" w:lineRule="exact"/>
        <w:rPr>
          <w:sz w:val="20"/>
          <w:szCs w:val="20"/>
          <w:color w:val="auto"/>
        </w:rPr>
      </w:pPr>
    </w:p>
    <w:p>
      <w:pPr>
        <w:jc w:val="both"/>
        <w:ind w:right="620"/>
        <w:spacing w:after="0" w:line="258" w:lineRule="auto"/>
        <w:rPr>
          <w:sz w:val="20"/>
          <w:szCs w:val="20"/>
          <w:color w:val="auto"/>
        </w:rPr>
      </w:pPr>
      <w:r>
        <w:rPr>
          <w:rFonts w:ascii="Times New Roman" w:cs="Times New Roman" w:eastAsia="Times New Roman" w:hAnsi="Times New Roman"/>
          <w:sz w:val="18"/>
          <w:szCs w:val="18"/>
          <w:color w:val="auto"/>
        </w:rPr>
        <w:t>To date, all stock incentives issued under the 2018 Plan have been in the form of RSUs. RSUs granted under the 2018 Plan vest and settle upon the satisfaction of a time-based condition or with both time- and performance-based conditions. The time-based condition for these awards is generally satisfied over three or four years with annual vesting. Details of unvested RSU activity during the six months ended June 30, 2022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60" w:type="dxa"/>
            <w:vAlign w:val="bottom"/>
          </w:tcPr>
          <w:p>
            <w:pPr>
              <w:spacing w:after="0"/>
              <w:rPr>
                <w:sz w:val="14"/>
                <w:szCs w:val="14"/>
                <w:color w:val="auto"/>
              </w:rPr>
            </w:pPr>
          </w:p>
        </w:tc>
        <w:tc>
          <w:tcPr>
            <w:tcW w:w="20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60" w:type="dxa"/>
            <w:vAlign w:val="bottom"/>
          </w:tcPr>
          <w:p>
            <w:pPr>
              <w:spacing w:after="0"/>
              <w:rPr>
                <w:sz w:val="14"/>
                <w:szCs w:val="14"/>
                <w:color w:val="auto"/>
              </w:rPr>
            </w:pPr>
          </w:p>
        </w:tc>
        <w:tc>
          <w:tcPr>
            <w:tcW w:w="15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36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1,306,953</w:t>
            </w:r>
          </w:p>
        </w:tc>
        <w:tc>
          <w:tcPr>
            <w:tcW w:w="3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4"/>
                <w:szCs w:val="24"/>
                <w:color w:val="auto"/>
                <w:vertAlign w:val="superscript"/>
              </w:rPr>
              <w:t>(1)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113,000</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Vested and delivered</w:t>
            </w:r>
            <w:r>
              <w:rPr>
                <w:rFonts w:ascii="Times New Roman" w:cs="Times New Roman" w:eastAsia="Times New Roman" w:hAnsi="Times New Roman"/>
                <w:sz w:val="24"/>
                <w:szCs w:val="24"/>
                <w:color w:val="auto"/>
                <w:vertAlign w:val="superscript"/>
              </w:rPr>
              <w:t>(2)</w:t>
            </w:r>
          </w:p>
        </w:tc>
        <w:tc>
          <w:tcPr>
            <w:tcW w:w="2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(214,256 )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Withheld as treasury stock</w:t>
            </w:r>
            <w:r>
              <w:rPr>
                <w:rFonts w:ascii="Times New Roman" w:cs="Times New Roman" w:eastAsia="Times New Roman" w:hAnsi="Times New Roman"/>
                <w:sz w:val="24"/>
                <w:szCs w:val="24"/>
                <w:color w:val="auto"/>
                <w:vertAlign w:val="superscript"/>
              </w:rPr>
              <w:t>(2)</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(106,254 )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not delivered</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(29,825 )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60" w:type="dxa"/>
            <w:vAlign w:val="bottom"/>
            <w:tcBorders>
              <w:bottom w:val="single" w:sz="8" w:color="CFF0FC"/>
            </w:tcBorders>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Unvested as of June 30, 2022</w:t>
            </w:r>
            <w:r>
              <w:rPr>
                <w:rFonts w:ascii="Times New Roman" w:cs="Times New Roman" w:eastAsia="Times New Roman" w:hAnsi="Times New Roman"/>
                <w:sz w:val="24"/>
                <w:szCs w:val="24"/>
                <w:color w:val="auto"/>
                <w:vertAlign w:val="superscript"/>
              </w:rPr>
              <w:t>(3)</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1,070,368</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580" w:hanging="372"/>
        <w:spacing w:after="0" w:line="26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June 30, 2022, the Company granted an aggregate of 113,000 RSUs to certain employees at grant date fair values ranging from $20.50 to $28.75 per share, with a vesting period ranging from two to four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0" w:name="page11"/>
    <w:bookmarkEnd w:id="10"/>
    <w:p>
      <w:pPr>
        <w:ind w:left="380" w:right="20" w:hanging="372"/>
        <w:spacing w:after="0" w:line="242"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August 29, 2019 to November 20, 2020, the Company granted an aggregate of 455,000 RSUs. Such RSU grants shall not vest unless and until the Company has, for any fiscal quarter in which the RSUs are outstanding, (i) gross revenue determined in accordance with the Company’s reviewed or audited financial statements in excess of $12.5 million for such fiscal quarter, and (ii) positive adjusted EBITDA of at least $2.0 million, as determined based on amounts derived from the Company’s reviewed or audited financial statements for such fiscal quarter, subject to the recipient continuing to provide services to the Company either as an employee, director or consultant on the last day of the quarter that the performance criteria are met. Provided the respective performance criteria are met, the RSUs will vest in accordance with the time-based requirements contained in the award agreement over three years. In the event of a change of control, all RSUs which have not vested on the date of such change of control shall immediately vest even if the performance criteria have not been met. As of the respective grant dates, the Company determined that it was probable that such performance criteria would be met and therefore, began to record the related amortization expense on the grant dates. The Company determined that the performance criteria were met as of March 31, 2022. As a result, 177,304 RSUs were included above in "Vested and delivered" and 106,031 RSUs were included above in "Withheld as treasury stock."</w:t>
      </w:r>
    </w:p>
    <w:p>
      <w:pPr>
        <w:spacing w:after="0" w:line="147" w:lineRule="exact"/>
        <w:rPr>
          <w:rFonts w:ascii="Times New Roman" w:cs="Times New Roman" w:eastAsia="Times New Roman" w:hAnsi="Times New Roman"/>
          <w:sz w:val="18"/>
          <w:szCs w:val="18"/>
          <w:color w:val="auto"/>
        </w:rPr>
      </w:pPr>
    </w:p>
    <w:p>
      <w:pPr>
        <w:ind w:left="380" w:right="40" w:hanging="372"/>
        <w:spacing w:after="0" w:line="247"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2021, the Company granted 120,000 RSUs, subject to performance-based requirements, to one non-executive employee, which was subsequently modified on February 18, 2022, with a fair value of $27.23 per share as of the modification date. Such RSU grants shall not vest unless and until the Company has achieved certain revenue for a portion of its business prior to the achievement date deadline for each performance milestone. No amortization of share-based compensation expense has been recognized for these RSUs, because, as of June 30, 2022, the Company determined that it is not probable that such performance criteria will be met. The 120,000 RSUs were included in "Unvested as of June 30, 2022" with a fair value of $27.23 per share.</w:t>
      </w:r>
    </w:p>
    <w:p>
      <w:pPr>
        <w:spacing w:after="0" w:line="15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As of June 30, 2022, unrecognized share-based compensation expense associated with the granted RSUs amounted to $15,894, which is expected to be recognized over a remaining weighted average period of 2.6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was allocated to the following accounts in the condensed consolidated financial statements for the three and six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800" w:type="dxa"/>
            <w:vAlign w:val="bottom"/>
            <w:tcBorders>
              <w:top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2,007</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tcPr>
          <w:p>
            <w:pPr>
              <w:spacing w:after="0"/>
              <w:rPr>
                <w:sz w:val="18"/>
                <w:szCs w:val="18"/>
                <w:color w:val="auto"/>
              </w:rPr>
            </w:pPr>
          </w:p>
        </w:tc>
      </w:tr>
      <w:tr>
        <w:trPr>
          <w:trHeight w:val="210"/>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2,165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 intangible assets</w:t>
            </w: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8"/>
                <w:szCs w:val="18"/>
                <w:color w:val="auto"/>
              </w:rPr>
            </w:pPr>
          </w:p>
        </w:tc>
      </w:tr>
      <w:tr>
        <w:trPr>
          <w:trHeight w:val="250"/>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2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2,509</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-24765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Agreement</w:t>
      </w:r>
    </w:p>
    <w:p>
      <w:pPr>
        <w:spacing w:after="0" w:line="187"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On August 7, 2018, the Company entered into a services agreement (the “Services Agreement”) with Mr. Michael Brauser (the “Consultant”), a greater than 10% stockholder, pursuant to which, the Consultant received cash compensation of $30 per month and was entitled to participate in the Company’s incentive compensation plan. The Services Agreement terminated on August 6, 2021, as further detailed below.</w:t>
      </w:r>
    </w:p>
    <w:p>
      <w:pPr>
        <w:spacing w:after="0" w:line="12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On February 16, 2021, the Company entered into a Separation Agreement (the "Separation Agreement") with the Consultant. Pursuant to the Separation Agreement, the parties agreed that the Services Agreement which expired on August 6, 2021 (“Expiration Date”), would not be renewed, but would continue in force and effect until the Expiration Date. As part of the Separation Agreement, the Consultant agreed (i) to certain non-solicitation obligations contained therein, (ii) that he and his affiliates would not disparage or assist or cooperate with any person or entity seeking to publicly disparage or economically harm the Company, (iii) that the Consultant and his affiliates would not initiate any lawsuit, claim, or proceeding with respect to any claims against the Company, except (with designated exceptions) for any legal proceeding initiated solely to remedy a breach of or to enforce the Separation Agreement, and (iv) with respect to each annual or special meeting of the Company's stockholders until the Expiration Date of the Separation Agreement, the Consultant agreed to vote the shares of the Company's common stock or any other securities entitled to vote then held by him or his affiliates in accordance with the board of directors' recommendations on director proposals (subject to certain board of directors change thresholds), and the ratification of the appointment of the Company’s independent registered public accounting firm.</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spacing w:after="0" w:line="241" w:lineRule="auto"/>
        <w:rPr>
          <w:sz w:val="20"/>
          <w:szCs w:val="20"/>
          <w:color w:val="auto"/>
        </w:rPr>
      </w:pPr>
      <w:r>
        <w:rPr>
          <w:rFonts w:ascii="Times New Roman" w:cs="Times New Roman" w:eastAsia="Times New Roman" w:hAnsi="Times New Roman"/>
          <w:sz w:val="18"/>
          <w:szCs w:val="18"/>
          <w:color w:val="auto"/>
        </w:rPr>
        <w:t>The Company agreed (i) that the remaining unvested 166,666 RSUs previously granted to Consultant in accordance with the 2018 RSU agreement would continue to vest on July 1, 2021, in accordance with and subject to all other provisions and conditions of such grant, (ii) to amend the 2020 RSU agreement, previously granting Consultant 30,000 RSUs such that the 30,000 RSUs would continue to vest 33-1/3% on November 1, 2021, 66-2/3% on November 1, 2022, and 100% on November 1, 2023, without certain Company performance criteria, subject to all other provisions and conditions of such grant, (iii) to include shares of the Company's common stock held by the Consultant or his affiliates in any registration statement the Company files for the benefit of selling stockholders at any time when the Consultant or his affiliates beneficially own 10% or more of the Company's common stock, and (iv) to not initiate any lawsuit, claim, or proceeding with respect to any claims against the Consultant and his affiliates, except (with designated exceptions) for any legal proceeding initiated solely to remedy a breach of or to enforce the Separation Agreement. As a result of the modification to the 2020 RSU agreement, beginning February 16, 2021, the Company recognized an aggregate of $723 in share-based compensation expense over the remaining service period which ended on the Expiration Date.</w:t>
      </w:r>
    </w:p>
    <w:p>
      <w:pPr>
        <w:spacing w:after="0" w:line="163"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The Company recognized consulting service fees relating to the Services Agreement of a total of $90 and $180 during the three and six months ended June 30, 2021, respectively. In addition, amortization of share-based compensation expense of $724 and $1,272 (inclusive of the amortization of share-based compensation expense in relation with the modification of RSUs mentioned above) for the three and six months ended June 30, 2021, respectively, was recognized in relation to the RSUs previously granted to the Consultant. There were no such expenses recognized during the three and six months ended June 30, 2022.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8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Company leases its corporate headquarters of 21,020 rentable square feet in accordance with a non-cancelable 89-month operating lease agreement as amended and effective in January 2017, with an option to extend for an additional 60 months. The Company also leases an additional office space of 6,003 rentable square feet in accordance with a non-cancellable 90-month operating lease agreement entered into in April 2017, with an option to extend for an additional 60 months. The extension option is not included in the determination of the lease term as it is not reasonably certain to be exercised.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2022 and 2021, a summary of the Company’s lease information is shown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96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9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9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of June 30, 2022, the weighted average remaining operating lease term was 2.3 years.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As of June 30, 2022, scheduled future maturities and present value of the operating lease liabilities are as follows: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3"/>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9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1,758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Present value included in consolidated balance sheet:</w:t>
            </w: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9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1,608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0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w w:val="99"/>
              </w:rPr>
              <w:t>Difference between the maturities and the present value of operating lease liabilities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3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00" w:type="dxa"/>
            <w:vAlign w:val="bottom"/>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7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Capital commitment</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incurred data costs of $2,252 and $2,108 for the three months ended June 30, 2022 and 2021, respectively, and $4,500 and $4,230 for the six months ended June 30, 2022 and 2021, respectively, under certain data licensing agreements. As of June 30, 2022, material capital commitments under certain data licensing agreements were $30,605, shown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6"/>
                <w:szCs w:val="16"/>
                <w:color w:val="auto"/>
              </w:rPr>
            </w:pPr>
          </w:p>
        </w:tc>
      </w:tr>
      <w:tr>
        <w:trPr>
          <w:trHeight w:val="210"/>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00" w:type="dxa"/>
            <w:vAlign w:val="bottom"/>
            <w:shd w:val="clear" w:color="auto" w:fill="CFF0FC"/>
          </w:tcPr>
          <w:p>
            <w:pPr>
              <w:spacing w:after="0"/>
              <w:rPr>
                <w:sz w:val="18"/>
                <w:szCs w:val="18"/>
                <w:color w:val="auto"/>
              </w:rPr>
            </w:pPr>
          </w:p>
        </w:tc>
      </w:tr>
      <w:tr>
        <w:trPr>
          <w:trHeight w:val="216"/>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100" w:type="dxa"/>
            <w:vAlign w:val="bottom"/>
          </w:tcPr>
          <w:p>
            <w:pPr>
              <w:spacing w:after="0"/>
              <w:rPr>
                <w:sz w:val="18"/>
                <w:szCs w:val="18"/>
                <w:color w:val="auto"/>
              </w:rPr>
            </w:pPr>
          </w:p>
        </w:tc>
      </w:tr>
      <w:tr>
        <w:trPr>
          <w:trHeight w:val="216"/>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100" w:type="dxa"/>
            <w:vAlign w:val="bottom"/>
            <w:shd w:val="clear" w:color="auto" w:fill="CFF0FC"/>
          </w:tcPr>
          <w:p>
            <w:pPr>
              <w:spacing w:after="0"/>
              <w:rPr>
                <w:sz w:val="18"/>
                <w:szCs w:val="18"/>
                <w:color w:val="auto"/>
              </w:rPr>
            </w:pPr>
          </w:p>
        </w:tc>
      </w:tr>
      <w:tr>
        <w:trPr>
          <w:trHeight w:val="216"/>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100" w:type="dxa"/>
            <w:vAlign w:val="bottom"/>
          </w:tcPr>
          <w:p>
            <w:pPr>
              <w:spacing w:after="0"/>
              <w:rPr>
                <w:sz w:val="18"/>
                <w:szCs w:val="18"/>
                <w:color w:val="auto"/>
              </w:rPr>
            </w:pPr>
          </w:p>
        </w:tc>
      </w:tr>
      <w:tr>
        <w:trPr>
          <w:trHeight w:val="216"/>
        </w:trPr>
        <w:tc>
          <w:tcPr>
            <w:tcW w:w="9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30,605</w:t>
            </w:r>
          </w:p>
        </w:tc>
        <w:tc>
          <w:tcPr>
            <w:tcW w:w="100" w:type="dxa"/>
            <w:vAlign w:val="bottom"/>
          </w:tcPr>
          <w:p>
            <w:pPr>
              <w:spacing w:after="0"/>
              <w:rPr>
                <w:sz w:val="18"/>
                <w:szCs w:val="18"/>
                <w:color w:val="auto"/>
              </w:rPr>
            </w:pPr>
          </w:p>
        </w:tc>
      </w:tr>
      <w:tr>
        <w:trPr>
          <w:trHeight w:val="20"/>
        </w:trPr>
        <w:tc>
          <w:tcPr>
            <w:tcW w:w="9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Contingencies</w:t>
      </w:r>
    </w:p>
    <w:p>
      <w:pPr>
        <w:spacing w:after="0" w:line="18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its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w:t>
      </w:r>
    </w:p>
    <w:p>
      <w:pPr>
        <w:spacing w:after="0" w:line="154"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Covid-19 update</w:t>
      </w:r>
    </w:p>
    <w:p>
      <w:pPr>
        <w:spacing w:after="0" w:line="17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During 2020, the Company experienced significantly reduced commercial activity in numerous aspects of its business as a result of the preventative and protective actions taken by federal, state and local governments to combat Covid-19, including the implementation of stay-at-home orders, social distancing policies and certain temporary government-imposed moratoria on collection customers’ activities. During 2021 and the six months ended June 30, 2022, the Company saw ongoing improvement in its results of operations, with the exception of the Company's idiVERIFIED service, which is an ancillary collections market offering that is purely transactional and of a lower margin profile. The Company expects its idiVERIFIED service volume to return to pre-Covid levels in the first half of 2023. Given the ongoing uncertainty and the unpredictable nature of the pandemic, including the emergence of new variants and the development, availability, distribution and effectiveness of vaccines, the full impact of the Covid-19 pandemic on the Company's ongoing business, results of operations and overall financial performance cannot be reasonably estimated at this time.</w:t>
      </w:r>
    </w:p>
    <w:p>
      <w:pPr>
        <w:spacing w:after="0" w:line="15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To further support the Company’s liquidity, beginning April 1, 2020, the Company elected, under Section 2302 of the Coronavirus Aid, Relief, and Economic Security Act (“CARES Act”), to defer payment of the employer portion of Social Security payroll tax. Under the CARES Act, employers could forgo timely payment of the employer portion of Social Security taxes that would otherwise be due from March 27, 2020 through December 31, 2020, without penalty or interest charges. Employers must pay 50% of the deferred amount by December 31, 2021, and the remainder by December 31, 2022. The Company paid 50% of the deferred amount in December 2021. On May 5, 2020, the Company received funding under a promissory note dated May 5, 2020 evidencing an unsecured non-recourse loan under the CARES Act, which was fully forgiven by Legacy Bank of Florida and the U.S. Small Business Administration in June 2021, resulting in a gain on extinguishment of debt of $2,175 during the three and six months ended June 30, 2021. The Company will continue to assess the CARES Act and other applicable government legislation aimed at assisting businesses during the Covid-19 pandemic.</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our condensed consolidated financial statements and related notes included elsewhere in this Quarterly Report on Form 10-Q (“Form 10-Q”). This Form 10-Q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including the impact of the coronavirus (“Covid-19”) pandemic on our operating results. These factors include those contained in this Form 10-Q, as well as the disclosures made in the Company’s Annual Report on Form 10-K for the year ended December 31, 2021 filed on March 9, 2022 (“Form 10-K”), and other filings we make with the Securities and Exchange Commission.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 To the extent that our business is negatively impacted due to a variety of factors, including the impact of Covid-19 on our operating results, we may implement longer-term cost reduction efforts in order to mitigate such impacts.</w:t>
      </w:r>
    </w:p>
    <w:p>
      <w:pPr>
        <w:spacing w:after="0" w:line="144" w:lineRule="exact"/>
        <w:rPr>
          <w:sz w:val="20"/>
          <w:szCs w:val="20"/>
          <w:color w:val="auto"/>
        </w:rPr>
      </w:pPr>
    </w:p>
    <w:p>
      <w:pPr>
        <w:ind w:right="920"/>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discussion and analysis to “we,” “us,” “our,” “red violet,” or the “Company,” refer to Red Violet, Inc. and its consolidated subsidiaries.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Red Violet, Inc. (“we,” “us,” “our,” “red violet,” or the “Company”),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intelligent platform, CORE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purpose-built for the enterprise, yet flexible enough for organizations of all sizes, bringing clarity to massive datasets by transforming data into intelligence. We drive workflow efficiency and enable organizations to make better data-driven decisions.</w:t>
      </w:r>
    </w:p>
    <w:p>
      <w:pPr>
        <w:spacing w:after="0" w:line="14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Organizations are challenged by the structure, volume and disparity of data. Our platform and applications transform the way our customers interact with information,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to ensure safety, and to reduce fraud and the concomitant expense borne by society.</w:t>
      </w:r>
    </w:p>
    <w:p>
      <w:pPr>
        <w:spacing w:after="0" w:line="16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While our platform powers many diverse solutions for our customers, we presently market our solutions primarily through two brands, IDI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FOREWARN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IDI is a leading-edge, analytics and information solutions provider delivering actionable intelligence to the risk management industry in support of use cases such as the verification and authentication of consumer identities, due diligence, prevention of fraud and abuse, legislative compliance, and debt recovery. idiCORE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IDI's flagship product. idiCORE is a next-generation, investigative solution used to address a variety of organizational challenges including due diligence, risk mitigation, identity authentication and regulatory compliance, by financial services companies, insurance companies, healthcare companies, law enforcement and government,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June 30, 2022 and 2021, IDI had 6,817 and 6,141 billable customers and FOREWARN had 101,261 and 67,578 users, respectively. The Company defines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the Company counts the entire organization as a discrete customer. The Company defines a user of FOREWARN as a unique person that has a subscription to use the FOREWARN service as of the last day of the period. A unique person can only have one user account.</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14" w:name="page15"/>
    <w:bookmarkEnd w:id="14"/>
    <w:p>
      <w:pPr>
        <w:ind w:right="120"/>
        <w:spacing w:after="0" w:line="245" w:lineRule="auto"/>
        <w:rPr>
          <w:sz w:val="20"/>
          <w:szCs w:val="20"/>
          <w:color w:val="auto"/>
        </w:rPr>
      </w:pPr>
      <w:r>
        <w:rPr>
          <w:rFonts w:ascii="Times New Roman" w:cs="Times New Roman" w:eastAsia="Times New Roman" w:hAnsi="Times New Roman"/>
          <w:sz w:val="18"/>
          <w:szCs w:val="18"/>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three months ended June 30, 2022 and 2021, 80% and 81% of total revenue was attributable to customers with pricing contracts, respectively, versus 20% and 19% attributable to transactional customers, respectively. For the six months ended June 30, 2022 and 2021, 78% and 80% of total revenue was attributable to customers with pricing contracts, respectively, versus 22% and 20% attributable to transactional customers, respectively.</w:t>
      </w:r>
    </w:p>
    <w:p>
      <w:pPr>
        <w:spacing w:after="0" w:line="14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free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spacing w:after="0" w:line="12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During 2020, we experienced significantly reduced commercial activity in numerous aspects of our business as a result of the preventative and protective actions taken by federal, state and local governments to combat Covid-19, including the implementation of stay-at-home orders, social distancing policies and certain temporary government-imposed moratoria on collection customers’ activities. During 2021 and the six months ended June 30, 2022, we saw ongoing improvement in our results of operations, with the exception of our idiVERIFIED service, which is an ancillary collections market offering that is purely transactional and of a lower margin profile. We expect our idiVERIFIED service volume to return to pre-Covid levels in the first half of 2023. Given the ongoing uncertainty and the unpredictable nature of the pandemic, including the emergence of new variants and the development, availability, distribution and effectiveness of vaccines, the full impact of the Covid-19 pandemic on our ongoing business, results of operations and overall financial performance cannot be reasonably estimated at this time.</w:t>
      </w:r>
    </w:p>
    <w:p>
      <w:pPr>
        <w:spacing w:after="0" w:line="15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To further support our liquidity, beginning April 1, 2020, we elected, under Section 2302 of the Coronavirus Aid, Relief, and Economic Security Act (“CARES Act”), to defer payment of the employer portion of Social Security payroll tax. Under the CARES Act, employers could forgo timely payment of the employer portion of Social Security taxes that would otherwise be due from March 27, 2020 through December 31, 2020, without penalty or interest charges. Employers must pay 50% of the deferred amount by December 31, 2021, and the remainder by December 31, 2022. We paid 50% of the deferred amount in December 2021. On May 5, 2020, we received funding under a promissory note dated May 5, 2020 evidencing an unsecured non-recourse loan in the principal amount of $2.2 million under the CARES Act ("CARES Act Loan"), which was fully forgiven by Legacy Bank of Florida (the "Lender") and the U.S. Small Business Administration in June 2021, resulting in a gain on extinguishment of debt of $2.2 million during the three and six months ended June 30, 2021. We will continue to assess the CARES Act and other applicable government legislation aimed at assisting businesses during the Covid-19 pandemic.</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are based upon our condensed consolidated financial statements, which have been prepared in accordance with accounting principles generally accepted in the United States (“US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the allowance for doubtful accounts, useful lives of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5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additional information, please refer to our Form 10-K. There have been no material changes to Critical Accounting Policies and Estimates disclosed in our Form 10-K.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1(b), “</w:t>
      </w:r>
      <w:r>
        <w:rPr>
          <w:rFonts w:ascii="Times New Roman" w:cs="Times New Roman" w:eastAsia="Times New Roman" w:hAnsi="Times New Roman"/>
          <w:sz w:val="18"/>
          <w:szCs w:val="18"/>
          <w:i w:val="1"/>
          <w:iCs w:val="1"/>
          <w:color w:val="auto"/>
        </w:rPr>
        <w:t>Recently issued accounting standards,”</w:t>
      </w:r>
      <w:r>
        <w:rPr>
          <w:rFonts w:ascii="Times New Roman" w:cs="Times New Roman" w:eastAsia="Times New Roman" w:hAnsi="Times New Roman"/>
          <w:sz w:val="18"/>
          <w:szCs w:val="18"/>
          <w:color w:val="auto"/>
        </w:rPr>
        <w:t xml:space="preserve"> in “Notes to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Financial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2022 as compared to the three months ended June 30, 2021:</w:t>
      </w:r>
    </w:p>
    <w:p>
      <w:pPr>
        <w:spacing w:after="0" w:line="104"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15% to $12.5 million. Platform revenue increased 15% to $12.2 million. Services revenue increased 6% to $0.3 million.</w:t>
      </w:r>
    </w:p>
    <w:p>
      <w:pPr>
        <w:spacing w:after="0" w:line="10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16% to $8.0 million. Gross margin increased to 64% from 63%.</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increased 17% to $9.6 million. Adjusted gross margin increased to 77% from 75%.</w:t>
      </w:r>
    </w:p>
    <w:p>
      <w:pPr>
        <w:spacing w:after="0" w:line="103" w:lineRule="exact"/>
        <w:rPr>
          <w:rFonts w:ascii="Times New Roman" w:cs="Times New Roman" w:eastAsia="Times New Roman" w:hAnsi="Times New Roman"/>
          <w:sz w:val="18"/>
          <w:szCs w:val="18"/>
          <w:color w:val="auto"/>
        </w:rPr>
      </w:pPr>
    </w:p>
    <w:p>
      <w:pPr>
        <w:ind w:left="380" w:right="240" w:hanging="372"/>
        <w:spacing w:after="0" w:line="266"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$0.2 million compared to a net income of $1.8 million (inclusive of a one-time gain of $2.2 million on the extinguishment of debt from the forgiveness of the Cares Act Loan).</w:t>
      </w:r>
    </w:p>
    <w:p>
      <w:pPr>
        <w:spacing w:after="0" w:line="5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decreased 6% to $2.9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from operating activities increased 10% to $2.5 million.</w:t>
      </w:r>
    </w:p>
    <w:p>
      <w:pPr>
        <w:spacing w:after="0" w:line="10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$32.3 million as of June 30, 2022.s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and Recent Business Highlights</w:t>
      </w:r>
    </w:p>
    <w:p>
      <w:pPr>
        <w:spacing w:after="0" w:line="121"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225 customers to IDI during the second quarter, ending the quarter with 6,817 customers.</w:t>
      </w:r>
    </w:p>
    <w:p>
      <w:pPr>
        <w:spacing w:after="0" w:line="110" w:lineRule="exact"/>
        <w:rPr>
          <w:rFonts w:ascii="Times New Roman" w:cs="Times New Roman" w:eastAsia="Times New Roman" w:hAnsi="Times New Roman"/>
          <w:sz w:val="18"/>
          <w:szCs w:val="18"/>
          <w:color w:val="auto"/>
        </w:rPr>
      </w:pPr>
    </w:p>
    <w:p>
      <w:pPr>
        <w:ind w:left="380" w:right="260" w:hanging="372"/>
        <w:spacing w:after="0" w:line="227"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Surpassed 100,000 users on FOREWARN during the second quarter, ending the quarter with 101,261 users. Over 205 REALTOR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Associations are now contracted to use FOREWARN.</w:t>
      </w:r>
    </w:p>
    <w:p>
      <w:pPr>
        <w:spacing w:after="0" w:line="8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idiTRACE™, a premier SSN Trace solution for background screening organizations.</w:t>
      </w:r>
    </w:p>
    <w:p>
      <w:pPr>
        <w:spacing w:after="0" w:line="17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Platform revenue consists of both contractual and transactional revenue generated from our technology platform, CORE. It includes all revenue generated through our idiCORE and FOREWARN solutions. The cost of platform revenue, which consists primarily of data acquisition costs, remains relatively fixed irrespective of revenue generation. Services revenue consists of revenue generated from our idiVERIFIED service, which is an ancillary collections market offering that is purely transactional and of a lower margin profile. The cost of services revenue, which consists primarily of third-party servicer costs, is variable.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189"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18"/>
          <w:szCs w:val="18"/>
          <w:color w:val="auto"/>
        </w:rPr>
        <w:t>Management evaluates the financial performance of our business on a variety of key indicators, including non-GAAP metrics of adjusted EBITDA, adjusted EBITDA margin, adjusted gross profit and adjusted gross margin. Adjusted EBITDA is a financial measure equal to net (loss) income, the most directly comparable financial measure based on US GAAP, excluding interest expense (income), net, income tax expense, depreciation and amortization, share-based compensation expense, gain on extinguishment of debt, litigation costs, and write-off of long-lived assets and others, as noted in the tables below. We define adjusted EBITDA margin as adjusted EBITDA as a percentage of revenue. We define adjusted gross profit as revenue less cost of revenue (exclusive of depreciation and amortization), and adjusted gross margin as adjusted gross profit as a percentage of revenue.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2880" w:type="dxa"/>
            <w:vAlign w:val="bottom"/>
            <w:gridSpan w:val="5"/>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78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040" w:type="dxa"/>
            <w:vAlign w:val="bottom"/>
            <w:gridSpan w:val="2"/>
            <w:vMerge w:val="continue"/>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(2,175 )</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(2,175 )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Litigation costs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Write-off of long-lived assets and others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12,494</w:t>
            </w:r>
          </w:p>
        </w:tc>
        <w:tc>
          <w:tcPr>
            <w:tcW w:w="22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10,879</w:t>
            </w:r>
          </w:p>
        </w:tc>
        <w:tc>
          <w:tcPr>
            <w:tcW w:w="22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25,223</w:t>
            </w:r>
          </w:p>
        </w:tc>
        <w:tc>
          <w:tcPr>
            <w:tcW w:w="22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21,096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margin</w:t>
            </w:r>
          </w:p>
        </w:tc>
        <w:tc>
          <w:tcPr>
            <w:tcW w:w="3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3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3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196"/>
        </w:trPr>
        <w:tc>
          <w:tcPr>
            <w:tcW w:w="49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2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22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22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22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CFF0FC"/>
            </w:tcBorders>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-1113790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-1096645</wp:posOffset>
            </wp:positionV>
            <wp:extent cx="774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-1113790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-1096645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-1113790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-1096645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-650875</wp:posOffset>
            </wp:positionV>
            <wp:extent cx="3934460" cy="162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934460"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11" w:right="2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following is a reconciliation of gross profit, the most directly comparable US GAAP financial measure, to adjusted gross profit: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040" w:type="dxa"/>
            <w:vAlign w:val="bottom"/>
            <w:vMerge w:val="continue"/>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12,494</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10,879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25,223</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04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840" w:type="dxa"/>
            <w:vAlign w:val="bottom"/>
          </w:tcPr>
          <w:p>
            <w:pPr>
              <w:spacing w:after="0"/>
              <w:rPr>
                <w:sz w:val="20"/>
                <w:szCs w:val="20"/>
                <w:color w:val="auto"/>
              </w:rPr>
            </w:pPr>
          </w:p>
        </w:tc>
        <w:tc>
          <w:tcPr>
            <w:tcW w:w="7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98"/>
              </w:rPr>
              <w:t>(2,920 )</w:t>
            </w:r>
          </w:p>
        </w:tc>
        <w:tc>
          <w:tcPr>
            <w:tcW w:w="86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(2,720 )</w:t>
            </w:r>
          </w:p>
        </w:tc>
        <w:tc>
          <w:tcPr>
            <w:tcW w:w="300" w:type="dxa"/>
            <w:vAlign w:val="bottom"/>
          </w:tcPr>
          <w:p>
            <w:pPr>
              <w:spacing w:after="0"/>
              <w:rPr>
                <w:sz w:val="20"/>
                <w:szCs w:val="20"/>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(6,090 )</w:t>
            </w: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(5,481 )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8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8"/>
              </w:rPr>
              <w:t>(1,551 )</w:t>
            </w:r>
          </w:p>
        </w:tc>
        <w:tc>
          <w:tcPr>
            <w:tcW w:w="8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(1,272 )</w:t>
            </w: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(3,023 )</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220" w:type="dxa"/>
            <w:vAlign w:val="bottom"/>
            <w:tcBorders>
              <w:top w:val="single" w:sz="8" w:color="CFF0F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2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16,110</w:t>
            </w:r>
          </w:p>
        </w:tc>
        <w:tc>
          <w:tcPr>
            <w:tcW w:w="2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13,140</w:t>
            </w: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8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2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9,574</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19,133</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8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3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3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Adjusted gross margin</w:t>
            </w: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8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-916305</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-916305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-916305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-633730</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-633730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-633730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5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In order to assist readers of our condensed consolidated financial statements in understanding the operating results that management uses to evaluate the business and for financial planning purposes, we present non-GAAP measures of adjusted EBITDA, adjusted EBITDA margin, adjusted gross profit and adjusted gross margin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54"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We believe adjusted EBITDA, adjusted EBITDA margin, adjusted gross profit and adjusted gross margin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Our adjusted gross profit is a measure used by management in evaluating the business’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w:t>
      </w:r>
    </w:p>
    <w:p>
      <w:pPr>
        <w:spacing w:after="0" w:line="14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Adjusted EBITDA, adjusted EBITDA margin, adjusted gross profit and adjusted gross margin are not intended to be performance measures that should be regarded as an alternative to, or more meaningful than, financial measures presented in accordance with US GAAP. The way we measure adjusted EBITDA, adjusted EBITDA margin, adjusted gross profit and adjusted gross margin may not be comparable to similarly titled measures presented by other companies, and may not be identical to corresponding measures used in our various agreements.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2022 compared to three months ended June 30, 2021</w:t>
      </w:r>
    </w:p>
    <w:p>
      <w:pPr>
        <w:spacing w:after="0" w:line="183"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 Revenue increased $1.6 million or 15% to $12.5 million for the three months ended June 30, 2022 from $10.9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2021. Base revenue from existing customers increased $1.8 million or 22%, while growth revenue from existing customers decreased $0.1 million or 4%, and revenue from new customers decreased $0.1 million or 13%. Our IDI billable customer base grew from 6,141 customers as of June 30, 2021 to 6,817 customers as of June 30, 2022, and our FOREWARN user base grew from 67,578 users to 101,261 users during that same period.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1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13" w:right="279" w:bottom="1440" w:gutter="0" w:footer="0" w:header="0"/>
        </w:sectPr>
      </w:pPr>
    </w:p>
    <w:bookmarkStart w:id="17" w:name="page18"/>
    <w:bookmarkEnd w:id="17"/>
    <w:p>
      <w:pPr>
        <w:ind w:right="1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r>
        <w:rPr>
          <w:rFonts w:ascii="Times New Roman" w:cs="Times New Roman" w:eastAsia="Times New Roman" w:hAnsi="Times New Roman"/>
          <w:sz w:val="18"/>
          <w:szCs w:val="18"/>
          <w:color w:val="auto"/>
        </w:rPr>
        <w:t>. Cost of revenue increased $0.2 million or 7% to $2.9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2022 from $2.7 million for the three months ended June 30, 2021. Our cost of revenue primarily includes data acquisition costs. Data acquisition costs consist primarily of the costs to acquire data either on a transactional basis or through flat-fee data licensing agreements, including unlimited usage agreements. We continue to enhance the breadth and depth of our data through the addition and expansion of relationships with key data suppliers, including our largest data supplier, which accounted for approximately 48% of our total data acquisition costs for the three months ended June 30, 2022 compared to approximately 50% for the three months ended June 30, 2021. Other cost of revenue items include expenses related to third-party infrastructure fees.</w:t>
      </w:r>
    </w:p>
    <w:p>
      <w:pPr>
        <w:spacing w:after="0" w:line="13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As the construct of our data costs is primarily a flat-fee, unlimited usage model, the cost of revenue as a percentage of revenue decreased to 23% for the three months ended June 30, 2022 from 25% for the three months ended June 30, 2021.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4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r>
        <w:rPr>
          <w:rFonts w:ascii="Times New Roman" w:cs="Times New Roman" w:eastAsia="Times New Roman" w:hAnsi="Times New Roman"/>
          <w:sz w:val="18"/>
          <w:szCs w:val="18"/>
          <w:color w:val="auto"/>
        </w:rPr>
        <w:t>. Sales and marketing expenses increased $0.5 million or 20% to $2.8 million for the three months ended June 30, 2022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$2.3 million for the three months ended June 30, 2021. Sales and marketing expenses consist of salaries and benefits, advertising and marketing, travel expenses, and share-based compensation expense, incurred by our sales team, and provision for bad debts. The increase during the three months ended June 30, 2022 was primarily attributable to an increase of $0.4 million in salaries and benefits, and sales commissions resulting from increased revenue.</w:t>
      </w:r>
    </w:p>
    <w:p>
      <w:pPr>
        <w:spacing w:after="0" w:line="130"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color w:val="auto"/>
        </w:rPr>
        <w:t>. General and administrative expenses increased $0.4 million or 8% to $5.3 million for the three months ended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2022 from $4.9 million for the three months ended June 30, 2021. For the three months ended June 30, 2022 and 2021, our general and administrative expenses consisted primarily of employee salaries and benefits of $2.5 million and $1.6 million, share-based compensation expense of $1.3 million and $2.0 million, and professional fees of $0.9 million and $0.7 million, respectively.</w:t>
      </w:r>
    </w:p>
    <w:p>
      <w:pPr>
        <w:spacing w:after="0" w:line="143"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r>
        <w:rPr>
          <w:rFonts w:ascii="Times New Roman" w:cs="Times New Roman" w:eastAsia="Times New Roman" w:hAnsi="Times New Roman"/>
          <w:sz w:val="18"/>
          <w:szCs w:val="18"/>
          <w:color w:val="auto"/>
        </w:rPr>
        <w:t>. Depreciation and amortization expenses increased $0.3 million or 21% to $1.6 million for the three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from $1.3 million for the three months ended June 30, 2021. The increase in depreciation and amortization for the three months ended June 30, 2022 resulted primarily from the amortization of software developed for internal use that became ready for its intended use after June 30, 2021.</w:t>
      </w:r>
    </w:p>
    <w:p>
      <w:pPr>
        <w:spacing w:after="0" w:line="12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Gain on extinguishment of debt</w:t>
      </w:r>
      <w:r>
        <w:rPr>
          <w:rFonts w:ascii="Times New Roman" w:cs="Times New Roman" w:eastAsia="Times New Roman" w:hAnsi="Times New Roman"/>
          <w:sz w:val="18"/>
          <w:szCs w:val="18"/>
          <w:color w:val="auto"/>
        </w:rPr>
        <w:t>. On May 5, 2020, we received the CARES Act Loan in the principal amount of $2.2 million. On June 16, 2021,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a notice from the Lender that the full principal amount of the CARES Act Loan and its accrued interest had been fully forgiven, resulting in a gain on extinguishment of debt of $2.2 million during the three months ended June 30, 2021.</w:t>
      </w:r>
    </w:p>
    <w:p>
      <w:pPr>
        <w:spacing w:after="0" w:line="124"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(Loss) income before income taxes</w:t>
      </w:r>
      <w:r>
        <w:rPr>
          <w:rFonts w:ascii="Times New Roman" w:cs="Times New Roman" w:eastAsia="Times New Roman" w:hAnsi="Times New Roman"/>
          <w:sz w:val="18"/>
          <w:szCs w:val="18"/>
          <w:color w:val="auto"/>
        </w:rPr>
        <w:t>. Loss before income taxes was $0.2 million for the three months ended June 30, 2022 compared to income before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taxes of $1.8 million, inclusive of a one-time gain of $2.2 million on the extinguishment of debt from the forgiveness of the CARES Act Loan, for the three months ended June 30, 2021. The improvement in loss before income taxes, exclusive of the one-time gain of $2.2 million on the extinguishment of debt, was primarily attributable to the increase in revenue, decrease in our cost of revenue as a percentage of revenue, and decrease in share-based compensation expense, which was partially offset by the increase in employee salaries and benefits and sales commissions of $1.3 million, professional fees of $0.2 million, and depreciation and amortization of $0.3 million.</w:t>
      </w:r>
    </w:p>
    <w:p>
      <w:pPr>
        <w:spacing w:after="0" w:line="148"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Income tax expense of $44 thousand and $0 was recognized for the three months ended June 30, 2022 and 2021, respectively.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valuation allowance on the deferred tax assets was recognized as of June 30, 2022 and 2021, to reduce the deferred tax assets to the amount that is more likely than not to be realized. See Note 6, “Income Taxes,” included in “Notes to Condensed Consolidated Financial Statements.”</w:t>
      </w:r>
    </w:p>
    <w:p>
      <w:pPr>
        <w:spacing w:after="0" w:line="145" w:lineRule="exact"/>
        <w:rPr>
          <w:sz w:val="20"/>
          <w:szCs w:val="20"/>
          <w:color w:val="auto"/>
        </w:rPr>
      </w:pPr>
    </w:p>
    <w:p>
      <w:pPr>
        <w:jc w:val="both"/>
        <w:ind w:right="2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Net (loss) income</w:t>
      </w:r>
      <w:r>
        <w:rPr>
          <w:rFonts w:ascii="Times New Roman" w:cs="Times New Roman" w:eastAsia="Times New Roman" w:hAnsi="Times New Roman"/>
          <w:sz w:val="18"/>
          <w:szCs w:val="18"/>
          <w:color w:val="auto"/>
        </w:rPr>
        <w:t>. Net loss was $0.2 million for the three months ended June 30, 2022 compared to a net income of $1.8 million, inclusive of a one-time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gain of $2.2 million on the extinguishment of debt from the forgiveness of the CARES Act Loan, for the three months ended June 30, 2021, as a result of the foregoing.</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2022 compared to six months ended June 30, 2021</w:t>
      </w:r>
    </w:p>
    <w:p>
      <w:pPr>
        <w:spacing w:after="0" w:line="16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 Revenue increased $4.1 million or 20% to $25.2 million for the six months ended June 30, 2022 from $21.1 million for the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2021. Base revenue from existing customers increased $4.2 million or 27%, while growth revenue from existing customers remained consistent, and revenue from new customers decreased $0.1 million or 4%. Our IDI billable customer base grew from 6,141 customers as of June 30, 2021 to 6,817 customers as of June 30, 2022, and our FOREWARN user base grew from 67,578 users to 101,261 users during that same period.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13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r>
        <w:rPr>
          <w:rFonts w:ascii="Times New Roman" w:cs="Times New Roman" w:eastAsia="Times New Roman" w:hAnsi="Times New Roman"/>
          <w:sz w:val="18"/>
          <w:szCs w:val="18"/>
          <w:color w:val="auto"/>
        </w:rPr>
        <w:t>. Cost of revenue increased $0.6 million or 11% to $6.1 million for the six months ended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2022 from $5.5 million for the six months ended June 30, 2021. Our cost of revenue primarily includes data acquisition costs. Data acquisition costs consist primarily of the costs to acquire data either on a transactional basis or through flat-fee data licensing agreements, including unlimited usage agreements. We continue to enhance the breadth and depth of our data through the addition and expansion of relationships with key data suppliers, including our largest data supplier, which accounted for approximately 48% of our total data acquisition costs for the six months ended June 30, 2022 compared to approximately 49% for the six months ended June 30, 2021. Other cost of revenue items include expenses related to third-party infrastructure fees.</w:t>
      </w:r>
    </w:p>
    <w:p>
      <w:pPr>
        <w:spacing w:after="0" w:line="15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As the construct of our data costs is primarily a flat-fee, unlimited usage model, the cost of revenue as a percentage of revenue decreased to 24% for the six months ended June 30, 2022 from 26% for the six months ended June 30, 2021.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46"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r>
        <w:rPr>
          <w:rFonts w:ascii="Times New Roman" w:cs="Times New Roman" w:eastAsia="Times New Roman" w:hAnsi="Times New Roman"/>
          <w:sz w:val="18"/>
          <w:szCs w:val="18"/>
          <w:color w:val="auto"/>
        </w:rPr>
        <w:t>. Sales and marketing expenses increased $0.6 million or 14% to $5.2 million for the six months ended June 30, 2022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$4.6 million for the six months ended June 30, 2021. Sales and marketing expenses consist of salaries and benefits, advertising and marketing, travel expenses, and share-based compensation expense, incurred by our sales team, and provision for bad debts. The increase during the six months ended June 30, 2022 was primarily attributable to an increase of $0.6 million in salaries and benefits, and sales commissions resulting from increased revenue.</w:t>
      </w:r>
    </w:p>
    <w:p>
      <w:pPr>
        <w:spacing w:after="0" w:line="150"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color w:val="auto"/>
        </w:rPr>
        <w:t>. General and administrative expenses increased $1.3 million or 13% to $10.7 million for the six months ended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2022 from $9.4 million for the six months ended June 30, 2021. For the six months ended June 30, 2022 and 2021, our general and administrative expenses consisted primarily of employee salaries and benefits of $5.0 million and $3.0 million, share-based compensation expense of $2.6 million and $3.9 million, and professional fees of $1.8 million and $1.5 million, respectively.</w:t>
      </w:r>
    </w:p>
    <w:p>
      <w:pPr>
        <w:spacing w:after="0" w:line="143"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r>
        <w:rPr>
          <w:rFonts w:ascii="Times New Roman" w:cs="Times New Roman" w:eastAsia="Times New Roman" w:hAnsi="Times New Roman"/>
          <w:sz w:val="18"/>
          <w:szCs w:val="18"/>
          <w:color w:val="auto"/>
        </w:rPr>
        <w:t>. Depreciation and amortization expenses increased $0.5 million or 22% to $3.1 million for the six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from $2.6 million for the six months ended June 30, 2021. The increase in depreciation and amortization for the six months ended June 30, 2022 resulted primarily from the amortization of software developed for internal use that became ready for its intended use after June 30, 2021.</w:t>
      </w:r>
    </w:p>
    <w:p>
      <w:pPr>
        <w:spacing w:after="0" w:line="14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Gain on extinguishment of debt</w:t>
      </w:r>
      <w:r>
        <w:rPr>
          <w:rFonts w:ascii="Times New Roman" w:cs="Times New Roman" w:eastAsia="Times New Roman" w:hAnsi="Times New Roman"/>
          <w:sz w:val="18"/>
          <w:szCs w:val="18"/>
          <w:color w:val="auto"/>
        </w:rPr>
        <w:t>. On May 5, 2020, we received the CARES Act Loan in the principal amount of $2.2 million. On June 16, 2021,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a notice from the Lender that the full principal amount of the CARES Act Loan and its accrued interest had been fully forgiven, resulting in a gain on extinguishment of debt of $2.2 million during the six months ended June 30, 2021.</w:t>
      </w:r>
    </w:p>
    <w:p>
      <w:pPr>
        <w:spacing w:after="0" w:line="124"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Income before income taxes</w:t>
      </w:r>
      <w:r>
        <w:rPr>
          <w:rFonts w:ascii="Times New Roman" w:cs="Times New Roman" w:eastAsia="Times New Roman" w:hAnsi="Times New Roman"/>
          <w:sz w:val="18"/>
          <w:szCs w:val="18"/>
          <w:color w:val="auto"/>
        </w:rPr>
        <w:t>. Income before income taxes was $0.1 million for the six months ended June 30, 2022 compared to $1.2 million, inclusive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one-time gain of $2.2 million on the extinguishment of debt from the forgiveness of the CARES Act Loan, for the six months ended June 30, 2021. The significant improvement in income before income taxes from a loss, exclusive of the one-time gain of $2.2 million on the extinguishment of debt, was primarily attributable to the increase in revenue, decrease in our cost of revenue as a percentage of revenue, and decrease in share-based compensation expense, which was partially offset by the increase in employee salaries and benefits and sales commissions of $2.6 million, professional fees of $0.3 million, and depreciation and amortization of $0.5 million.</w:t>
      </w:r>
    </w:p>
    <w:p>
      <w:pPr>
        <w:spacing w:after="0" w:line="134"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Income tax expense of $0.2 million and $0 was recognized for the six months ended June 30, 2022 and 2021, respectively.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valuation allowance on the deferred tax assets was recognized as of June 30, 2022 and 2021, to reduce the deferred tax assets to the amount that is more likely than not to be realized. See Note 6, “Income Taxes,” included in “Notes to Condensed Consolidated Financial Statements.”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9" w:name="page20"/>
    <w:bookmarkEnd w:id="19"/>
    <w:p>
      <w:pPr>
        <w:ind w:right="1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Net (loss) income</w:t>
      </w:r>
      <w:r>
        <w:rPr>
          <w:rFonts w:ascii="Times New Roman" w:cs="Times New Roman" w:eastAsia="Times New Roman" w:hAnsi="Times New Roman"/>
          <w:sz w:val="18"/>
          <w:szCs w:val="18"/>
          <w:color w:val="auto"/>
        </w:rPr>
        <w:t>. Net loss was $0.1 million for the six months ended June 30, 2022 compared to net income of $1.2 million, inclusive of a one-time gain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$2.2 million on the extinguishment of debt from the forgiveness of the CARES Act Loan, for the six months ended June 30, 2021, as a result of the foregoing.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w:t>
      </w:r>
    </w:p>
    <w:p>
      <w:pPr>
        <w:spacing w:after="0" w:line="189"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rates of inflation experienced in recent years have had no material impact on our financial statements. We attempt to recover increased costs by increasing prices for our services, to the extent permitted by contracts and competition.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i w:val="1"/>
          <w:iCs w:val="1"/>
          <w:color w:val="auto"/>
        </w:rPr>
        <w:t>Cash flows provided by operating activities</w:t>
      </w:r>
      <w:r>
        <w:rPr>
          <w:rFonts w:ascii="Times New Roman" w:cs="Times New Roman" w:eastAsia="Times New Roman" w:hAnsi="Times New Roman"/>
          <w:sz w:val="18"/>
          <w:szCs w:val="18"/>
          <w:color w:val="auto"/>
        </w:rPr>
        <w:t>. For the six months ended June 30, 2022, net cash provided by operating activities was $5.0 million,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result of the net loss of $0.1 million, adjusted for certain non-cash items (consisting primarily of share-based compensation expense, depreciation and amortization, write-off of long-lived assets, provision for bad debts, noncash lease expenses, and deferred income tax expense) totaling $6.5 million, and the cash used as a result of changes in assets and liabilities of $1.4 million, primarily the result of the increase in accounts receivable and prepaid expenses and other current assets, and the decrease in accounts payable, deferred revenue and operating lease liabilities. For the six months ended June 30, 2021, net cash provided by operating activities was $3.5 million, primarily the result of the net income of $1.2 million, adjusted for certain non-cash items (consisting of share-based compensation expense, depreciation and amortization, write-off of long-lived assets, provision for bad debts, noncash lease expenses, and gain on extinguishment of debt) totaling $5.0 million, and the cash used as a result of changes in assets and liabilities of $2.6 million, primarily the result of the increase in accounts receivable and prepaid expenses and other current assets, and the decrease in accounts payable, accrued expenses and other current liabilities and operating lease liabilities.</w:t>
      </w:r>
    </w:p>
    <w:p>
      <w:pPr>
        <w:spacing w:after="0" w:line="159"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i w:val="1"/>
          <w:iCs w:val="1"/>
          <w:color w:val="auto"/>
        </w:rPr>
        <w:t>Cash flows used in investing activities</w:t>
      </w:r>
      <w:r>
        <w:rPr>
          <w:rFonts w:ascii="Times New Roman" w:cs="Times New Roman" w:eastAsia="Times New Roman" w:hAnsi="Times New Roman"/>
          <w:sz w:val="18"/>
          <w:szCs w:val="18"/>
          <w:color w:val="auto"/>
        </w:rPr>
        <w:t>. For the six months ended June 30, 2022 and 2021, net cash used in investing activities was $4.1 million and $2.6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primarily as a result of capitalized costs included in intangible assets.</w:t>
      </w:r>
    </w:p>
    <w:p>
      <w:pPr>
        <w:spacing w:after="0" w:line="132"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i w:val="1"/>
          <w:iCs w:val="1"/>
          <w:color w:val="auto"/>
        </w:rPr>
        <w:t>Cash flows used in financing activities</w:t>
      </w:r>
      <w:r>
        <w:rPr>
          <w:rFonts w:ascii="Times New Roman" w:cs="Times New Roman" w:eastAsia="Times New Roman" w:hAnsi="Times New Roman"/>
          <w:sz w:val="18"/>
          <w:szCs w:val="18"/>
          <w:color w:val="auto"/>
        </w:rPr>
        <w:t>. For the six months ended June 30, 2022 and 2021, net cash used in financing activities was $2.8 million and $0,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We paid taxes of $2.8 million related to the net share settlement of vesting of RSUs during the six months ended June 30, 2022.</w:t>
      </w:r>
    </w:p>
    <w:p>
      <w:pPr>
        <w:spacing w:after="0" w:line="13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of June 30, 2022, we had material commitments under certain data licensing agreements of $30.6 million. We anticipate funding our operations using available cash and cash flow generated from operations within the next twelve months.</w:t>
      </w:r>
    </w:p>
    <w:p>
      <w:pPr>
        <w:spacing w:after="0" w:line="12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reported net loss of $0.2 million and net income of $1.8 million (inclusive of a one-time gain of $2.2 million on the extinguishment of debt from the forgiveness of the CARES Act Loan) for the three months ended June 30, 2022 and 2021, respectively, and net loss of $0.1 million and net income of $1.2 million (inclusive of a one-time gain of $2.2 million on the extinguishment of debt from the forgiveness of the CARES Act Loan) for the six months ended June 30, 2022 and 2021, respectively. As of June 30, 2022, we had a total shareholders’ equity balance of $69.9 million.</w:t>
      </w:r>
    </w:p>
    <w:p>
      <w:pPr>
        <w:spacing w:after="0" w:line="15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of June 30, 2022, we had cash and cash equivalents of approximately $32.3 million. Based on projections of growth in revenue and operating results in the next twelve months, and the available cash and cash equivalents held by us, we believe that we will have sufficient cash resources to finance our operations and expected capital expenditures for the next twelve months.</w:t>
      </w:r>
    </w:p>
    <w:p>
      <w:pPr>
        <w:spacing w:after="0" w:line="129"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We further believe that our financial resources will allow us to manage the impact of Covid-19 on the Company's business operations for the foreseeable future. However, subject to revenue growth, our ability to generate positive cash flow, and the potential impact of Covid-19, we may have to raise capital through the issuance of additional equity and/or debt, which, if we are able to obtain, could have the effect of diluting stockholders. Any equity or debt financings, if available at all, may be on terms which are not favorable to 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we did not have any off-balance sheet arrangements, as defined in Item 303(a)(4)(ii) of Regulation S-K.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we are not required to include information required by this item.</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Our management, with the participation of the Company’s Chief Executive Officer and Chief Financial Officer, evaluated the effectiveness of the Company’s disclosure controls and procedures (as defined in Rules 13a-15(e) and 15d–15(e) of the Exchange Act) as of June 30, 2022.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55" w:lineRule="exact"/>
        <w:rPr>
          <w:sz w:val="20"/>
          <w:szCs w:val="20"/>
          <w:color w:val="auto"/>
        </w:rPr>
      </w:pPr>
    </w:p>
    <w:p>
      <w:pPr>
        <w:ind w:right="300"/>
        <w:spacing w:after="0" w:line="296" w:lineRule="auto"/>
        <w:rPr>
          <w:sz w:val="20"/>
          <w:szCs w:val="20"/>
          <w:color w:val="auto"/>
        </w:rPr>
      </w:pPr>
      <w:r>
        <w:rPr>
          <w:rFonts w:ascii="Times New Roman" w:cs="Times New Roman" w:eastAsia="Times New Roman" w:hAnsi="Times New Roman"/>
          <w:sz w:val="17"/>
          <w:szCs w:val="17"/>
          <w:color w:val="auto"/>
        </w:rPr>
        <w:t>Based on the evaluation of disclosure controls and procedures (as defined in Rules 13a-15(e) and 15d-15(e) of the Exchange Act), the Company’s Chief Executive Officer and Chief Financial Officer concluded that the Company’s disclosure controls and procedures were effective as of June 30, 2022.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management's evaluation pursuant to Rules 13a-15(d) or 15d-15(d) of the Exchange Act during the fiscal quarter ended June 30, 2022 that materially affected, or are reasonably likely to materially affect, our internal control over financial reporting.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 and Internal Control over Financial Reporting</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The Company is not currently a party to any legal proceeding, investigation or claim which, in the opinion of the management, is likely to have a material adverse effect on the business, financial condition, results of operations or cash flows. Legal fees associated with any legal proceedings, are expensed as incurred. We review legal proceedings and claims on an ongoing basis and follow appropriate accounting guidance, including Accounting Standards Codification ("ASC") 450,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60"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We may be involved in litigation from time to time in the ordinary course of business. We do not believe that the ultimate resolution of any such matters will have a material adverse effect on our business, financial condition, results of operations or cash flows.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the Company’s Annual Report on Form 10-K for the year ended December 31, 2021 filed with the SEC on March 9,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relating to the Company's repurchase of common stock during the three months ended June 30, 2022 pursuant to the Stock Repurchase Program (as defined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60" w:type="dxa"/>
            <w:vAlign w:val="bottom"/>
          </w:tcPr>
          <w:p>
            <w:pPr>
              <w:spacing w:after="0"/>
              <w:rPr>
                <w:sz w:val="13"/>
                <w:szCs w:val="13"/>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 w:type="dxa"/>
            <w:vAlign w:val="bottom"/>
          </w:tcPr>
          <w:p>
            <w:pPr>
              <w:spacing w:after="0"/>
              <w:rPr>
                <w:sz w:val="13"/>
                <w:szCs w:val="13"/>
                <w:color w:val="auto"/>
              </w:rPr>
            </w:pPr>
          </w:p>
        </w:tc>
        <w:tc>
          <w:tcPr>
            <w:tcW w:w="154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 shares</w:t>
            </w:r>
          </w:p>
        </w:tc>
        <w:tc>
          <w:tcPr>
            <w:tcW w:w="300" w:type="dxa"/>
            <w:vAlign w:val="bottom"/>
          </w:tcPr>
          <w:p>
            <w:pPr>
              <w:spacing w:after="0"/>
              <w:rPr>
                <w:sz w:val="13"/>
                <w:szCs w:val="13"/>
                <w:color w:val="auto"/>
              </w:rPr>
            </w:pPr>
          </w:p>
        </w:tc>
        <w:tc>
          <w:tcPr>
            <w:tcW w:w="15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60" w:type="dxa"/>
            <w:vAlign w:val="bottom"/>
          </w:tcPr>
          <w:p>
            <w:pPr>
              <w:spacing w:after="0"/>
              <w:rPr>
                <w:sz w:val="13"/>
                <w:szCs w:val="13"/>
                <w:color w:val="auto"/>
              </w:rPr>
            </w:pPr>
          </w:p>
        </w:tc>
        <w:tc>
          <w:tcPr>
            <w:tcW w:w="2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60" w:type="dxa"/>
            <w:vAlign w:val="bottom"/>
          </w:tcPr>
          <w:p>
            <w:pPr>
              <w:spacing w:after="0"/>
              <w:rPr>
                <w:sz w:val="13"/>
                <w:szCs w:val="13"/>
                <w:color w:val="auto"/>
              </w:rPr>
            </w:pPr>
          </w:p>
        </w:tc>
        <w:tc>
          <w:tcPr>
            <w:tcW w:w="19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line="189" w:lineRule="exact"/>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9"/>
                <w:szCs w:val="19"/>
                <w:b w:val="1"/>
                <w:bCs w:val="1"/>
                <w:color w:val="auto"/>
                <w:vertAlign w:val="superscript"/>
              </w:rPr>
              <w:t>(1)</w:t>
            </w:r>
          </w:p>
        </w:tc>
        <w:tc>
          <w:tcPr>
            <w:tcW w:w="26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April 1, 2022 - April 30, 2022</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2022 - May 31, 2022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June 1, 2022 - June 30, 2022</w:t>
            </w:r>
          </w:p>
        </w:tc>
        <w:tc>
          <w:tcPr>
            <w:tcW w:w="18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620" w:type="dxa"/>
            <w:vAlign w:val="bottom"/>
            <w:tcBorders>
              <w:bottom w:val="single" w:sz="8" w:color="CFF0FC"/>
            </w:tcBorders>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260" w:type="dxa"/>
            <w:vAlign w:val="bottom"/>
            <w:tcBorders>
              <w:bottom w:val="single" w:sz="8" w:color="CFF0FC"/>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460" w:type="dxa"/>
            <w:vAlign w:val="bottom"/>
            <w:tcBorders>
              <w:bottom w:val="single" w:sz="8" w:color="CFF0FC"/>
            </w:tcBorders>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4,865,919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6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-170815</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Exclusive of commission fees incurred in relation to the repurchase of common stock.</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May 4, 2022, the Company announced that the board of directors authorized the repurchase of up to $5.0 million of the Company's common stock from time to time (the “Stock Repurchase Program”). The Stock Repurchase Program does not obligate the Company to repurchase any shares and it may be modified, suspended or terminated at any time and for any reason at the discretion of the board of directors.</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Shares of common stock withheld as payment of withholding taxes in connection with the vesting of equity awards are also treated as common stock repurchases. Those withheld shares of common stock are not required to be disclosed under Item 703 of Regulation S-K and accordingly are excluded from the amounts in the table above.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Filed</w:t>
            </w:r>
          </w:p>
        </w:tc>
        <w:tc>
          <w:tcPr>
            <w:tcW w:w="0" w:type="dxa"/>
            <w:vAlign w:val="bottom"/>
          </w:tcPr>
          <w:p>
            <w:pPr>
              <w:spacing w:after="0"/>
              <w:rPr>
                <w:sz w:val="1"/>
                <w:szCs w:val="1"/>
                <w:color w:val="auto"/>
              </w:rPr>
            </w:pPr>
          </w:p>
        </w:tc>
      </w:tr>
      <w:tr>
        <w:trPr>
          <w:trHeight w:val="182"/>
        </w:trPr>
        <w:tc>
          <w:tcPr>
            <w:tcW w:w="920" w:type="dxa"/>
            <w:vAlign w:val="bottom"/>
            <w:tcBorders>
              <w:bottom w:val="single" w:sz="8" w:color="auto"/>
            </w:tcBorders>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Exhibit No.</w:t>
            </w:r>
          </w:p>
        </w:tc>
        <w:tc>
          <w:tcPr>
            <w:tcW w:w="160" w:type="dxa"/>
            <w:vAlign w:val="bottom"/>
          </w:tcPr>
          <w:p>
            <w:pPr>
              <w:spacing w:after="0"/>
              <w:rPr>
                <w:sz w:val="15"/>
                <w:szCs w:val="15"/>
                <w:color w:val="auto"/>
              </w:rPr>
            </w:pPr>
          </w:p>
        </w:tc>
        <w:tc>
          <w:tcPr>
            <w:tcW w:w="4720" w:type="dxa"/>
            <w:vAlign w:val="bottom"/>
            <w:tcBorders>
              <w:bottom w:val="single" w:sz="8" w:color="auto"/>
            </w:tcBorders>
            <w:gridSpan w:val="10"/>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Exhibit Description</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Form</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File No.</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Filing Date</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w w:val="96"/>
              </w:rPr>
              <w:t>Herewith</w:t>
            </w:r>
          </w:p>
        </w:tc>
        <w:tc>
          <w:tcPr>
            <w:tcW w:w="0" w:type="dxa"/>
            <w:vAlign w:val="bottom"/>
          </w:tcPr>
          <w:p>
            <w:pPr>
              <w:spacing w:after="0"/>
              <w:rPr>
                <w:sz w:val="1"/>
                <w:szCs w:val="1"/>
                <w:color w:val="auto"/>
              </w:rPr>
            </w:pPr>
          </w:p>
        </w:tc>
      </w:tr>
      <w:tr>
        <w:trPr>
          <w:trHeight w:val="149"/>
        </w:trPr>
        <w:tc>
          <w:tcPr>
            <w:tcW w:w="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60" w:type="dxa"/>
            <w:vAlign w:val="bottom"/>
          </w:tcPr>
          <w:p>
            <w:pPr>
              <w:spacing w:after="0"/>
              <w:rPr>
                <w:sz w:val="12"/>
                <w:szCs w:val="12"/>
                <w:color w:val="auto"/>
              </w:rPr>
            </w:pPr>
          </w:p>
        </w:tc>
        <w:tc>
          <w:tcPr>
            <w:tcW w:w="4840" w:type="dxa"/>
            <w:vAlign w:val="bottom"/>
            <w:gridSpan w:val="11"/>
          </w:tcPr>
          <w:p>
            <w:pPr>
              <w:spacing w:after="0" w:line="149"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Amendment to Red Violet, Inc. 2018 Stock Incentive Plan</w:t>
              </w:r>
            </w:hyperlink>
            <w:r>
              <w:rPr>
                <w:rFonts w:ascii="Times New Roman" w:cs="Times New Roman" w:eastAsia="Times New Roman" w:hAnsi="Times New Roman"/>
                <w:sz w:val="14"/>
                <w:szCs w:val="14"/>
                <w:color w:val="000000"/>
              </w:rPr>
              <w:t>.</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8-K</w:t>
            </w:r>
          </w:p>
        </w:tc>
        <w:tc>
          <w:tcPr>
            <w:tcW w:w="120" w:type="dxa"/>
            <w:vAlign w:val="bottom"/>
          </w:tcPr>
          <w:p>
            <w:pPr>
              <w:spacing w:after="0"/>
              <w:rPr>
                <w:sz w:val="12"/>
                <w:szCs w:val="12"/>
                <w:color w:val="auto"/>
              </w:rPr>
            </w:pPr>
          </w:p>
        </w:tc>
        <w:tc>
          <w:tcPr>
            <w:tcW w:w="1000" w:type="dxa"/>
            <w:vAlign w:val="bottom"/>
          </w:tcPr>
          <w:p>
            <w:pPr>
              <w:jc w:val="right"/>
              <w:ind w:right="114"/>
              <w:spacing w:after="0" w:line="149" w:lineRule="exact"/>
              <w:rPr>
                <w:sz w:val="20"/>
                <w:szCs w:val="20"/>
                <w:color w:val="auto"/>
              </w:rPr>
            </w:pPr>
            <w:r>
              <w:rPr>
                <w:rFonts w:ascii="Times New Roman" w:cs="Times New Roman" w:eastAsia="Times New Roman" w:hAnsi="Times New Roman"/>
                <w:sz w:val="14"/>
                <w:szCs w:val="14"/>
                <w:color w:val="auto"/>
              </w:rPr>
              <w:t>001-38407</w:t>
            </w:r>
          </w:p>
        </w:tc>
        <w:tc>
          <w:tcPr>
            <w:tcW w:w="120" w:type="dxa"/>
            <w:vAlign w:val="bottom"/>
          </w:tcPr>
          <w:p>
            <w:pPr>
              <w:spacing w:after="0"/>
              <w:rPr>
                <w:sz w:val="12"/>
                <w:szCs w:val="12"/>
                <w:color w:val="auto"/>
              </w:rPr>
            </w:pPr>
          </w:p>
        </w:tc>
        <w:tc>
          <w:tcPr>
            <w:tcW w:w="1000" w:type="dxa"/>
            <w:vAlign w:val="bottom"/>
          </w:tcPr>
          <w:p>
            <w:pPr>
              <w:jc w:val="right"/>
              <w:ind w:right="293"/>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 26, 2022</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160" w:type="dxa"/>
            <w:vAlign w:val="bottom"/>
          </w:tcPr>
          <w:p>
            <w:pPr>
              <w:spacing w:after="0" w:line="20" w:lineRule="exact"/>
              <w:rPr>
                <w:sz w:val="1"/>
                <w:szCs w:val="1"/>
                <w:color w:val="auto"/>
              </w:rPr>
            </w:pPr>
          </w:p>
        </w:tc>
        <w:tc>
          <w:tcPr>
            <w:tcW w:w="33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line="20" w:lineRule="exact"/>
              <w:rPr>
                <w:sz w:val="1"/>
                <w:szCs w:val="1"/>
                <w:color w:val="auto"/>
              </w:rPr>
            </w:pPr>
          </w:p>
        </w:tc>
      </w:tr>
      <w:tr>
        <w:trPr>
          <w:trHeight w:val="156"/>
        </w:trPr>
        <w:tc>
          <w:tcPr>
            <w:tcW w:w="9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840" w:type="dxa"/>
            <w:vAlign w:val="bottom"/>
            <w:gridSpan w:val="11"/>
          </w:tcPr>
          <w:p>
            <w:pPr>
              <w:spacing w:after="0" w:line="155" w:lineRule="exact"/>
              <w:rPr>
                <w:sz w:val="20"/>
                <w:szCs w:val="20"/>
                <w:color w:val="auto"/>
              </w:rPr>
            </w:pPr>
            <w:r>
              <w:rPr>
                <w:rFonts w:ascii="Times New Roman" w:cs="Times New Roman" w:eastAsia="Times New Roman" w:hAnsi="Times New Roman"/>
                <w:sz w:val="14"/>
                <w:szCs w:val="14"/>
                <w:color w:val="0000FF"/>
              </w:rPr>
              <w:t>Certification of Chief Executive Officer filed pursuant to Exchange Act Rules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540" w:type="dxa"/>
            <w:vAlign w:val="bottom"/>
            <w:tcBorders>
              <w:top w:val="single" w:sz="8" w:color="0000FF"/>
              <w:bottom w:val="single" w:sz="8" w:color="0000FF"/>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13a-14(a) and 15d-14(a) of the Securities and Exchange Act of 1934 as adopted</w:t>
            </w:r>
          </w:p>
        </w:tc>
        <w:tc>
          <w:tcPr>
            <w:tcW w:w="6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18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160" w:type="dxa"/>
            <w:vAlign w:val="bottom"/>
          </w:tcPr>
          <w:p>
            <w:pPr>
              <w:spacing w:after="0"/>
              <w:rPr>
                <w:sz w:val="12"/>
                <w:szCs w:val="12"/>
                <w:color w:val="auto"/>
              </w:rPr>
            </w:pPr>
          </w:p>
        </w:tc>
        <w:tc>
          <w:tcPr>
            <w:tcW w:w="346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4"/>
                <w:szCs w:val="14"/>
                <w:color w:val="0000FF"/>
              </w:rPr>
              <w:t>pursuant to Section 302 of the Sarbanes-Oxley Act of 2002.</w:t>
            </w:r>
          </w:p>
        </w:tc>
        <w:tc>
          <w:tcPr>
            <w:tcW w:w="20" w:type="dxa"/>
            <w:vAlign w:val="bottom"/>
            <w:tcBorders>
              <w:bottom w:val="single" w:sz="8" w:color="0000EE"/>
            </w:tcBorders>
          </w:tcPr>
          <w:p>
            <w:pPr>
              <w:spacing w:after="0"/>
              <w:rPr>
                <w:sz w:val="12"/>
                <w:szCs w:val="12"/>
                <w:color w:val="auto"/>
              </w:rPr>
            </w:pPr>
          </w:p>
        </w:tc>
        <w:tc>
          <w:tcPr>
            <w:tcW w:w="1180" w:type="dxa"/>
            <w:vAlign w:val="bottom"/>
            <w:gridSpan w:val="6"/>
          </w:tcPr>
          <w:p>
            <w:pPr>
              <w:spacing w:after="0"/>
              <w:rPr>
                <w:sz w:val="12"/>
                <w:szCs w:val="12"/>
                <w:color w:val="auto"/>
              </w:rPr>
            </w:pPr>
          </w:p>
        </w:tc>
        <w:tc>
          <w:tcPr>
            <w:tcW w:w="18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56"/>
        </w:trPr>
        <w:tc>
          <w:tcPr>
            <w:tcW w:w="9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840" w:type="dxa"/>
            <w:vAlign w:val="bottom"/>
            <w:gridSpan w:val="11"/>
          </w:tcPr>
          <w:p>
            <w:pPr>
              <w:spacing w:after="0" w:line="155" w:lineRule="exact"/>
              <w:rPr>
                <w:sz w:val="20"/>
                <w:szCs w:val="20"/>
                <w:color w:val="auto"/>
              </w:rPr>
            </w:pPr>
            <w:r>
              <w:rPr>
                <w:rFonts w:ascii="Times New Roman" w:cs="Times New Roman" w:eastAsia="Times New Roman" w:hAnsi="Times New Roman"/>
                <w:sz w:val="14"/>
                <w:szCs w:val="14"/>
                <w:color w:val="0000FF"/>
              </w:rPr>
              <w:t>Certification of Chief Financial Officer filed pursuant to Exchange Act Rules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500" w:type="dxa"/>
            <w:vAlign w:val="bottom"/>
            <w:tcBorders>
              <w:top w:val="single" w:sz="8" w:color="0000FF"/>
            </w:tcBorders>
            <w:gridSpan w:val="5"/>
          </w:tcPr>
          <w:p>
            <w:pPr>
              <w:spacing w:after="0" w:line="129" w:lineRule="exact"/>
              <w:rPr>
                <w:sz w:val="20"/>
                <w:szCs w:val="20"/>
                <w:color w:val="auto"/>
              </w:rPr>
            </w:pPr>
            <w:r>
              <w:rPr>
                <w:rFonts w:ascii="Times New Roman" w:cs="Times New Roman" w:eastAsia="Times New Roman" w:hAnsi="Times New Roman"/>
                <w:sz w:val="14"/>
                <w:szCs w:val="14"/>
                <w:color w:val="0000FF"/>
              </w:rPr>
              <w:t>13a-14(a) and 15d-14(a) of the Securities and Exchange Act of 1934 as adopted</w:t>
            </w: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gridSpan w:val="3"/>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160" w:type="dxa"/>
            <w:vAlign w:val="bottom"/>
          </w:tcPr>
          <w:p>
            <w:pPr>
              <w:spacing w:after="0"/>
              <w:rPr>
                <w:sz w:val="12"/>
                <w:szCs w:val="12"/>
                <w:color w:val="auto"/>
              </w:rPr>
            </w:pPr>
          </w:p>
        </w:tc>
        <w:tc>
          <w:tcPr>
            <w:tcW w:w="346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4"/>
                <w:szCs w:val="14"/>
                <w:color w:val="0000FF"/>
              </w:rPr>
              <w:t>pursuant to Section 302 of the Sarbanes-Oxley Act of 2002.</w:t>
            </w:r>
          </w:p>
        </w:tc>
        <w:tc>
          <w:tcPr>
            <w:tcW w:w="20" w:type="dxa"/>
            <w:vAlign w:val="bottom"/>
            <w:tcBorders>
              <w:top w:val="single" w:sz="8" w:color="0000FF"/>
              <w:bottom w:val="single" w:sz="8" w:color="0000EE"/>
            </w:tcBorders>
          </w:tcPr>
          <w:p>
            <w:pPr>
              <w:spacing w:after="0"/>
              <w:rPr>
                <w:sz w:val="12"/>
                <w:szCs w:val="12"/>
                <w:color w:val="auto"/>
              </w:rPr>
            </w:pPr>
          </w:p>
        </w:tc>
        <w:tc>
          <w:tcPr>
            <w:tcW w:w="1180" w:type="dxa"/>
            <w:vAlign w:val="bottom"/>
            <w:tcBorders>
              <w:top w:val="single" w:sz="8" w:color="0000FF"/>
            </w:tcBorders>
            <w:gridSpan w:val="6"/>
          </w:tcPr>
          <w:p>
            <w:pPr>
              <w:spacing w:after="0"/>
              <w:rPr>
                <w:sz w:val="12"/>
                <w:szCs w:val="12"/>
                <w:color w:val="auto"/>
              </w:rPr>
            </w:pPr>
          </w:p>
        </w:tc>
        <w:tc>
          <w:tcPr>
            <w:tcW w:w="18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55"/>
        </w:trPr>
        <w:tc>
          <w:tcPr>
            <w:tcW w:w="9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840" w:type="dxa"/>
            <w:vAlign w:val="bottom"/>
            <w:gridSpan w:val="11"/>
          </w:tcPr>
          <w:p>
            <w:pPr>
              <w:spacing w:after="0" w:line="155" w:lineRule="exact"/>
              <w:rPr>
                <w:sz w:val="20"/>
                <w:szCs w:val="20"/>
                <w:color w:val="auto"/>
              </w:rPr>
            </w:pPr>
            <w:r>
              <w:rPr>
                <w:rFonts w:ascii="Times New Roman" w:cs="Times New Roman" w:eastAsia="Times New Roman" w:hAnsi="Times New Roman"/>
                <w:sz w:val="14"/>
                <w:szCs w:val="14"/>
                <w:color w:val="0000FF"/>
              </w:rPr>
              <w:t>Certification by Chief Executive Officer pursuant to 18 U.S.C. Section 1350, as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40" w:type="dxa"/>
            <w:vAlign w:val="bottom"/>
            <w:tcBorders>
              <w:top w:val="single" w:sz="8" w:color="0000FF"/>
            </w:tcBorders>
            <w:gridSpan w:val="8"/>
          </w:tcPr>
          <w:p>
            <w:pPr>
              <w:spacing w:after="0" w:line="12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200" w:type="dxa"/>
            <w:vAlign w:val="bottom"/>
            <w:gridSpan w:val="3"/>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40" w:type="dxa"/>
            <w:vAlign w:val="bottom"/>
            <w:gridSpan w:val="4"/>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160" w:type="dxa"/>
            <w:vAlign w:val="bottom"/>
          </w:tcPr>
          <w:p>
            <w:pPr>
              <w:spacing w:after="0"/>
              <w:rPr>
                <w:sz w:val="24"/>
                <w:szCs w:val="24"/>
                <w:color w:val="auto"/>
              </w:rPr>
            </w:pPr>
          </w:p>
        </w:tc>
        <w:tc>
          <w:tcPr>
            <w:tcW w:w="484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Certification by Chief Financial Officer pursuant to 18 U.S.C. Section 1350, as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0" w:type="dxa"/>
            <w:vAlign w:val="bottom"/>
            <w:tcBorders>
              <w:top w:val="single" w:sz="8" w:color="0000FF"/>
            </w:tcBorders>
            <w:gridSpan w:val="7"/>
          </w:tcPr>
          <w:p>
            <w:pPr>
              <w:spacing w:after="0" w:line="12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240" w:type="dxa"/>
            <w:vAlign w:val="bottom"/>
            <w:gridSpan w:val="4"/>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40" w:type="dxa"/>
            <w:vAlign w:val="bottom"/>
            <w:gridSpan w:val="4"/>
            <w:shd w:val="clear" w:color="auto" w:fill="0000FF"/>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160" w:type="dxa"/>
            <w:vAlign w:val="bottom"/>
          </w:tcPr>
          <w:p>
            <w:pPr>
              <w:spacing w:after="0"/>
              <w:rPr>
                <w:sz w:val="24"/>
                <w:szCs w:val="24"/>
                <w:color w:val="auto"/>
              </w:rPr>
            </w:pPr>
          </w:p>
        </w:tc>
        <w:tc>
          <w:tcPr>
            <w:tcW w:w="484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4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4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XBRL document.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160" w:type="dxa"/>
            <w:vAlign w:val="bottom"/>
          </w:tcPr>
          <w:p>
            <w:pPr>
              <w:spacing w:after="0"/>
              <w:rPr>
                <w:sz w:val="15"/>
                <w:szCs w:val="15"/>
                <w:color w:val="auto"/>
              </w:rPr>
            </w:pPr>
          </w:p>
        </w:tc>
        <w:tc>
          <w:tcPr>
            <w:tcW w:w="484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6"/>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160" w:type="dxa"/>
            <w:vAlign w:val="bottom"/>
          </w:tcPr>
          <w:p>
            <w:pPr>
              <w:spacing w:after="0"/>
              <w:rPr>
                <w:sz w:val="15"/>
                <w:szCs w:val="15"/>
                <w:color w:val="auto"/>
              </w:rPr>
            </w:pPr>
          </w:p>
        </w:tc>
        <w:tc>
          <w:tcPr>
            <w:tcW w:w="484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5"/>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160" w:type="dxa"/>
            <w:vAlign w:val="bottom"/>
          </w:tcPr>
          <w:p>
            <w:pPr>
              <w:spacing w:after="0"/>
              <w:rPr>
                <w:sz w:val="15"/>
                <w:szCs w:val="15"/>
                <w:color w:val="auto"/>
              </w:rPr>
            </w:pPr>
          </w:p>
        </w:tc>
        <w:tc>
          <w:tcPr>
            <w:tcW w:w="484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6"/>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160" w:type="dxa"/>
            <w:vAlign w:val="bottom"/>
          </w:tcPr>
          <w:p>
            <w:pPr>
              <w:spacing w:after="0"/>
              <w:rPr>
                <w:sz w:val="15"/>
                <w:szCs w:val="15"/>
                <w:color w:val="auto"/>
              </w:rPr>
            </w:pPr>
          </w:p>
        </w:tc>
        <w:tc>
          <w:tcPr>
            <w:tcW w:w="484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75"/>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160" w:type="dxa"/>
            <w:vAlign w:val="bottom"/>
          </w:tcPr>
          <w:p>
            <w:pPr>
              <w:spacing w:after="0"/>
              <w:rPr>
                <w:sz w:val="15"/>
                <w:szCs w:val="15"/>
                <w:color w:val="auto"/>
              </w:rPr>
            </w:pPr>
          </w:p>
        </w:tc>
        <w:tc>
          <w:tcPr>
            <w:tcW w:w="484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60" w:type="dxa"/>
            <w:vAlign w:val="bottom"/>
          </w:tcPr>
          <w:p>
            <w:pPr>
              <w:spacing w:after="0"/>
              <w:rPr>
                <w:sz w:val="16"/>
                <w:szCs w:val="16"/>
                <w:color w:val="auto"/>
              </w:rPr>
            </w:pPr>
          </w:p>
        </w:tc>
        <w:tc>
          <w:tcPr>
            <w:tcW w:w="484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Management contract or compensatory plan or arrangement.</w:t>
      </w:r>
    </w:p>
    <w:p>
      <w:pPr>
        <w:spacing w:after="0" w:line="109" w:lineRule="exact"/>
        <w:rPr>
          <w:sz w:val="20"/>
          <w:szCs w:val="20"/>
          <w:color w:val="auto"/>
        </w:rPr>
      </w:pPr>
    </w:p>
    <w:p>
      <w:pPr>
        <w:ind w:right="200" w:firstLine="8"/>
        <w:spacing w:after="0" w:line="282" w:lineRule="auto"/>
        <w:tabs>
          <w:tab w:leader="none" w:pos="10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Exchange Act, or otherwise subject to the liability of that section, nor shall it be deemed incorporated by reference into any filing under the Securities Act of 1933, as amended, or the Exchange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80"/>
        <w:spacing w:after="0"/>
        <w:tabs>
          <w:tab w:leader="none" w:pos="7240" w:val="left"/>
        </w:tabs>
        <w:rPr>
          <w:sz w:val="20"/>
          <w:szCs w:val="20"/>
          <w:color w:val="auto"/>
        </w:rPr>
      </w:pPr>
      <w:r>
        <w:rPr>
          <w:rFonts w:ascii="Times New Roman" w:cs="Times New Roman" w:eastAsia="Times New Roman" w:hAnsi="Times New Roman"/>
          <w:sz w:val="18"/>
          <w:szCs w:val="18"/>
          <w:color w:val="auto"/>
        </w:rPr>
        <w:t>August 9, 2022</w:t>
      </w:r>
      <w:r>
        <w:rPr>
          <w:sz w:val="20"/>
          <w:szCs w:val="20"/>
          <w:color w:val="auto"/>
        </w:rPr>
        <w:tab/>
      </w:r>
      <w:r>
        <w:rPr>
          <w:rFonts w:ascii="Times New Roman" w:cs="Times New Roman" w:eastAsia="Times New Roman" w:hAnsi="Times New Roman"/>
          <w:sz w:val="17"/>
          <w:szCs w:val="17"/>
          <w:b w:val="1"/>
          <w:bCs w:val="1"/>
          <w:color w:val="auto"/>
        </w:rPr>
        <w:t>Red Violet, Inc.</w:t>
      </w:r>
    </w:p>
    <w:p>
      <w:pPr>
        <w:spacing w:after="0" w:line="229" w:lineRule="exact"/>
        <w:rPr>
          <w:sz w:val="20"/>
          <w:szCs w:val="20"/>
          <w:color w:val="auto"/>
        </w:rPr>
      </w:pPr>
    </w:p>
    <w:p>
      <w:pPr>
        <w:ind w:left="6740"/>
        <w:spacing w:after="0"/>
        <w:tabs>
          <w:tab w:leader="none" w:pos="7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5460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2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Daniel MacLachlan</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Derek Dubner, certify that:</w:t>
      </w:r>
    </w:p>
    <w:p>
      <w:pPr>
        <w:spacing w:after="0" w:line="212"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Red Violet,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060" w:val="left"/>
          <w:tab w:leader="none" w:pos="6560" w:val="left"/>
        </w:tabs>
        <w:rPr>
          <w:sz w:val="20"/>
          <w:szCs w:val="20"/>
          <w:color w:val="auto"/>
        </w:rPr>
      </w:pPr>
      <w:r>
        <w:rPr>
          <w:rFonts w:ascii="Times New Roman" w:cs="Times New Roman" w:eastAsia="Times New Roman" w:hAnsi="Times New Roman"/>
          <w:sz w:val="18"/>
          <w:szCs w:val="18"/>
          <w:color w:val="auto"/>
        </w:rPr>
        <w:t>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96608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Derek Dubner</w:t>
      </w:r>
    </w:p>
    <w:p>
      <w:pPr>
        <w:spacing w:after="0" w:line="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Chief Executive Officer</w:t>
      </w:r>
    </w:p>
    <w:p>
      <w:pPr>
        <w:ind w:left="6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MacLachlan, certify that:</w:t>
      </w:r>
    </w:p>
    <w:p>
      <w:pPr>
        <w:spacing w:after="0" w:line="212"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Red Violet,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060" w:val="left"/>
          <w:tab w:leader="none" w:pos="6560" w:val="left"/>
        </w:tabs>
        <w:rPr>
          <w:sz w:val="20"/>
          <w:szCs w:val="20"/>
          <w:color w:val="auto"/>
        </w:rPr>
      </w:pPr>
      <w:r>
        <w:rPr>
          <w:rFonts w:ascii="Times New Roman" w:cs="Times New Roman" w:eastAsia="Times New Roman" w:hAnsi="Times New Roman"/>
          <w:sz w:val="18"/>
          <w:szCs w:val="18"/>
          <w:color w:val="auto"/>
        </w:rPr>
        <w:t>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96608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Daniel MacLachlan</w:t>
      </w:r>
    </w:p>
    <w:p>
      <w:pPr>
        <w:spacing w:after="0" w:line="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Chief Financial Officer</w:t>
      </w:r>
    </w:p>
    <w:p>
      <w:pPr>
        <w:ind w:left="65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Red Violet, Inc. for the quarter ended June 30, 2022 (the “Report”), the undersigned hereby certifies pursuant to 18 U.S.C. Section 1350, as adopted pursuant to Section 906 of the Sarbanes-Oxley Act of 2002, to my knowledge and belief, that:</w:t>
      </w:r>
    </w:p>
    <w:p>
      <w:pPr>
        <w:spacing w:after="0" w:line="190"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Red Violet, Inc.</w:t>
      </w:r>
    </w:p>
    <w:p>
      <w:pPr>
        <w:spacing w:after="0" w:line="198"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17145</wp:posOffset>
            </wp:positionV>
            <wp:extent cx="262318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Derek Dubner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427355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7" w:name="page28"/>
    <w:bookmarkEnd w:id="27"/>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Red Violet, Inc. for the quarter ended June 30, 2022 (the “Report”), the undersigned hereby certifies pursuant to 18 U.S.C. Section 1350, as adopted pursuant to Section 906 of the Sarbanes-Oxley Act of 2002, to my knowledge and belief, that:</w:t>
      </w:r>
    </w:p>
    <w:p>
      <w:pPr>
        <w:spacing w:after="0" w:line="190"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Red Violet, Inc.</w:t>
      </w:r>
    </w:p>
    <w:p>
      <w:pPr>
        <w:spacing w:after="0" w:line="198" w:lineRule="exact"/>
        <w:rPr>
          <w:sz w:val="20"/>
          <w:szCs w:val="20"/>
          <w:color w:val="auto"/>
        </w:rPr>
      </w:pPr>
    </w:p>
    <w:p>
      <w:pPr>
        <w:ind w:left="20"/>
        <w:spacing w:after="0"/>
        <w:tabs>
          <w:tab w:leader="none" w:pos="6620" w:val="left"/>
          <w:tab w:leader="none" w:pos="7120" w:val="left"/>
        </w:tabs>
        <w:rPr>
          <w:sz w:val="20"/>
          <w:szCs w:val="20"/>
          <w:color w:val="auto"/>
        </w:rPr>
      </w:pPr>
      <w:r>
        <w:rPr>
          <w:rFonts w:ascii="Times New Roman" w:cs="Times New Roman" w:eastAsia="Times New Roman" w:hAnsi="Times New Roman"/>
          <w:sz w:val="18"/>
          <w:szCs w:val="18"/>
          <w:color w:val="auto"/>
        </w:rPr>
        <w:t>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Daniel MacLachlan</w:t>
      </w:r>
    </w:p>
    <w:p>
      <w:pPr>
        <w:spacing w:after="0" w:line="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427355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2"/>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87" Type="http://schemas.openxmlformats.org/officeDocument/2006/relationships/hyperlink" Target="https://www.sec.gov/Archives/edgar/data/1720116/000095017022010778/rdvt-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2022-08-09T19:50:34Z</dcterms:created>
  <dcterms:modified xsi:type="dcterms:W3CDTF">2022-08-09T19:50:34Z</dcterms:modified>
</cp:coreProperties>
</file>