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65405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94" w:lineRule="exact"/>
        <w:rPr>
          <w:rFonts w:ascii="MS PGothic" w:cs="MS PGothic" w:eastAsia="MS PGothic" w:hAnsi="MS PGothic"/>
          <w:sz w:val="21"/>
          <w:szCs w:val="21"/>
          <w:color w:val="auto"/>
          <w:highlight w:val="black"/>
        </w:rPr>
      </w:pPr>
    </w:p>
    <w:p>
      <w:pPr>
        <w:spacing w:after="0"/>
        <w:rPr>
          <w:rFonts w:ascii="MS PGothic" w:cs="MS PGothic" w:eastAsia="MS PGothic" w:hAnsi="MS PGothic"/>
          <w:sz w:val="21"/>
          <w:szCs w:val="21"/>
          <w:color w:val="auto"/>
          <w:highlight w:val="black"/>
        </w:rPr>
      </w:pPr>
      <w:r>
        <w:rPr>
          <w:rFonts w:ascii="Arial" w:cs="Arial" w:eastAsia="Arial" w:hAnsi="Arial"/>
          <w:sz w:val="18"/>
          <w:szCs w:val="18"/>
          <w:b w:val="1"/>
          <w:bCs w:val="1"/>
          <w:color w:val="auto"/>
        </w:rPr>
        <w:t>For the quarterly period ended September 30,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94" w:lineRule="exact"/>
        <w:rPr>
          <w:sz w:val="24"/>
          <w:szCs w:val="24"/>
          <w:color w:val="auto"/>
        </w:rPr>
      </w:pPr>
    </w:p>
    <w:p>
      <w:pPr>
        <w:spacing w:after="0"/>
        <w:tabs>
          <w:tab w:leader="none" w:pos="3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1510030</wp:posOffset>
            </wp:positionH>
            <wp:positionV relativeFrom="paragraph">
              <wp:posOffset>-7620</wp:posOffset>
            </wp:positionV>
            <wp:extent cx="542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RED VIOLET, INC.</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p>
      <w:pPr>
        <w:spacing w:after="0" w:line="387"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82-2408531</w:t>
      </w:r>
    </w:p>
    <w:p>
      <w:pPr>
        <w:spacing w:after="0" w:line="95" w:lineRule="exact"/>
        <w:rPr>
          <w:sz w:val="24"/>
          <w:szCs w:val="24"/>
          <w:color w:val="auto"/>
        </w:rPr>
      </w:pPr>
    </w:p>
    <w:p>
      <w:pPr>
        <w:sectPr>
          <w:pgSz w:w="11900" w:h="16838" w:orient="portrait"/>
          <w:cols w:equalWidth="0" w:num="2">
            <w:col w:w="7340" w:space="720"/>
            <w:col w:w="3180"/>
          </w:cols>
          <w:pgMar w:left="320" w:top="616" w:right="339" w:bottom="144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11" w:lineRule="exact"/>
        <w:rPr>
          <w:sz w:val="24"/>
          <w:szCs w:val="24"/>
          <w:color w:val="auto"/>
        </w:rPr>
      </w:pPr>
    </w:p>
    <w:p>
      <w:pPr>
        <w:sectPr>
          <w:pgSz w:w="11900" w:h="16838" w:orient="portrait"/>
          <w:cols w:equalWidth="0" w:num="2">
            <w:col w:w="6680" w:space="720"/>
            <w:col w:w="3840"/>
          </w:cols>
          <w:pgMar w:left="320" w:top="616"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Florida 33431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 757-4000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64770</wp:posOffset>
            </wp:positionV>
            <wp:extent cx="2254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8" w:lineRule="exact"/>
        <w:rPr>
          <w:sz w:val="24"/>
          <w:szCs w:val="24"/>
          <w:color w:val="auto"/>
        </w:rPr>
      </w:pPr>
    </w:p>
    <w:tbl>
      <w:tblPr>
        <w:tblLayout w:type="fixed"/>
        <w:tblInd w:w="10" w:type="dxa"/>
        <w:tblCellMar>
          <w:top w:w="0" w:type="dxa"/>
          <w:left w:w="0" w:type="dxa"/>
          <w:bottom w:w="0" w:type="dxa"/>
          <w:right w:w="0" w:type="dxa"/>
        </w:tblCellMar>
      </w:tblPr>
      <w:tr>
        <w:trPr>
          <w:trHeight w:val="180"/>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4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3"/>
                <w:szCs w:val="13"/>
                <w:color w:val="auto"/>
              </w:rPr>
              <w:t>Name of each exchange on which registered</w:t>
            </w:r>
          </w:p>
        </w:tc>
      </w:tr>
      <w:tr>
        <w:trPr>
          <w:trHeight w:val="22"/>
        </w:trPr>
        <w:tc>
          <w:tcPr>
            <w:tcW w:w="3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40" w:type="dxa"/>
            <w:vAlign w:val="bottom"/>
            <w:tcBorders>
              <w:right w:val="single" w:sz="8" w:color="auto"/>
            </w:tcBorders>
          </w:tcPr>
          <w:p>
            <w:pPr>
              <w:ind w:left="760"/>
              <w:spacing w:after="0"/>
              <w:rPr>
                <w:sz w:val="20"/>
                <w:szCs w:val="20"/>
                <w:color w:val="auto"/>
              </w:rPr>
            </w:pPr>
            <w:r>
              <w:rPr>
                <w:rFonts w:ascii="Arial" w:cs="Arial" w:eastAsia="Arial" w:hAnsi="Arial"/>
                <w:sz w:val="16"/>
                <w:szCs w:val="16"/>
                <w:color w:val="auto"/>
              </w:rPr>
              <w:t>The NASDAQ Stock Market LLC</w:t>
            </w:r>
          </w:p>
        </w:tc>
      </w:tr>
      <w:tr>
        <w:trPr>
          <w:trHeight w:val="33"/>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30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1" w:lineRule="exact"/>
        <w:rPr>
          <w:sz w:val="24"/>
          <w:szCs w:val="24"/>
          <w:color w:val="auto"/>
        </w:rPr>
      </w:pPr>
    </w:p>
    <w:p>
      <w:pPr>
        <w:ind w:right="120"/>
        <w:spacing w:after="0" w:line="27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4" w:lineRule="exact"/>
        <w:rPr>
          <w:sz w:val="24"/>
          <w:szCs w:val="24"/>
          <w:color w:val="auto"/>
        </w:rPr>
      </w:pPr>
    </w:p>
    <w:p>
      <w:pPr>
        <w:ind w:right="32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2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2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40" w:type="dxa"/>
            <w:vAlign w:val="bottom"/>
          </w:tcPr>
          <w:p>
            <w:pPr>
              <w:ind w:left="242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60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5, 2021, the registrant had 12,865,524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FOR FORM 10-Q</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01"/>
        </w:trPr>
        <w:tc>
          <w:tcPr>
            <w:tcW w:w="10300" w:type="dxa"/>
            <w:vAlign w:val="bottom"/>
            <w:gridSpan w:val="22"/>
          </w:tcPr>
          <w:p>
            <w:pPr>
              <w:ind w:left="20"/>
              <w:spacing w:after="0" w:line="201" w:lineRule="exact"/>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940" w:type="dxa"/>
            <w:vAlign w:val="bottom"/>
          </w:tcPr>
          <w:p>
            <w:pPr>
              <w:spacing w:after="0"/>
              <w:rPr>
                <w:sz w:val="17"/>
                <w:szCs w:val="17"/>
                <w:color w:val="auto"/>
              </w:rPr>
            </w:pPr>
          </w:p>
        </w:tc>
      </w:tr>
      <w:tr>
        <w:trPr>
          <w:trHeight w:val="20"/>
        </w:trPr>
        <w:tc>
          <w:tcPr>
            <w:tcW w:w="11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8"/>
                <w:szCs w:val="18"/>
                <w:color w:val="auto"/>
              </w:rPr>
              <w:t>Item 1.</w:t>
            </w:r>
          </w:p>
        </w:tc>
        <w:tc>
          <w:tcPr>
            <w:tcW w:w="918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940" w:type="dxa"/>
            <w:vAlign w:val="bottom"/>
          </w:tcPr>
          <w:p>
            <w:pPr>
              <w:spacing w:after="0"/>
              <w:rPr>
                <w:sz w:val="24"/>
                <w:szCs w:val="24"/>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63"/>
        </w:trPr>
        <w:tc>
          <w:tcPr>
            <w:tcW w:w="1120" w:type="dxa"/>
            <w:vAlign w:val="bottom"/>
          </w:tcPr>
          <w:p>
            <w:pPr>
              <w:spacing w:after="0"/>
              <w:rPr>
                <w:sz w:val="22"/>
                <w:szCs w:val="22"/>
                <w:color w:val="auto"/>
              </w:rPr>
            </w:pPr>
          </w:p>
        </w:tc>
        <w:tc>
          <w:tcPr>
            <w:tcW w:w="6480" w:type="dxa"/>
            <w:vAlign w:val="bottom"/>
            <w:tcBorders>
              <w:bottom w:val="single" w:sz="8" w:color="0000EE"/>
            </w:tcBorders>
            <w:gridSpan w:val="18"/>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Condensed consolidated balance sheets as of September 30, 2021 and December 31, 2020</w:t>
              </w:r>
            </w:hyperlink>
          </w:p>
        </w:tc>
        <w:tc>
          <w:tcPr>
            <w:tcW w:w="2700" w:type="dxa"/>
            <w:vAlign w:val="bottom"/>
            <w:gridSpan w:val="3"/>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1120" w:type="dxa"/>
            <w:vAlign w:val="bottom"/>
          </w:tcPr>
          <w:p>
            <w:pPr>
              <w:spacing w:after="0"/>
              <w:rPr>
                <w:sz w:val="22"/>
                <w:szCs w:val="22"/>
                <w:color w:val="auto"/>
              </w:rPr>
            </w:pPr>
          </w:p>
        </w:tc>
        <w:tc>
          <w:tcPr>
            <w:tcW w:w="8400" w:type="dxa"/>
            <w:vAlign w:val="bottom"/>
            <w:tcBorders>
              <w:bottom w:val="single" w:sz="8" w:color="0000EE"/>
            </w:tcBorders>
            <w:gridSpan w:val="20"/>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operations for the three and nine months ended September 30, 2021 and 2020</w:t>
              </w:r>
            </w:hyperlink>
          </w:p>
        </w:tc>
        <w:tc>
          <w:tcPr>
            <w:tcW w:w="7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1120" w:type="dxa"/>
            <w:vAlign w:val="bottom"/>
          </w:tcPr>
          <w:p>
            <w:pPr>
              <w:spacing w:after="0"/>
              <w:rPr>
                <w:sz w:val="22"/>
                <w:szCs w:val="22"/>
                <w:color w:val="auto"/>
              </w:rPr>
            </w:pPr>
          </w:p>
        </w:tc>
        <w:tc>
          <w:tcPr>
            <w:tcW w:w="9180" w:type="dxa"/>
            <w:vAlign w:val="bottom"/>
            <w:tcBorders>
              <w:bottom w:val="single" w:sz="8" w:color="0000FF"/>
            </w:tcBorders>
            <w:gridSpan w:val="21"/>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changes in shareholders' equity for the three and nine months ended September 30, 2021</w:t>
              </w:r>
            </w:hyperlink>
          </w:p>
        </w:tc>
        <w:tc>
          <w:tcPr>
            <w:tcW w:w="940" w:type="dxa"/>
            <w:vAlign w:val="bottom"/>
          </w:tcPr>
          <w:p>
            <w:pPr>
              <w:spacing w:after="0"/>
              <w:rPr>
                <w:sz w:val="22"/>
                <w:szCs w:val="22"/>
                <w:color w:val="auto"/>
              </w:rPr>
            </w:pPr>
          </w:p>
        </w:tc>
      </w:tr>
      <w:tr>
        <w:trPr>
          <w:trHeight w:val="209"/>
        </w:trPr>
        <w:tc>
          <w:tcPr>
            <w:tcW w:w="11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w w:val="82"/>
              </w:rPr>
            </w:pPr>
            <w:hyperlink w:anchor="page5">
              <w:r>
                <w:rPr>
                  <w:rFonts w:ascii="Arial" w:cs="Arial" w:eastAsia="Arial" w:hAnsi="Arial"/>
                  <w:sz w:val="18"/>
                  <w:szCs w:val="18"/>
                  <w:color w:val="0000FF"/>
                  <w:w w:val="82"/>
                </w:rPr>
                <w:t>and 2020</w:t>
              </w:r>
            </w:hyperlink>
          </w:p>
        </w:tc>
        <w:tc>
          <w:tcPr>
            <w:tcW w:w="20" w:type="dxa"/>
            <w:vAlign w:val="bottom"/>
            <w:tcBorders>
              <w:bottom w:val="single" w:sz="8" w:color="0000EE"/>
            </w:tcBorders>
          </w:tcPr>
          <w:p>
            <w:pPr>
              <w:spacing w:after="0"/>
              <w:rPr>
                <w:sz w:val="18"/>
                <w:szCs w:val="18"/>
                <w:color w:val="auto"/>
              </w:rPr>
            </w:pPr>
          </w:p>
        </w:tc>
        <w:tc>
          <w:tcPr>
            <w:tcW w:w="8520" w:type="dxa"/>
            <w:vAlign w:val="bottom"/>
            <w:gridSpan w:val="18"/>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1120" w:type="dxa"/>
            <w:vAlign w:val="bottom"/>
          </w:tcPr>
          <w:p>
            <w:pPr>
              <w:spacing w:after="0"/>
              <w:rPr>
                <w:sz w:val="22"/>
                <w:szCs w:val="22"/>
                <w:color w:val="auto"/>
              </w:rPr>
            </w:pPr>
          </w:p>
        </w:tc>
        <w:tc>
          <w:tcPr>
            <w:tcW w:w="7700" w:type="dxa"/>
            <w:vAlign w:val="bottom"/>
            <w:tcBorders>
              <w:bottom w:val="single" w:sz="8" w:color="0000EE"/>
            </w:tcBorders>
            <w:gridSpan w:val="19"/>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cash flows for the nine months ended September 30, 2021 and 2020</w:t>
              </w:r>
            </w:hyperlink>
          </w:p>
        </w:tc>
        <w:tc>
          <w:tcPr>
            <w:tcW w:w="1480" w:type="dxa"/>
            <w:vAlign w:val="bottom"/>
            <w:gridSpan w:val="2"/>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1120" w:type="dxa"/>
            <w:vAlign w:val="bottom"/>
          </w:tcPr>
          <w:p>
            <w:pPr>
              <w:spacing w:after="0"/>
              <w:rPr>
                <w:sz w:val="22"/>
                <w:szCs w:val="22"/>
                <w:color w:val="auto"/>
              </w:rPr>
            </w:pPr>
          </w:p>
        </w:tc>
        <w:tc>
          <w:tcPr>
            <w:tcW w:w="382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20" w:type="dxa"/>
            <w:vAlign w:val="bottom"/>
            <w:tcBorders>
              <w:bottom w:val="single" w:sz="8" w:color="0000EE"/>
            </w:tcBorders>
          </w:tcPr>
          <w:p>
            <w:pPr>
              <w:spacing w:after="0"/>
              <w:rPr>
                <w:sz w:val="22"/>
                <w:szCs w:val="22"/>
                <w:color w:val="auto"/>
              </w:rPr>
            </w:pPr>
          </w:p>
        </w:tc>
        <w:tc>
          <w:tcPr>
            <w:tcW w:w="5340" w:type="dxa"/>
            <w:vAlign w:val="bottom"/>
            <w:gridSpan w:val="7"/>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1120" w:type="dxa"/>
            <w:vAlign w:val="bottom"/>
          </w:tcPr>
          <w:p>
            <w:pPr>
              <w:ind w:left="20"/>
              <w:spacing w:after="0"/>
              <w:rPr>
                <w:sz w:val="20"/>
                <w:szCs w:val="20"/>
                <w:color w:val="auto"/>
              </w:rPr>
            </w:pPr>
            <w:r>
              <w:rPr>
                <w:rFonts w:ascii="Arial" w:cs="Arial" w:eastAsia="Arial" w:hAnsi="Arial"/>
                <w:sz w:val="18"/>
                <w:szCs w:val="18"/>
                <w:color w:val="auto"/>
              </w:rPr>
              <w:t>Item 2.</w:t>
            </w:r>
          </w:p>
        </w:tc>
        <w:tc>
          <w:tcPr>
            <w:tcW w:w="9180" w:type="dxa"/>
            <w:vAlign w:val="bottom"/>
            <w:gridSpan w:val="21"/>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1120" w:type="dxa"/>
            <w:vAlign w:val="bottom"/>
          </w:tcPr>
          <w:p>
            <w:pPr>
              <w:ind w:left="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1"/>
              </w:rPr>
            </w:pPr>
            <w:hyperlink w:anchor="page21">
              <w:r>
                <w:rPr>
                  <w:rFonts w:ascii="Arial" w:cs="Arial" w:eastAsia="Arial" w:hAnsi="Arial"/>
                  <w:sz w:val="18"/>
                  <w:szCs w:val="18"/>
                  <w:color w:val="0000FF"/>
                  <w:w w:val="91"/>
                </w:rPr>
                <w:t>Quantitative and Qualitative Disclosures About Market Risk</w:t>
              </w:r>
            </w:hyperlink>
          </w:p>
        </w:tc>
        <w:tc>
          <w:tcPr>
            <w:tcW w:w="2060" w:type="dxa"/>
            <w:vAlign w:val="bottom"/>
            <w:tcBorders>
              <w:top w:val="single" w:sz="8" w:color="0000FF"/>
            </w:tcBorders>
          </w:tcPr>
          <w:p>
            <w:pPr>
              <w:spacing w:after="0"/>
              <w:rPr>
                <w:sz w:val="22"/>
                <w:szCs w:val="22"/>
                <w:color w:val="auto"/>
              </w:rPr>
            </w:pPr>
          </w:p>
        </w:tc>
        <w:tc>
          <w:tcPr>
            <w:tcW w:w="2780" w:type="dxa"/>
            <w:vAlign w:val="bottom"/>
            <w:gridSpan w:val="4"/>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1120" w:type="dxa"/>
            <w:vAlign w:val="bottom"/>
          </w:tcPr>
          <w:p>
            <w:pPr>
              <w:ind w:left="20"/>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21">
              <w:r>
                <w:rPr>
                  <w:rFonts w:ascii="Arial" w:cs="Arial" w:eastAsia="Arial" w:hAnsi="Arial"/>
                  <w:sz w:val="18"/>
                  <w:szCs w:val="18"/>
                  <w:color w:val="0000FF"/>
                  <w:w w:val="87"/>
                </w:rPr>
                <w:t>Controls and Procedures</w:t>
              </w:r>
            </w:hyperlink>
          </w:p>
        </w:tc>
        <w:tc>
          <w:tcPr>
            <w:tcW w:w="7420" w:type="dxa"/>
            <w:vAlign w:val="bottom"/>
            <w:gridSpan w:val="11"/>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8"/>
        </w:trPr>
        <w:tc>
          <w:tcPr>
            <w:tcW w:w="2660" w:type="dxa"/>
            <w:vAlign w:val="bottom"/>
            <w:tcBorders>
              <w:bottom w:val="single" w:sz="8" w:color="0000FF"/>
            </w:tcBorders>
            <w:gridSpan w:val="9"/>
          </w:tcPr>
          <w:p>
            <w:pPr>
              <w:ind w:left="20"/>
              <w:spacing w:after="0"/>
              <w:rPr>
                <w:rFonts w:ascii="Arial" w:cs="Arial" w:eastAsia="Arial" w:hAnsi="Arial"/>
                <w:sz w:val="18"/>
                <w:szCs w:val="18"/>
                <w:color w:val="0000FF"/>
                <w:w w:val="95"/>
              </w:rPr>
            </w:pPr>
            <w:hyperlink w:anchor="page22">
              <w:r>
                <w:rPr>
                  <w:rFonts w:ascii="Arial" w:cs="Arial" w:eastAsia="Arial" w:hAnsi="Arial"/>
                  <w:sz w:val="18"/>
                  <w:szCs w:val="18"/>
                  <w:color w:val="0000FF"/>
                  <w:w w:val="95"/>
                </w:rPr>
                <w:t>PART II - OTHER INFORMATION</w:t>
              </w:r>
            </w:hyperlink>
          </w:p>
        </w:tc>
        <w:tc>
          <w:tcPr>
            <w:tcW w:w="7640" w:type="dxa"/>
            <w:vAlign w:val="bottom"/>
            <w:gridSpan w:val="13"/>
          </w:tcPr>
          <w:p>
            <w:pPr>
              <w:spacing w:after="0"/>
              <w:rPr>
                <w:sz w:val="24"/>
                <w:szCs w:val="24"/>
                <w:color w:val="auto"/>
              </w:rPr>
            </w:pPr>
          </w:p>
        </w:tc>
        <w:tc>
          <w:tcPr>
            <w:tcW w:w="940" w:type="dxa"/>
            <w:vAlign w:val="bottom"/>
          </w:tcPr>
          <w:p>
            <w:pPr>
              <w:spacing w:after="0"/>
              <w:rPr>
                <w:sz w:val="24"/>
                <w:szCs w:val="24"/>
                <w:color w:val="auto"/>
              </w:rPr>
            </w:pPr>
          </w:p>
        </w:tc>
      </w:tr>
      <w:tr>
        <w:trPr>
          <w:trHeight w:val="398"/>
        </w:trPr>
        <w:tc>
          <w:tcPr>
            <w:tcW w:w="1120" w:type="dxa"/>
            <w:vAlign w:val="bottom"/>
          </w:tcPr>
          <w:p>
            <w:pPr>
              <w:ind w:left="20"/>
              <w:spacing w:after="0"/>
              <w:rPr>
                <w:sz w:val="20"/>
                <w:szCs w:val="20"/>
                <w:color w:val="auto"/>
              </w:rPr>
            </w:pPr>
            <w:r>
              <w:rPr>
                <w:rFonts w:ascii="Arial" w:cs="Arial" w:eastAsia="Arial" w:hAnsi="Arial"/>
                <w:sz w:val="18"/>
                <w:szCs w:val="18"/>
                <w:color w:val="auto"/>
              </w:rPr>
              <w:t>Item 1.</w:t>
            </w:r>
          </w:p>
        </w:tc>
        <w:tc>
          <w:tcPr>
            <w:tcW w:w="9180" w:type="dxa"/>
            <w:vAlign w:val="bottom"/>
            <w:gridSpan w:val="21"/>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1120" w:type="dxa"/>
            <w:vAlign w:val="bottom"/>
          </w:tcPr>
          <w:p>
            <w:pPr>
              <w:ind w:left="20"/>
              <w:spacing w:after="0"/>
              <w:rPr>
                <w:sz w:val="20"/>
                <w:szCs w:val="20"/>
                <w:color w:val="auto"/>
              </w:rPr>
            </w:pPr>
            <w:r>
              <w:rPr>
                <w:rFonts w:ascii="Arial" w:cs="Arial" w:eastAsia="Arial" w:hAnsi="Arial"/>
                <w:sz w:val="18"/>
                <w:szCs w:val="18"/>
                <w:color w:val="auto"/>
              </w:rPr>
              <w:t>Item 1A.</w:t>
            </w:r>
          </w:p>
        </w:tc>
        <w:tc>
          <w:tcPr>
            <w:tcW w:w="8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5"/>
              </w:rPr>
            </w:pPr>
            <w:hyperlink w:anchor="page22">
              <w:r>
                <w:rPr>
                  <w:rFonts w:ascii="Arial" w:cs="Arial" w:eastAsia="Arial" w:hAnsi="Arial"/>
                  <w:sz w:val="18"/>
                  <w:szCs w:val="18"/>
                  <w:color w:val="0000FF"/>
                  <w:w w:val="85"/>
                </w:rPr>
                <w:t>Risk Factors</w:t>
              </w:r>
            </w:hyperlink>
          </w:p>
        </w:tc>
        <w:tc>
          <w:tcPr>
            <w:tcW w:w="20" w:type="dxa"/>
            <w:vAlign w:val="bottom"/>
            <w:tcBorders>
              <w:top w:val="single" w:sz="8" w:color="0000FF"/>
              <w:bottom w:val="single" w:sz="8" w:color="0000EE"/>
            </w:tcBorders>
          </w:tcPr>
          <w:p>
            <w:pPr>
              <w:spacing w:after="0"/>
              <w:rPr>
                <w:sz w:val="22"/>
                <w:szCs w:val="22"/>
                <w:color w:val="auto"/>
              </w:rPr>
            </w:pPr>
          </w:p>
        </w:tc>
        <w:tc>
          <w:tcPr>
            <w:tcW w:w="400" w:type="dxa"/>
            <w:vAlign w:val="bottom"/>
            <w:tcBorders>
              <w:top w:val="single" w:sz="8" w:color="0000FF"/>
            </w:tcBorders>
            <w:gridSpan w:val="2"/>
          </w:tcPr>
          <w:p>
            <w:pPr>
              <w:spacing w:after="0"/>
              <w:rPr>
                <w:sz w:val="22"/>
                <w:szCs w:val="22"/>
                <w:color w:val="auto"/>
              </w:rPr>
            </w:pPr>
          </w:p>
        </w:tc>
        <w:tc>
          <w:tcPr>
            <w:tcW w:w="7880" w:type="dxa"/>
            <w:vAlign w:val="bottom"/>
            <w:gridSpan w:val="14"/>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1120" w:type="dxa"/>
            <w:vAlign w:val="bottom"/>
          </w:tcPr>
          <w:p>
            <w:pPr>
              <w:ind w:left="20"/>
              <w:spacing w:after="0"/>
              <w:rPr>
                <w:sz w:val="20"/>
                <w:szCs w:val="20"/>
                <w:color w:val="auto"/>
              </w:rPr>
            </w:pPr>
            <w:r>
              <w:rPr>
                <w:rFonts w:ascii="Arial" w:cs="Arial" w:eastAsia="Arial" w:hAnsi="Arial"/>
                <w:sz w:val="18"/>
                <w:szCs w:val="18"/>
                <w:color w:val="auto"/>
              </w:rPr>
              <w:t>Item 2.</w:t>
            </w:r>
          </w:p>
        </w:tc>
        <w:tc>
          <w:tcPr>
            <w:tcW w:w="432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22">
              <w:r>
                <w:rPr>
                  <w:rFonts w:ascii="Arial" w:cs="Arial" w:eastAsia="Arial" w:hAnsi="Arial"/>
                  <w:sz w:val="18"/>
                  <w:szCs w:val="18"/>
                  <w:color w:val="0000FF"/>
                  <w:w w:val="88"/>
                </w:rPr>
                <w:t>Unregistered Sales of Equity Securities and Use of Proceeds</w:t>
              </w:r>
            </w:hyperlink>
          </w:p>
        </w:tc>
        <w:tc>
          <w:tcPr>
            <w:tcW w:w="4860" w:type="dxa"/>
            <w:vAlign w:val="bottom"/>
            <w:gridSpan w:val="6"/>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1120" w:type="dxa"/>
            <w:vAlign w:val="bottom"/>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Defaults Upon Senior Securities</w:t>
              </w:r>
            </w:hyperlink>
          </w:p>
        </w:tc>
        <w:tc>
          <w:tcPr>
            <w:tcW w:w="6840" w:type="dxa"/>
            <w:vAlign w:val="bottom"/>
            <w:gridSpan w:val="9"/>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1120" w:type="dxa"/>
            <w:vAlign w:val="bottom"/>
          </w:tcPr>
          <w:p>
            <w:pPr>
              <w:ind w:left="2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Mine Safety Disclosures</w:t>
              </w:r>
            </w:hyperlink>
          </w:p>
        </w:tc>
        <w:tc>
          <w:tcPr>
            <w:tcW w:w="7440" w:type="dxa"/>
            <w:vAlign w:val="bottom"/>
            <w:gridSpan w:val="12"/>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1120" w:type="dxa"/>
            <w:vAlign w:val="bottom"/>
          </w:tcPr>
          <w:p>
            <w:pPr>
              <w:ind w:left="20"/>
              <w:spacing w:after="0"/>
              <w:rPr>
                <w:sz w:val="20"/>
                <w:szCs w:val="20"/>
                <w:color w:val="auto"/>
              </w:rPr>
            </w:pPr>
            <w:r>
              <w:rPr>
                <w:rFonts w:ascii="Arial" w:cs="Arial" w:eastAsia="Arial" w:hAnsi="Arial"/>
                <w:sz w:val="18"/>
                <w:szCs w:val="18"/>
                <w:color w:val="auto"/>
              </w:rPr>
              <w:t>Item 5.</w:t>
            </w:r>
          </w:p>
        </w:tc>
        <w:tc>
          <w:tcPr>
            <w:tcW w:w="9180" w:type="dxa"/>
            <w:vAlign w:val="bottom"/>
            <w:gridSpan w:val="21"/>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Other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1120" w:type="dxa"/>
            <w:vAlign w:val="bottom"/>
          </w:tcPr>
          <w:p>
            <w:pPr>
              <w:ind w:left="2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FF"/>
            </w:tcBorders>
            <w:gridSpan w:val="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Exhibits</w:t>
              </w:r>
            </w:hyperlink>
          </w:p>
        </w:tc>
        <w:tc>
          <w:tcPr>
            <w:tcW w:w="7900" w:type="dxa"/>
            <w:vAlign w:val="bottom"/>
            <w:gridSpan w:val="15"/>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20" w:type="dxa"/>
            <w:vAlign w:val="bottom"/>
            <w:gridSpan w:val="2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58"/>
        </w:trPr>
        <w:tc>
          <w:tcPr>
            <w:tcW w:w="10300" w:type="dxa"/>
            <w:vAlign w:val="bottom"/>
            <w:gridSpan w:val="22"/>
          </w:tcPr>
          <w:p>
            <w:pPr>
              <w:ind w:left="20"/>
              <w:spacing w:after="0"/>
              <w:rPr>
                <w:rFonts w:ascii="Arial" w:cs="Arial" w:eastAsia="Arial" w:hAnsi="Arial"/>
                <w:sz w:val="18"/>
                <w:szCs w:val="18"/>
                <w:color w:val="0000FF"/>
              </w:rPr>
            </w:pPr>
            <w:hyperlink w:anchor="page24">
              <w:r>
                <w:rPr>
                  <w:rFonts w:ascii="Arial" w:cs="Arial" w:eastAsia="Arial" w:hAnsi="Arial"/>
                  <w:sz w:val="18"/>
                  <w:szCs w:val="18"/>
                  <w:color w:val="0000FF"/>
                </w:rPr>
                <w:t>SIGNATURES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283"/>
        </w:trPr>
        <w:tc>
          <w:tcPr>
            <w:tcW w:w="112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2"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2021</w:t>
            </w:r>
          </w:p>
        </w:tc>
        <w:tc>
          <w:tcPr>
            <w:tcW w:w="16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w w:val="92"/>
              </w:rPr>
              <w:t>ASSETS:</w:t>
            </w:r>
          </w:p>
        </w:tc>
        <w:tc>
          <w:tcPr>
            <w:tcW w:w="6900" w:type="dxa"/>
            <w:vAlign w:val="bottom"/>
            <w:tcBorders>
              <w:bottom w:val="single" w:sz="8" w:color="CFF0FC"/>
            </w:tcBorders>
            <w:gridSpan w:val="2"/>
            <w:shd w:val="clear" w:color="auto" w:fill="CFF0FC"/>
          </w:tcPr>
          <w:p>
            <w:pPr>
              <w:spacing w:after="0"/>
              <w:rPr>
                <w:sz w:val="20"/>
                <w:szCs w:val="20"/>
                <w:color w:val="auto"/>
              </w:rPr>
            </w:pPr>
          </w:p>
        </w:tc>
        <w:tc>
          <w:tcPr>
            <w:tcW w:w="160" w:type="dxa"/>
            <w:vAlign w:val="bottom"/>
            <w:tcBorders>
              <w:top w:val="single" w:sz="8" w:color="auto"/>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13,397</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shd w:val="clear" w:color="auto" w:fill="CFF0FC"/>
          </w:tcPr>
          <w:p>
            <w:pPr>
              <w:spacing w:after="0"/>
              <w:rPr>
                <w:sz w:val="22"/>
                <w:szCs w:val="22"/>
                <w:color w:val="auto"/>
              </w:rPr>
            </w:pPr>
          </w:p>
        </w:tc>
      </w:tr>
      <w:tr>
        <w:trPr>
          <w:trHeight w:val="242"/>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Accounts receivable, net of allowance for doubtful accounts of $17 and $38 as of</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640" w:type="dxa"/>
            <w:vAlign w:val="bottom"/>
            <w:gridSpan w:val="3"/>
          </w:tcPr>
          <w:p>
            <w:pPr>
              <w:ind w:left="100"/>
              <w:spacing w:after="0"/>
              <w:rPr>
                <w:sz w:val="20"/>
                <w:szCs w:val="20"/>
                <w:color w:val="auto"/>
              </w:rPr>
            </w:pPr>
            <w:r>
              <w:rPr>
                <w:rFonts w:ascii="Arial" w:cs="Arial" w:eastAsia="Arial" w:hAnsi="Arial"/>
                <w:sz w:val="18"/>
                <w:szCs w:val="18"/>
                <w:color w:val="auto"/>
              </w:rPr>
              <w:t>September 30, 2021 and December 31, 2020, respectively</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4,040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0"/>
                <w:szCs w:val="20"/>
                <w:color w:val="auto"/>
              </w:rPr>
            </w:pPr>
          </w:p>
        </w:tc>
      </w:tr>
      <w:tr>
        <w:trPr>
          <w:trHeight w:val="257"/>
        </w:trPr>
        <w:tc>
          <w:tcPr>
            <w:tcW w:w="766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18,087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16,739</w:t>
            </w:r>
          </w:p>
        </w:tc>
        <w:tc>
          <w:tcPr>
            <w:tcW w:w="100" w:type="dxa"/>
            <w:vAlign w:val="bottom"/>
          </w:tcPr>
          <w:p>
            <w:pPr>
              <w:spacing w:after="0"/>
              <w:rPr>
                <w:sz w:val="21"/>
                <w:szCs w:val="21"/>
                <w:color w:val="auto"/>
              </w:rPr>
            </w:pPr>
          </w:p>
        </w:tc>
      </w:tr>
      <w:tr>
        <w:trPr>
          <w:trHeight w:val="263"/>
        </w:trPr>
        <w:tc>
          <w:tcPr>
            <w:tcW w:w="76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27,979</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27,170</w:t>
            </w:r>
          </w:p>
        </w:tc>
        <w:tc>
          <w:tcPr>
            <w:tcW w:w="100" w:type="dxa"/>
            <w:vAlign w:val="bottom"/>
          </w:tcPr>
          <w:p>
            <w:pPr>
              <w:spacing w:after="0"/>
              <w:rPr>
                <w:sz w:val="21"/>
                <w:szCs w:val="21"/>
                <w:color w:val="auto"/>
              </w:rPr>
            </w:pPr>
          </w:p>
        </w:tc>
      </w:tr>
      <w:tr>
        <w:trPr>
          <w:trHeight w:val="263"/>
        </w:trPr>
        <w:tc>
          <w:tcPr>
            <w:tcW w:w="76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1"/>
                <w:szCs w:val="21"/>
                <w:color w:val="auto"/>
              </w:rPr>
            </w:pPr>
          </w:p>
        </w:tc>
      </w:tr>
      <w:tr>
        <w:trPr>
          <w:trHeight w:val="257"/>
        </w:trPr>
        <w:tc>
          <w:tcPr>
            <w:tcW w:w="766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53,807</w:t>
            </w:r>
          </w:p>
        </w:tc>
        <w:tc>
          <w:tcPr>
            <w:tcW w:w="2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tcBorders>
              <w:bottom w:val="single" w:sz="8" w:color="CFF0FC"/>
            </w:tcBorders>
            <w:shd w:val="clear" w:color="auto" w:fill="CFF0FC"/>
          </w:tcPr>
          <w:p>
            <w:pPr>
              <w:spacing w:after="0"/>
              <w:rPr>
                <w:sz w:val="19"/>
                <w:szCs w:val="19"/>
                <w:color w:val="auto"/>
              </w:rPr>
            </w:pPr>
          </w:p>
        </w:tc>
        <w:tc>
          <w:tcPr>
            <w:tcW w:w="394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LIABILITIES AND SHAREHOLDERS' EQUITY:</w:t>
            </w:r>
          </w:p>
        </w:tc>
        <w:tc>
          <w:tcPr>
            <w:tcW w:w="37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r>
      <w:tr>
        <w:trPr>
          <w:trHeight w:val="263"/>
        </w:trPr>
        <w:tc>
          <w:tcPr>
            <w:tcW w:w="76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Current portion of long-term loan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r>
      <w:tr>
        <w:trPr>
          <w:trHeight w:val="257"/>
        </w:trPr>
        <w:tc>
          <w:tcPr>
            <w:tcW w:w="766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3,136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21"/>
                <w:szCs w:val="21"/>
                <w:color w:val="auto"/>
              </w:rPr>
            </w:pPr>
          </w:p>
        </w:tc>
      </w:tr>
      <w:tr>
        <w:trPr>
          <w:trHeight w:val="263"/>
        </w:trPr>
        <w:tc>
          <w:tcPr>
            <w:tcW w:w="76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Long-term loan</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r>
      <w:tr>
        <w:trPr>
          <w:trHeight w:val="257"/>
        </w:trPr>
        <w:tc>
          <w:tcPr>
            <w:tcW w:w="7660" w:type="dxa"/>
            <w:vAlign w:val="bottom"/>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4,588</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8,649</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6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20" w:type="dxa"/>
            <w:vAlign w:val="bottom"/>
            <w:shd w:val="clear" w:color="auto" w:fill="CFF0FC"/>
          </w:tcPr>
          <w:p>
            <w:pPr>
              <w:spacing w:after="0"/>
              <w:rPr>
                <w:sz w:val="21"/>
                <w:szCs w:val="21"/>
                <w:color w:val="auto"/>
              </w:rPr>
            </w:pPr>
          </w:p>
        </w:tc>
        <w:tc>
          <w:tcPr>
            <w:tcW w:w="76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September 30, 2021 and December 31, 2020</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2"/>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Common stock—$0.001 par value, 200,000,000 shares authorized, 12,863,024 and</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7640" w:type="dxa"/>
            <w:vAlign w:val="bottom"/>
            <w:gridSpan w:val="3"/>
          </w:tcPr>
          <w:p>
            <w:pPr>
              <w:ind w:left="100"/>
              <w:spacing w:after="0"/>
              <w:rPr>
                <w:sz w:val="20"/>
                <w:szCs w:val="20"/>
                <w:color w:val="auto"/>
              </w:rPr>
            </w:pPr>
            <w:r>
              <w:rPr>
                <w:rFonts w:ascii="Arial" w:cs="Arial" w:eastAsia="Arial" w:hAnsi="Arial"/>
                <w:sz w:val="18"/>
                <w:szCs w:val="18"/>
                <w:color w:val="auto"/>
              </w:rPr>
              <w:t>12,167,327 shares issued and outstanding, as of September 30, 2021 and</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640" w:type="dxa"/>
            <w:vAlign w:val="bottom"/>
            <w:gridSpan w:val="3"/>
          </w:tcPr>
          <w:p>
            <w:pPr>
              <w:ind w:left="100"/>
              <w:spacing w:after="0"/>
              <w:rPr>
                <w:sz w:val="20"/>
                <w:szCs w:val="20"/>
                <w:color w:val="auto"/>
              </w:rPr>
            </w:pPr>
            <w:r>
              <w:rPr>
                <w:rFonts w:ascii="Arial" w:cs="Arial" w:eastAsia="Arial" w:hAnsi="Arial"/>
                <w:sz w:val="18"/>
                <w:szCs w:val="18"/>
                <w:color w:val="auto"/>
              </w:rPr>
              <w:t>December 31, 2020</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63"/>
        </w:trPr>
        <w:tc>
          <w:tcPr>
            <w:tcW w:w="76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69,440</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66,005</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(20,234 )</w:t>
            </w:r>
          </w:p>
        </w:tc>
        <w:tc>
          <w:tcPr>
            <w:tcW w:w="16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(22,673 )</w:t>
            </w:r>
          </w:p>
        </w:tc>
      </w:tr>
      <w:tr>
        <w:trPr>
          <w:trHeight w:val="250"/>
        </w:trPr>
        <w:tc>
          <w:tcPr>
            <w:tcW w:w="766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6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53,807</w:t>
            </w:r>
          </w:p>
        </w:tc>
        <w:tc>
          <w:tcPr>
            <w:tcW w:w="2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-4608195</wp:posOffset>
            </wp:positionV>
            <wp:extent cx="1714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-4608195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-3622675</wp:posOffset>
            </wp:positionV>
            <wp:extent cx="1714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-3622675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-2285365</wp:posOffset>
            </wp:positionV>
            <wp:extent cx="17145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-193675</wp:posOffset>
            </wp:positionV>
            <wp:extent cx="17145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2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96"/>
        </w:trPr>
        <w:tc>
          <w:tcPr>
            <w:tcW w:w="5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11,668</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32,764</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25,623</w:t>
            </w:r>
          </w:p>
        </w:tc>
        <w:tc>
          <w:tcPr>
            <w:tcW w:w="100" w:type="dxa"/>
            <w:vAlign w:val="bottom"/>
            <w:shd w:val="clear" w:color="auto" w:fill="CFF0FC"/>
          </w:tcPr>
          <w:p>
            <w:pPr>
              <w:spacing w:after="0"/>
              <w:rPr>
                <w:sz w:val="22"/>
                <w:szCs w:val="22"/>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8,268</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8,582</w:t>
            </w:r>
          </w:p>
        </w:tc>
        <w:tc>
          <w:tcPr>
            <w:tcW w:w="100" w:type="dxa"/>
            <w:vAlign w:val="bottom"/>
            <w:shd w:val="clear" w:color="auto" w:fill="CFF0FC"/>
          </w:tcPr>
          <w:p>
            <w:pPr>
              <w:spacing w:after="0"/>
              <w:rPr>
                <w:sz w:val="22"/>
                <w:szCs w:val="22"/>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Pr>
          <w:p>
            <w:pPr>
              <w:spacing w:after="0"/>
              <w:rPr>
                <w:sz w:val="21"/>
                <w:szCs w:val="21"/>
                <w:color w:val="auto"/>
              </w:rPr>
            </w:pPr>
          </w:p>
        </w:tc>
      </w:tr>
      <w:tr>
        <w:trPr>
          <w:trHeight w:val="26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4,127</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13,567</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12,844</w:t>
            </w:r>
          </w:p>
        </w:tc>
        <w:tc>
          <w:tcPr>
            <w:tcW w:w="100" w:type="dxa"/>
            <w:vAlign w:val="bottom"/>
            <w:shd w:val="clear" w:color="auto" w:fill="CFF0FC"/>
          </w:tcPr>
          <w:p>
            <w:pPr>
              <w:spacing w:after="0"/>
              <w:rPr>
                <w:sz w:val="22"/>
                <w:szCs w:val="22"/>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r>
      <w:tr>
        <w:trPr>
          <w:trHeight w:val="250"/>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10,413</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32,492</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(918 )</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(4,962 )</w:t>
            </w:r>
          </w:p>
        </w:tc>
      </w:tr>
      <w:tr>
        <w:trPr>
          <w:trHeight w:val="26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(7 )</w:t>
            </w:r>
          </w:p>
        </w:tc>
        <w:tc>
          <w:tcPr>
            <w:tcW w:w="20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(8 )</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22"/>
                <w:szCs w:val="22"/>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Gain on extinguishment of debt</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57"/>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(925 )</w:t>
            </w: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(4,938 )</w:t>
            </w: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(925 )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(4,938 )</w:t>
            </w:r>
          </w:p>
        </w:tc>
      </w:tr>
      <w:tr>
        <w:trPr>
          <w:trHeight w:val="237"/>
        </w:trPr>
        <w:tc>
          <w:tcPr>
            <w:tcW w:w="54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77"/>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(0.08 )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(0.42 )</w:t>
            </w: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(0.42 )</w:t>
            </w:r>
          </w:p>
        </w:tc>
      </w:tr>
      <w:tr>
        <w:trPr>
          <w:trHeight w:val="20"/>
        </w:trPr>
        <w:tc>
          <w:tcPr>
            <w:tcW w:w="5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number of shares outstanding:</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12,741,723</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12,072,716</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12,408,152</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11,758,907</w:t>
            </w:r>
          </w:p>
        </w:tc>
        <w:tc>
          <w:tcPr>
            <w:tcW w:w="10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13,645,208</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12,072,716</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13,140,854</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11,758,907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-2105025</wp:posOffset>
            </wp:positionV>
            <wp:extent cx="15430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-2105025</wp:posOffset>
            </wp:positionV>
            <wp:extent cx="15430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-2105025</wp:posOffset>
            </wp:positionV>
            <wp:extent cx="14605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-2105025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-1104900</wp:posOffset>
            </wp:positionV>
            <wp:extent cx="1543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-1088390</wp:posOffset>
            </wp:positionV>
            <wp:extent cx="1543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-1104900</wp:posOffset>
            </wp:positionV>
            <wp:extent cx="1543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-1088390</wp:posOffset>
            </wp:positionV>
            <wp:extent cx="1543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-1104900</wp:posOffset>
            </wp:positionV>
            <wp:extent cx="1460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-1088390</wp:posOffset>
            </wp:positionV>
            <wp:extent cx="146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-753745</wp:posOffset>
            </wp:positionV>
            <wp:extent cx="154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-736600</wp:posOffset>
            </wp:positionV>
            <wp:extent cx="1543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-753745</wp:posOffset>
            </wp:positionV>
            <wp:extent cx="154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-736600</wp:posOffset>
            </wp:positionV>
            <wp:extent cx="1543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-753745</wp:posOffset>
            </wp:positionV>
            <wp:extent cx="1460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-736600</wp:posOffset>
            </wp:positionV>
            <wp:extent cx="1460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154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154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154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1543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1460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1460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2140" w:type="dxa"/>
            <w:vAlign w:val="bottom"/>
            <w:gridSpan w:val="4"/>
            <w:vMerge w:val="restart"/>
          </w:tcPr>
          <w:p>
            <w:pPr>
              <w:jc w:val="right"/>
              <w:ind w:right="511"/>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2080" w:type="dxa"/>
            <w:vAlign w:val="bottom"/>
            <w:gridSpan w:val="4"/>
            <w:vMerge w:val="restart"/>
          </w:tcPr>
          <w:p>
            <w:pPr>
              <w:jc w:val="right"/>
              <w:ind w:right="491"/>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140" w:type="dxa"/>
            <w:vAlign w:val="bottom"/>
            <w:tcBorders>
              <w:bottom w:val="single" w:sz="8" w:color="auto"/>
            </w:tcBorders>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deficit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11,707,829</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(103,147 )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64,806</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(19,873 )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43,690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color w:val="auto"/>
              </w:rPr>
              <w:t>Vesting of restricted stock units</w:t>
            </w:r>
          </w:p>
        </w:tc>
        <w:tc>
          <w:tcPr>
            <w:tcW w:w="1160" w:type="dxa"/>
            <w:vAlign w:val="bottom"/>
          </w:tcPr>
          <w:p>
            <w:pPr>
              <w:jc w:val="right"/>
              <w:spacing w:after="0"/>
              <w:rPr>
                <w:sz w:val="20"/>
                <w:szCs w:val="20"/>
                <w:color w:val="auto"/>
              </w:rPr>
            </w:pPr>
            <w:r>
              <w:rPr>
                <w:rFonts w:ascii="Arial" w:cs="Arial" w:eastAsia="Arial" w:hAnsi="Arial"/>
                <w:sz w:val="18"/>
                <w:szCs w:val="18"/>
                <w:color w:val="auto"/>
              </w:rPr>
              <w:t>663,836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treasury stock resulting</w:t>
            </w: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from shares withheld to cover</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statutory taxes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(121,608 )</w:t>
            </w: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(1,828 )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(1,828 )</w:t>
            </w: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(925 )</w:t>
            </w:r>
          </w:p>
        </w:tc>
        <w:tc>
          <w:tcPr>
            <w:tcW w:w="1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(925 )</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160" w:type="dxa"/>
            <w:vAlign w:val="bottom"/>
          </w:tcPr>
          <w:p>
            <w:pPr>
              <w:jc w:val="right"/>
              <w:spacing w:after="0"/>
              <w:rPr>
                <w:sz w:val="20"/>
                <w:szCs w:val="20"/>
                <w:color w:val="auto"/>
              </w:rPr>
            </w:pPr>
            <w:r>
              <w:rPr>
                <w:rFonts w:ascii="Arial" w:cs="Arial" w:eastAsia="Arial" w:hAnsi="Arial"/>
                <w:sz w:val="18"/>
                <w:szCs w:val="18"/>
                <w:color w:val="auto"/>
              </w:rPr>
              <w:t>12,371,665</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(224,755 )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(3,083 )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67,082</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(20,798 )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43,214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160" w:type="dxa"/>
            <w:vAlign w:val="bottom"/>
          </w:tcPr>
          <w:p>
            <w:pPr>
              <w:jc w:val="right"/>
              <w:spacing w:after="0"/>
              <w:rPr>
                <w:sz w:val="20"/>
                <w:szCs w:val="20"/>
                <w:color w:val="auto"/>
              </w:rPr>
            </w:pPr>
            <w:r>
              <w:rPr>
                <w:rFonts w:ascii="Arial" w:cs="Arial" w:eastAsia="Arial" w:hAnsi="Arial"/>
                <w:sz w:val="18"/>
                <w:szCs w:val="18"/>
                <w:color w:val="auto"/>
              </w:rPr>
              <w:t>12,248,794</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70,911</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(21,490 )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49,434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742,101</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160" w:type="dxa"/>
            <w:vAlign w:val="bottom"/>
          </w:tcPr>
          <w:p>
            <w:pPr>
              <w:ind w:left="20"/>
              <w:spacing w:after="0"/>
              <w:rPr>
                <w:sz w:val="20"/>
                <w:szCs w:val="20"/>
                <w:color w:val="auto"/>
              </w:rPr>
            </w:pPr>
            <w:r>
              <w:rPr>
                <w:rFonts w:ascii="Arial" w:cs="Arial" w:eastAsia="Arial" w:hAnsi="Arial"/>
                <w:sz w:val="18"/>
                <w:szCs w:val="18"/>
                <w:color w:val="auto"/>
              </w:rPr>
              <w:t>Increase in treasury stock resulting</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20"/>
              <w:spacing w:after="0"/>
              <w:rPr>
                <w:sz w:val="20"/>
                <w:szCs w:val="20"/>
                <w:color w:val="auto"/>
              </w:rPr>
            </w:pPr>
            <w:r>
              <w:rPr>
                <w:rFonts w:ascii="Arial" w:cs="Arial" w:eastAsia="Arial" w:hAnsi="Arial"/>
                <w:sz w:val="18"/>
                <w:szCs w:val="18"/>
                <w:color w:val="auto"/>
              </w:rPr>
              <w:t>from shares withheld to cover</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20"/>
              <w:spacing w:after="0"/>
              <w:rPr>
                <w:sz w:val="20"/>
                <w:szCs w:val="20"/>
                <w:color w:val="auto"/>
              </w:rPr>
            </w:pPr>
            <w:r>
              <w:rPr>
                <w:rFonts w:ascii="Arial" w:cs="Arial" w:eastAsia="Arial" w:hAnsi="Arial"/>
                <w:sz w:val="18"/>
                <w:szCs w:val="18"/>
                <w:color w:val="auto"/>
              </w:rPr>
              <w:t>statutory taxes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(127,871 )</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(2,785 )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(2,785 )</w:t>
            </w:r>
          </w:p>
        </w:tc>
        <w:tc>
          <w:tcPr>
            <w:tcW w:w="0" w:type="dxa"/>
            <w:vAlign w:val="bottom"/>
          </w:tcPr>
          <w:p>
            <w:pPr>
              <w:spacing w:after="0"/>
              <w:rPr>
                <w:sz w:val="1"/>
                <w:szCs w:val="1"/>
                <w:color w:val="auto"/>
              </w:rPr>
            </w:pPr>
          </w:p>
        </w:tc>
      </w:tr>
      <w:tr>
        <w:trPr>
          <w:trHeight w:val="26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Retirement of treasury stock</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(127,871 )</w:t>
            </w: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127,871</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(2,785 )</w:t>
            </w: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160" w:type="dxa"/>
            <w:vAlign w:val="bottom"/>
          </w:tcPr>
          <w:p>
            <w:pPr>
              <w:jc w:val="right"/>
              <w:spacing w:after="0"/>
              <w:rPr>
                <w:sz w:val="20"/>
                <w:szCs w:val="20"/>
                <w:color w:val="auto"/>
              </w:rPr>
            </w:pPr>
            <w:r>
              <w:rPr>
                <w:rFonts w:ascii="Arial" w:cs="Arial" w:eastAsia="Arial" w:hAnsi="Arial"/>
                <w:sz w:val="18"/>
                <w:szCs w:val="18"/>
                <w:color w:val="auto"/>
              </w:rPr>
              <w:t>12,863,024</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69,440</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(20,234 )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49,219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160" w:type="dxa"/>
            <w:vAlign w:val="bottom"/>
          </w:tcPr>
          <w:p>
            <w:pPr>
              <w:spacing w:after="0"/>
              <w:rPr>
                <w:sz w:val="24"/>
                <w:szCs w:val="24"/>
                <w:color w:val="auto"/>
              </w:rPr>
            </w:pPr>
          </w:p>
        </w:tc>
        <w:tc>
          <w:tcPr>
            <w:tcW w:w="2140" w:type="dxa"/>
            <w:vAlign w:val="bottom"/>
            <w:gridSpan w:val="4"/>
            <w:vMerge w:val="restart"/>
          </w:tcPr>
          <w:p>
            <w:pPr>
              <w:jc w:val="right"/>
              <w:ind w:right="511"/>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2080" w:type="dxa"/>
            <w:vAlign w:val="bottom"/>
            <w:gridSpan w:val="4"/>
            <w:vMerge w:val="restart"/>
          </w:tcPr>
          <w:p>
            <w:pPr>
              <w:jc w:val="right"/>
              <w:ind w:right="491"/>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140" w:type="dxa"/>
            <w:vAlign w:val="bottom"/>
            <w:tcBorders>
              <w:bottom w:val="single" w:sz="8" w:color="auto"/>
            </w:tcBorders>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deficit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11,657,912</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(103,147 )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(1,255 )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59,187</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(15,860 )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color w:val="auto"/>
              </w:rPr>
              <w:t>Vesting of restricted stock units</w:t>
            </w:r>
          </w:p>
        </w:tc>
        <w:tc>
          <w:tcPr>
            <w:tcW w:w="1160" w:type="dxa"/>
            <w:vAlign w:val="bottom"/>
          </w:tcPr>
          <w:p>
            <w:pPr>
              <w:jc w:val="right"/>
              <w:spacing w:after="0"/>
              <w:rPr>
                <w:sz w:val="20"/>
                <w:szCs w:val="20"/>
                <w:color w:val="auto"/>
              </w:rPr>
            </w:pPr>
            <w:r>
              <w:rPr>
                <w:rFonts w:ascii="Arial" w:cs="Arial" w:eastAsia="Arial" w:hAnsi="Arial"/>
                <w:sz w:val="18"/>
                <w:szCs w:val="18"/>
                <w:color w:val="auto"/>
              </w:rPr>
              <w:t>713,753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in treasury stock resulting</w:t>
            </w: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from shares withheld to cover</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statutory taxes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(121,608 )</w:t>
            </w: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(1,828 )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(1,828 )</w:t>
            </w: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7,896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(4,938 )</w:t>
            </w:r>
          </w:p>
        </w:tc>
        <w:tc>
          <w:tcPr>
            <w:tcW w:w="18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(4,938 )</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160" w:type="dxa"/>
            <w:vAlign w:val="bottom"/>
          </w:tcPr>
          <w:p>
            <w:pPr>
              <w:jc w:val="right"/>
              <w:spacing w:after="0"/>
              <w:rPr>
                <w:sz w:val="20"/>
                <w:szCs w:val="20"/>
                <w:color w:val="auto"/>
              </w:rPr>
            </w:pPr>
            <w:r>
              <w:rPr>
                <w:rFonts w:ascii="Arial" w:cs="Arial" w:eastAsia="Arial" w:hAnsi="Arial"/>
                <w:sz w:val="18"/>
                <w:szCs w:val="18"/>
                <w:color w:val="auto"/>
              </w:rPr>
              <w:t>12,371,665</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(224,755 )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(3,083 )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67,082</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(20,798 )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43,214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160" w:type="dxa"/>
            <w:vAlign w:val="bottom"/>
          </w:tcPr>
          <w:p>
            <w:pPr>
              <w:jc w:val="right"/>
              <w:spacing w:after="0"/>
              <w:rPr>
                <w:sz w:val="20"/>
                <w:szCs w:val="20"/>
                <w:color w:val="auto"/>
              </w:rPr>
            </w:pPr>
            <w:r>
              <w:rPr>
                <w:rFonts w:ascii="Arial" w:cs="Arial" w:eastAsia="Arial" w:hAnsi="Arial"/>
                <w:sz w:val="18"/>
                <w:szCs w:val="18"/>
                <w:color w:val="auto"/>
              </w:rPr>
              <w:t>12,167,327</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66,005</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(22,673 )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43,345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823,568</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160" w:type="dxa"/>
            <w:vAlign w:val="bottom"/>
          </w:tcPr>
          <w:p>
            <w:pPr>
              <w:ind w:left="20"/>
              <w:spacing w:after="0"/>
              <w:rPr>
                <w:sz w:val="20"/>
                <w:szCs w:val="20"/>
                <w:color w:val="auto"/>
              </w:rPr>
            </w:pPr>
            <w:r>
              <w:rPr>
                <w:rFonts w:ascii="Arial" w:cs="Arial" w:eastAsia="Arial" w:hAnsi="Arial"/>
                <w:sz w:val="18"/>
                <w:szCs w:val="18"/>
                <w:color w:val="auto"/>
              </w:rPr>
              <w:t>Increase in treasury stock resulting</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20"/>
              <w:spacing w:after="0"/>
              <w:rPr>
                <w:sz w:val="20"/>
                <w:szCs w:val="20"/>
                <w:color w:val="auto"/>
              </w:rPr>
            </w:pPr>
            <w:r>
              <w:rPr>
                <w:rFonts w:ascii="Arial" w:cs="Arial" w:eastAsia="Arial" w:hAnsi="Arial"/>
                <w:sz w:val="18"/>
                <w:szCs w:val="18"/>
                <w:color w:val="auto"/>
              </w:rPr>
              <w:t>from shares withheld to cover</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20"/>
              <w:spacing w:after="0"/>
              <w:rPr>
                <w:sz w:val="20"/>
                <w:szCs w:val="20"/>
                <w:color w:val="auto"/>
              </w:rPr>
            </w:pPr>
            <w:r>
              <w:rPr>
                <w:rFonts w:ascii="Arial" w:cs="Arial" w:eastAsia="Arial" w:hAnsi="Arial"/>
                <w:sz w:val="18"/>
                <w:szCs w:val="18"/>
                <w:color w:val="auto"/>
              </w:rPr>
              <w:t>statutory taxes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(127,871 )</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(2,785 )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(2,785 )</w:t>
            </w:r>
          </w:p>
        </w:tc>
        <w:tc>
          <w:tcPr>
            <w:tcW w:w="0" w:type="dxa"/>
            <w:vAlign w:val="bottom"/>
          </w:tcPr>
          <w:p>
            <w:pPr>
              <w:spacing w:after="0"/>
              <w:rPr>
                <w:sz w:val="1"/>
                <w:szCs w:val="1"/>
                <w:color w:val="auto"/>
              </w:rPr>
            </w:pPr>
          </w:p>
        </w:tc>
      </w:tr>
      <w:tr>
        <w:trPr>
          <w:trHeight w:val="26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Retirement of treasury stock</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(127,871 )</w:t>
            </w:r>
          </w:p>
        </w:tc>
        <w:tc>
          <w:tcPr>
            <w:tcW w:w="1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127,871</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(2,785 )</w:t>
            </w: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6,220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160" w:type="dxa"/>
            <w:vAlign w:val="bottom"/>
          </w:tcPr>
          <w:p>
            <w:pPr>
              <w:jc w:val="right"/>
              <w:spacing w:after="0"/>
              <w:rPr>
                <w:sz w:val="20"/>
                <w:szCs w:val="20"/>
                <w:color w:val="auto"/>
              </w:rPr>
            </w:pPr>
            <w:r>
              <w:rPr>
                <w:rFonts w:ascii="Arial" w:cs="Arial" w:eastAsia="Arial" w:hAnsi="Arial"/>
                <w:sz w:val="18"/>
                <w:szCs w:val="18"/>
                <w:color w:val="auto"/>
              </w:rPr>
              <w:t>12,863,024</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69,440</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(20,234 )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49,219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-5259705</wp:posOffset>
            </wp:positionV>
            <wp:extent cx="15430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-5259705</wp:posOffset>
            </wp:positionV>
            <wp:extent cx="15430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-5259705</wp:posOffset>
            </wp:positionV>
            <wp:extent cx="14605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-5259705</wp:posOffset>
            </wp:positionV>
            <wp:extent cx="1371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-5259705</wp:posOffset>
            </wp:positionV>
            <wp:extent cx="13716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-5259705</wp:posOffset>
            </wp:positionV>
            <wp:extent cx="1371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-5259705</wp:posOffset>
            </wp:positionV>
            <wp:extent cx="5969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-3630930</wp:posOffset>
            </wp:positionV>
            <wp:extent cx="15430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-3630930</wp:posOffset>
            </wp:positionV>
            <wp:extent cx="15430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-3630930</wp:posOffset>
            </wp:positionV>
            <wp:extent cx="14605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-3630930</wp:posOffset>
            </wp:positionV>
            <wp:extent cx="1371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-3630930</wp:posOffset>
            </wp:positionV>
            <wp:extent cx="1371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-3630930</wp:posOffset>
            </wp:positionV>
            <wp:extent cx="13716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-3630930</wp:posOffset>
            </wp:positionV>
            <wp:extent cx="5969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-1822450</wp:posOffset>
            </wp:positionV>
            <wp:extent cx="15430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-1822450</wp:posOffset>
            </wp:positionV>
            <wp:extent cx="15430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-1822450</wp:posOffset>
            </wp:positionV>
            <wp:extent cx="14605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-1822450</wp:posOffset>
            </wp:positionV>
            <wp:extent cx="13716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-1822450</wp:posOffset>
            </wp:positionV>
            <wp:extent cx="13716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-1822450</wp:posOffset>
            </wp:positionV>
            <wp:extent cx="13716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-1822450</wp:posOffset>
            </wp:positionV>
            <wp:extent cx="5969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-193675</wp:posOffset>
            </wp:positionV>
            <wp:extent cx="15430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-193675</wp:posOffset>
            </wp:positionV>
            <wp:extent cx="15430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-193675</wp:posOffset>
            </wp:positionV>
            <wp:extent cx="14605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-193675</wp:posOffset>
            </wp:positionV>
            <wp:extent cx="1371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-193675</wp:posOffset>
            </wp:positionV>
            <wp:extent cx="13716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-193675</wp:posOffset>
            </wp:positionV>
            <wp:extent cx="13716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23495</wp:posOffset>
            </wp:positionV>
            <wp:extent cx="22028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2,439</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(4,938 )</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3,933</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Write-off of long-lived assets</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bad debts</w:t>
            </w: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Noncash lease expenses</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Gain on extinguishment of debt</w:t>
            </w:r>
          </w:p>
        </w:tc>
        <w:tc>
          <w:tcPr>
            <w:tcW w:w="10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(2,175 )</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0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(906 )</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(69 )</w:t>
            </w: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(709 )</w:t>
            </w: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(700 )</w:t>
            </w: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(803 )</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10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(80 )</w:t>
            </w: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0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(408 )</w:t>
            </w: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(362 )</w:t>
            </w:r>
          </w:p>
        </w:tc>
      </w:tr>
      <w:tr>
        <w:trPr>
          <w:trHeight w:val="250"/>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6,997</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w:t>
            </w:r>
          </w:p>
        </w:tc>
        <w:tc>
          <w:tcPr>
            <w:tcW w:w="102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(223 )</w:t>
            </w:r>
          </w:p>
        </w:tc>
        <w:tc>
          <w:tcPr>
            <w:tcW w:w="38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(98 )</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Capitalized costs included in intangible assets</w:t>
            </w:r>
          </w:p>
        </w:tc>
        <w:tc>
          <w:tcPr>
            <w:tcW w:w="10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(3,549 )</w:t>
            </w: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(4,310 )</w:t>
            </w:r>
          </w:p>
        </w:tc>
      </w:tr>
      <w:tr>
        <w:trPr>
          <w:trHeight w:val="20"/>
        </w:trPr>
        <w:tc>
          <w:tcPr>
            <w:tcW w:w="7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(3,772 )</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(4,408 )</w:t>
            </w:r>
          </w:p>
        </w:tc>
      </w:tr>
      <w:tr>
        <w:trPr>
          <w:trHeight w:val="250"/>
        </w:trPr>
        <w:tc>
          <w:tcPr>
            <w:tcW w:w="76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long-term loan</w:t>
            </w: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Taxes paid related to net share settlement of vesting of restricted stock units</w:t>
            </w:r>
          </w:p>
        </w:tc>
        <w:tc>
          <w:tcPr>
            <w:tcW w:w="10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(2,785 )</w:t>
            </w:r>
          </w:p>
        </w:tc>
        <w:tc>
          <w:tcPr>
            <w:tcW w:w="38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(1,828 )</w:t>
            </w:r>
          </w:p>
        </w:tc>
      </w:tr>
      <w:tr>
        <w:trPr>
          <w:trHeight w:val="20"/>
        </w:trPr>
        <w:tc>
          <w:tcPr>
            <w:tcW w:w="7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0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(2,785 )</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21"/>
                <w:szCs w:val="21"/>
                <w:color w:val="auto"/>
              </w:rPr>
            </w:pPr>
          </w:p>
        </w:tc>
      </w:tr>
      <w:tr>
        <w:trPr>
          <w:trHeight w:val="250"/>
        </w:trPr>
        <w:tc>
          <w:tcPr>
            <w:tcW w:w="76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020" w:type="dxa"/>
            <w:vAlign w:val="bottom"/>
            <w:tcBorders>
              <w:top w:val="single" w:sz="8" w:color="auto"/>
            </w:tcBorders>
          </w:tcPr>
          <w:p>
            <w:pPr>
              <w:jc w:val="right"/>
              <w:ind w:right="83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Borders>
              <w:top w:val="single" w:sz="8" w:color="CFF0FC"/>
            </w:tcBorders>
          </w:tcPr>
          <w:p>
            <w:pPr>
              <w:spacing w:after="0"/>
              <w:rPr>
                <w:sz w:val="21"/>
                <w:szCs w:val="21"/>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top w:val="single" w:sz="8" w:color="CFF0FC"/>
            </w:tcBorders>
          </w:tcPr>
          <w:p>
            <w:pPr>
              <w:spacing w:after="0"/>
              <w:rPr>
                <w:sz w:val="21"/>
                <w:szCs w:val="21"/>
                <w:color w:val="auto"/>
              </w:rPr>
            </w:pPr>
          </w:p>
        </w:tc>
      </w:tr>
      <w:tr>
        <w:trPr>
          <w:trHeight w:val="257"/>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12,957</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02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w:t>
            </w:r>
          </w:p>
        </w:tc>
        <w:tc>
          <w:tcPr>
            <w:tcW w:w="28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12,441</w:t>
            </w:r>
          </w:p>
        </w:tc>
        <w:tc>
          <w:tcPr>
            <w:tcW w:w="100" w:type="dxa"/>
            <w:vAlign w:val="bottom"/>
          </w:tcPr>
          <w:p>
            <w:pPr>
              <w:spacing w:after="0"/>
              <w:rPr>
                <w:sz w:val="21"/>
                <w:szCs w:val="21"/>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INFORMATION</w:t>
            </w: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income taxes</w:t>
            </w:r>
          </w:p>
        </w:tc>
        <w:tc>
          <w:tcPr>
            <w:tcW w:w="1020" w:type="dxa"/>
            <w:vAlign w:val="bottom"/>
            <w:shd w:val="clear" w:color="auto" w:fill="CFF0FC"/>
          </w:tcPr>
          <w:p>
            <w:pPr>
              <w:jc w:val="right"/>
              <w:ind w:right="8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Share-based compensation capitalized in intangible assets</w:t>
            </w: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1,023</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Retirement of treasury stock</w:t>
            </w:r>
          </w:p>
        </w:tc>
        <w:tc>
          <w:tcPr>
            <w:tcW w:w="1020" w:type="dxa"/>
            <w:vAlign w:val="bottom"/>
            <w:shd w:val="clear" w:color="auto" w:fill="CFF0FC"/>
          </w:tcPr>
          <w:p>
            <w:pPr>
              <w:jc w:val="right"/>
              <w:ind w:right="8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w:t>
            </w:r>
          </w:p>
        </w:tc>
        <w:tc>
          <w:tcPr>
            <w:tcW w:w="28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-2679700</wp:posOffset>
            </wp:positionV>
            <wp:extent cx="17145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-2679700</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-2011045</wp:posOffset>
            </wp:positionV>
            <wp:extent cx="17145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-2011045</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-1342390</wp:posOffset>
            </wp:positionV>
            <wp:extent cx="17145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-1342390</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-1007745</wp:posOffset>
            </wp:positionV>
            <wp:extent cx="17145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-1007745</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w:t>
      </w:r>
    </w:p>
    <w:p>
      <w:pPr>
        <w:spacing w:after="0" w:line="198"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color w:val="auto"/>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(“GAAP”) and applicable rules and regulations of the Securities and Exchange Commission (the “SEC”) regarding interim financial reporting. Certain information and note disclosures normally included in annual financial statements prepared in accordance with GAAP have been condensed or omitted pursuant to those rules and regulations.</w:t>
      </w:r>
    </w:p>
    <w:p>
      <w:pPr>
        <w:spacing w:after="0" w:line="150" w:lineRule="exact"/>
        <w:rPr>
          <w:sz w:val="20"/>
          <w:szCs w:val="20"/>
          <w:color w:val="auto"/>
        </w:rPr>
      </w:pPr>
    </w:p>
    <w:p>
      <w:pPr>
        <w:jc w:val="both"/>
        <w:ind w:right="60"/>
        <w:spacing w:after="0" w:line="279"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2021.</w:t>
      </w:r>
    </w:p>
    <w:p>
      <w:pPr>
        <w:spacing w:after="0" w:line="156"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2020 (“Form 10-K”).</w:t>
      </w:r>
    </w:p>
    <w:p>
      <w:pPr>
        <w:spacing w:after="0" w:line="129"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auto"/>
        </w:rPr>
        <w:t>The condensed consolidated balance sheet as of December 31, 2020 included herein was derived from the audited financial statements as of that date included in the Form 10-K, but does not include all disclosures required by GAAP.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Accounting Standards Codification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98"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Recently issued accounting standards</w:t>
      </w:r>
    </w:p>
    <w:p>
      <w:pPr>
        <w:spacing w:after="0" w:line="23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231F20"/>
        </w:rPr>
        <w:t>As an emerging growth company, the Company has left open the opportunity to take advantage of the extended transition period provided to emerging growth companies in Section 13(a) of the Securities Exchange Act of 1934, as amended (the “Exchange Act”), however, it is the Company’s present intention to adopt any applicable new accounting standards timely.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(loss) per share</w:t>
      </w:r>
    </w:p>
    <w:p>
      <w:pPr>
        <w:spacing w:after="0" w:line="20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Basic earnings (loss) per share is computed by dividing net income (loss) by the weighted average number of shares of common stock outstanding during the periods. Diluted earnings (loss)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2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02"/>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1,256</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(925 )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2,439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(4,938 )</w:t>
            </w:r>
          </w:p>
        </w:tc>
      </w:tr>
      <w:tr>
        <w:trPr>
          <w:trHeight w:val="26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12,741,723</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12,072,716</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12,408,152</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11,758,907</w:t>
            </w:r>
          </w:p>
        </w:tc>
        <w:tc>
          <w:tcPr>
            <w:tcW w:w="100" w:type="dxa"/>
            <w:vAlign w:val="bottom"/>
            <w:shd w:val="clear" w:color="auto" w:fill="CFF0FC"/>
          </w:tcPr>
          <w:p>
            <w:pPr>
              <w:spacing w:after="0"/>
              <w:rPr>
                <w:sz w:val="22"/>
                <w:szCs w:val="22"/>
                <w:color w:val="auto"/>
              </w:rPr>
            </w:pPr>
          </w:p>
        </w:tc>
      </w:tr>
      <w:tr>
        <w:trPr>
          <w:trHeight w:val="256"/>
        </w:trPr>
        <w:tc>
          <w:tcPr>
            <w:tcW w:w="5440" w:type="dxa"/>
            <w:vAlign w:val="bottom"/>
          </w:tcPr>
          <w:p>
            <w:pPr>
              <w:ind w:left="20"/>
              <w:spacing w:after="0" w:line="257" w:lineRule="exact"/>
              <w:rPr>
                <w:sz w:val="20"/>
                <w:szCs w:val="20"/>
                <w:color w:val="auto"/>
              </w:rPr>
            </w:pPr>
            <w:r>
              <w:rPr>
                <w:rFonts w:ascii="Arial" w:cs="Arial" w:eastAsia="Arial" w:hAnsi="Arial"/>
                <w:sz w:val="18"/>
                <w:szCs w:val="18"/>
                <w:color w:val="auto"/>
              </w:rPr>
              <w:t>Diluted</w:t>
            </w:r>
            <w:r>
              <w:rPr>
                <w:rFonts w:ascii="Arial" w:cs="Arial" w:eastAsia="Arial" w:hAnsi="Arial"/>
                <w:sz w:val="24"/>
                <w:szCs w:val="24"/>
                <w:color w:val="auto"/>
                <w:vertAlign w:val="superscript"/>
              </w:rPr>
              <w:t>(1)</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13,645,208</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12,072,716</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13,140,854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11,758,907</w:t>
            </w:r>
          </w:p>
        </w:tc>
        <w:tc>
          <w:tcPr>
            <w:tcW w:w="100" w:type="dxa"/>
            <w:vAlign w:val="bottom"/>
          </w:tcPr>
          <w:p>
            <w:pPr>
              <w:spacing w:after="0"/>
              <w:rPr>
                <w:sz w:val="22"/>
                <w:szCs w:val="22"/>
                <w:color w:val="auto"/>
              </w:rPr>
            </w:pPr>
          </w:p>
        </w:tc>
      </w:tr>
      <w:tr>
        <w:trPr>
          <w:trHeight w:val="25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1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(0.42 )</w:t>
            </w:r>
          </w:p>
        </w:tc>
      </w:tr>
      <w:tr>
        <w:trPr>
          <w:trHeight w:val="20"/>
        </w:trPr>
        <w:tc>
          <w:tcPr>
            <w:tcW w:w="5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(0.08 )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(0.42 )</w:t>
            </w: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-24765</wp:posOffset>
            </wp:positionV>
            <wp:extent cx="1543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1543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1631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1631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137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137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left="440" w:right="40" w:hanging="432"/>
        <w:spacing w:after="0" w:line="29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total of 1,529,657 unvested restricted stock units (“RSUs”) have been excluded from the diluted loss per share for the three and nine months ended September 30, 2020, as the impact is anti-dilutive.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Intangible assets, net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7"/>
              </w:rPr>
              <w:t>September 30, 2021</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740" w:type="dxa"/>
            <w:vAlign w:val="bottom"/>
            <w:tcBorders>
              <w:bottom w:val="single" w:sz="8" w:color="auto"/>
            </w:tcBorders>
          </w:tcPr>
          <w:p>
            <w:pPr>
              <w:spacing w:after="0"/>
              <w:rPr>
                <w:sz w:val="16"/>
                <w:szCs w:val="16"/>
                <w:color w:val="auto"/>
              </w:rPr>
            </w:pPr>
          </w:p>
        </w:tc>
      </w:tr>
      <w:tr>
        <w:trPr>
          <w:trHeight w:val="180"/>
        </w:trPr>
        <w:tc>
          <w:tcPr>
            <w:tcW w:w="3220" w:type="dxa"/>
            <w:vAlign w:val="bottom"/>
          </w:tcPr>
          <w:p>
            <w:pPr>
              <w:spacing w:after="0"/>
              <w:rPr>
                <w:sz w:val="15"/>
                <w:szCs w:val="15"/>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122"/>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5"/>
                <w:szCs w:val="15"/>
                <w:color w:val="auto"/>
              </w:rPr>
            </w:pPr>
          </w:p>
        </w:tc>
        <w:tc>
          <w:tcPr>
            <w:tcW w:w="14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Accumulated</w:t>
            </w:r>
          </w:p>
        </w:tc>
        <w:tc>
          <w:tcPr>
            <w:tcW w:w="740" w:type="dxa"/>
            <w:vAlign w:val="bottom"/>
          </w:tcPr>
          <w:p>
            <w:pPr>
              <w:spacing w:after="0"/>
              <w:rPr>
                <w:sz w:val="15"/>
                <w:szCs w:val="15"/>
                <w:color w:val="auto"/>
              </w:rPr>
            </w:pPr>
          </w:p>
        </w:tc>
      </w:tr>
      <w:tr>
        <w:trPr>
          <w:trHeight w:val="198"/>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7"/>
                <w:szCs w:val="17"/>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Gross Amount</w:t>
            </w:r>
          </w:p>
        </w:tc>
        <w:tc>
          <w:tcPr>
            <w:tcW w:w="220" w:type="dxa"/>
            <w:vAlign w:val="bottom"/>
          </w:tcPr>
          <w:p>
            <w:pPr>
              <w:spacing w:after="0"/>
              <w:rPr>
                <w:sz w:val="17"/>
                <w:szCs w:val="17"/>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Net</w:t>
            </w:r>
          </w:p>
        </w:tc>
      </w:tr>
      <w:tr>
        <w:trPr>
          <w:trHeight w:val="270"/>
        </w:trPr>
        <w:tc>
          <w:tcPr>
            <w:tcW w:w="3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Software developed for internal use</w:t>
            </w:r>
          </w:p>
        </w:tc>
        <w:tc>
          <w:tcPr>
            <w:tcW w:w="13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6"/>
              </w:rPr>
              <w:t>5-10 years</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41,373</w:t>
            </w:r>
          </w:p>
        </w:tc>
        <w:tc>
          <w:tcPr>
            <w:tcW w:w="22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(13,394 )  $</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36,804</w:t>
            </w:r>
          </w:p>
        </w:tc>
        <w:tc>
          <w:tcPr>
            <w:tcW w:w="5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(9,634 )  $</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27,170</w:t>
            </w: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-25400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-25400</wp:posOffset>
            </wp:positionV>
            <wp:extent cx="1200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1200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120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right="460"/>
        <w:spacing w:after="0" w:line="324" w:lineRule="auto"/>
        <w:rPr>
          <w:sz w:val="20"/>
          <w:szCs w:val="20"/>
          <w:color w:val="auto"/>
        </w:rPr>
      </w:pPr>
      <w:r>
        <w:rPr>
          <w:rFonts w:ascii="Arial" w:cs="Arial" w:eastAsia="Arial" w:hAnsi="Arial"/>
          <w:sz w:val="17"/>
          <w:szCs w:val="17"/>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Amortization expenses of $1,288 and $1,063 for the three months ended September 30, 2021 and 2020, respectively, and $3,763 and $2,847 for the nine months ended September 30, 2021 and 2020, respectively, were included in depreciation and amortization expense. As of September 30, 2021, intangible assets of $3,202, included in the gross amounts of software developed for internal use, have not started amortization, as they are not ready for their intended use.</w:t>
      </w:r>
    </w:p>
    <w:p>
      <w:pPr>
        <w:spacing w:after="0" w:line="14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The Company capitalized costs of software developed for internal use of $1,457 and $1,646 during the three months ended September 30, 2021 and 2020, respectively, and $4,572 and $5,790 during the nine months ended September 30, 2021 and 2020, respectively.</w:t>
      </w:r>
    </w:p>
    <w:p>
      <w:pPr>
        <w:spacing w:after="0" w:line="170" w:lineRule="exact"/>
        <w:rPr>
          <w:sz w:val="20"/>
          <w:szCs w:val="20"/>
          <w:color w:val="auto"/>
        </w:rPr>
      </w:pPr>
    </w:p>
    <w:p>
      <w:pPr>
        <w:ind w:right="700"/>
        <w:spacing w:after="0" w:line="293" w:lineRule="auto"/>
        <w:rPr>
          <w:sz w:val="20"/>
          <w:szCs w:val="20"/>
          <w:color w:val="auto"/>
        </w:rPr>
      </w:pPr>
      <w:r>
        <w:rPr>
          <w:rFonts w:ascii="Arial" w:cs="Arial" w:eastAsia="Arial" w:hAnsi="Arial"/>
          <w:sz w:val="18"/>
          <w:szCs w:val="18"/>
          <w:color w:val="auto"/>
        </w:rPr>
        <w:t>As of September 30, 2021, estimated amortization expense related to the Company’s intangible assets for the remainder of 2021 through 2026 and thereafter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5"/>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September 30, 2021</w:t>
            </w:r>
          </w:p>
        </w:tc>
        <w:tc>
          <w:tcPr>
            <w:tcW w:w="100" w:type="dxa"/>
            <w:vAlign w:val="bottom"/>
          </w:tcPr>
          <w:p>
            <w:pPr>
              <w:spacing w:after="0"/>
              <w:rPr>
                <w:sz w:val="22"/>
                <w:szCs w:val="22"/>
                <w:color w:val="auto"/>
              </w:rPr>
            </w:pPr>
          </w:p>
        </w:tc>
      </w:tr>
      <w:tr>
        <w:trPr>
          <w:trHeight w:val="250"/>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FF0FC"/>
          </w:tcPr>
          <w:p>
            <w:pPr>
              <w:spacing w:after="0"/>
              <w:rPr>
                <w:sz w:val="21"/>
                <w:szCs w:val="21"/>
                <w:color w:val="auto"/>
              </w:rPr>
            </w:pP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21"/>
                <w:szCs w:val="21"/>
                <w:color w:val="auto"/>
              </w:rPr>
            </w:pPr>
          </w:p>
        </w:tc>
      </w:tr>
      <w:tr>
        <w:trPr>
          <w:trHeight w:val="263"/>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100" w:type="dxa"/>
            <w:vAlign w:val="bottom"/>
            <w:shd w:val="clear" w:color="auto" w:fill="CFF0FC"/>
          </w:tcPr>
          <w:p>
            <w:pPr>
              <w:spacing w:after="0"/>
              <w:rPr>
                <w:sz w:val="22"/>
                <w:szCs w:val="22"/>
                <w:color w:val="auto"/>
              </w:rPr>
            </w:pP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21"/>
                <w:szCs w:val="21"/>
                <w:color w:val="auto"/>
              </w:rPr>
            </w:pPr>
          </w:p>
        </w:tc>
      </w:tr>
      <w:tr>
        <w:trPr>
          <w:trHeight w:val="263"/>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w:t>
            </w:r>
          </w:p>
        </w:tc>
        <w:tc>
          <w:tcPr>
            <w:tcW w:w="100" w:type="dxa"/>
            <w:vAlign w:val="bottom"/>
            <w:shd w:val="clear" w:color="auto" w:fill="CFF0FC"/>
          </w:tcPr>
          <w:p>
            <w:pPr>
              <w:spacing w:after="0"/>
              <w:rPr>
                <w:sz w:val="22"/>
                <w:szCs w:val="22"/>
                <w:color w:val="auto"/>
              </w:rPr>
            </w:pP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21"/>
                <w:szCs w:val="21"/>
                <w:color w:val="auto"/>
              </w:rPr>
            </w:pPr>
          </w:p>
        </w:tc>
      </w:tr>
      <w:tr>
        <w:trPr>
          <w:trHeight w:val="290"/>
        </w:trPr>
        <w:tc>
          <w:tcPr>
            <w:tcW w:w="9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216" w:lineRule="exact"/>
        <w:rPr>
          <w:sz w:val="20"/>
          <w:szCs w:val="20"/>
          <w:color w:val="auto"/>
        </w:rPr>
      </w:pPr>
    </w:p>
    <w:p>
      <w:pPr>
        <w:jc w:val="both"/>
        <w:ind w:right="200"/>
        <w:spacing w:after="0" w:line="279"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September 30, 2021 and December 31, 2020, the balance of goodwill of $5,227 was as a result of the acquisition of Interactive Data, LLC, a wholly-owned subsidiary of red violet, effective on October 2, 2014.</w:t>
      </w:r>
    </w:p>
    <w:p>
      <w:pPr>
        <w:spacing w:after="0" w:line="14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ended September 30, 2021 and 2020, no goodwill impairment charges were recorded.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202" w:lineRule="exact"/>
        <w:rPr>
          <w:sz w:val="20"/>
          <w:szCs w:val="20"/>
          <w:color w:val="auto"/>
        </w:rPr>
      </w:pPr>
    </w:p>
    <w:p>
      <w:pPr>
        <w:ind w:right="80"/>
        <w:spacing w:after="0" w:line="229" w:lineRule="exact"/>
        <w:rPr>
          <w:sz w:val="20"/>
          <w:szCs w:val="20"/>
          <w:color w:val="auto"/>
        </w:rPr>
      </w:pPr>
      <w:r>
        <w:rPr>
          <w:rFonts w:ascii="Arial" w:cs="Arial" w:eastAsia="Arial" w:hAnsi="Arial"/>
          <w:sz w:val="17"/>
          <w:szCs w:val="17"/>
          <w:color w:val="auto"/>
        </w:rPr>
        <w:t xml:space="preserve">The Company recognized revenue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Under this standard, revenue is recognized when control of goods or services is transferred to the Company’s customers, in an amount that re</w:t>
      </w:r>
      <w:r>
        <w:rPr>
          <w:rFonts w:ascii="Arial Unicode MS" w:cs="Arial Unicode MS" w:eastAsia="Arial Unicode MS" w:hAnsi="Arial Unicode MS"/>
          <w:sz w:val="17"/>
          <w:szCs w:val="17"/>
          <w:color w:val="auto"/>
        </w:rPr>
        <w:t></w:t>
      </w:r>
      <w:r>
        <w:rPr>
          <w:rFonts w:ascii="Arial" w:cs="Arial" w:eastAsia="Arial" w:hAnsi="Arial"/>
          <w:sz w:val="17"/>
          <w:szCs w:val="17"/>
          <w:color w:val="auto"/>
        </w:rPr>
        <w:t>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7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 w:name="page9"/>
    <w:bookmarkEnd w:id="8"/>
    <w:p>
      <w:pPr>
        <w:ind w:right="220"/>
        <w:spacing w:after="0" w:line="319" w:lineRule="auto"/>
        <w:rPr>
          <w:sz w:val="20"/>
          <w:szCs w:val="20"/>
          <w:color w:val="auto"/>
        </w:rPr>
      </w:pPr>
      <w:r>
        <w:rPr>
          <w:rFonts w:ascii="Arial" w:cs="Arial" w:eastAsia="Arial" w:hAnsi="Arial"/>
          <w:sz w:val="16"/>
          <w:szCs w:val="16"/>
          <w:color w:val="auto"/>
        </w:rPr>
        <w:t>Revenue is recognized over a period of time since the performance obligation is delivered in a series.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2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For the three months ended September 30, 2021 and 2020, 80% and 68% of total revenue was attributable to customers with pricing contracts, respectively, versus 20% and 32% attributable to transactional customers, respectively. For the nine months ended September 30, 2021 and 2020, 80% and 71% of total revenue was attributable to customers with pricing contracts, respectively, versus 20% and 29% attributable to transactional customers, respectively. Pricing contracts are generally annual contracts or longer, with auto renewal.</w:t>
      </w:r>
    </w:p>
    <w:p>
      <w:pPr>
        <w:spacing w:after="0" w:line="145" w:lineRule="exact"/>
        <w:rPr>
          <w:sz w:val="20"/>
          <w:szCs w:val="20"/>
          <w:color w:val="auto"/>
        </w:rPr>
      </w:pPr>
    </w:p>
    <w:p>
      <w:pPr>
        <w:ind w:right="80"/>
        <w:spacing w:after="0" w:line="230" w:lineRule="exact"/>
        <w:rPr>
          <w:sz w:val="20"/>
          <w:szCs w:val="20"/>
          <w:color w:val="auto"/>
        </w:rPr>
      </w:pPr>
      <w:r>
        <w:rPr>
          <w:rFonts w:ascii="Arial" w:cs="Arial" w:eastAsia="Arial" w:hAnsi="Arial"/>
          <w:sz w:val="18"/>
          <w:szCs w:val="18"/>
          <w:color w:val="auto"/>
        </w:rPr>
        <w:t>If a customer pays consideration before the Company transfers services to the customer, those amounts are classi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as deferred revenue. As of September 30, 2021 and December 31, 2020, the balance of deferred revenue was $424 and $504, respectively, all of which is expected to be realized in the next 12 months. In relation to the deferred revenue balance as of December 31, 2020, $99 and $417 was recognized into revenue during the three and nine months ended September 30, 2021, respectively.</w:t>
      </w:r>
    </w:p>
    <w:p>
      <w:pPr>
        <w:spacing w:after="0" w:line="177"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As of September 30, 2021, $3,630 of revenue is expected to be recognized in the future for outstanding performance obligations, primarily related to pricing contracts that have a term of more than 12 months. $739 of revenue will be recognized in the remainder of 2021, $1,725 in 2022, $670 in 2023, and $496 in 2024.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64" w:lineRule="exact"/>
        <w:rPr>
          <w:sz w:val="20"/>
          <w:szCs w:val="20"/>
          <w:color w:val="auto"/>
        </w:rPr>
      </w:pPr>
    </w:p>
    <w:p>
      <w:pPr>
        <w:ind w:right="680"/>
        <w:spacing w:after="0" w:line="293"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29" w:lineRule="exact"/>
        <w:rPr>
          <w:sz w:val="20"/>
          <w:szCs w:val="20"/>
          <w:color w:val="auto"/>
        </w:rPr>
      </w:pPr>
    </w:p>
    <w:p>
      <w:pPr>
        <w:ind w:right="220"/>
        <w:spacing w:after="0" w:line="230" w:lineRule="exact"/>
        <w:rPr>
          <w:sz w:val="20"/>
          <w:szCs w:val="20"/>
          <w:color w:val="auto"/>
        </w:rPr>
      </w:pPr>
      <w:r>
        <w:rPr>
          <w:rFonts w:ascii="Arial" w:cs="Arial" w:eastAsia="Arial" w:hAnsi="Arial"/>
          <w:sz w:val="18"/>
          <w:szCs w:val="18"/>
          <w:color w:val="auto"/>
        </w:rPr>
        <w:t>In addition, the Company elected the practical expedient to not disclose the value of unsatis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obligations for (i) contracts with an original expected length of one year or less and (ii) contracts for which the Company recognizes revenue at the amount to which it has the right to invoice for services performed.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16" w:lineRule="exact"/>
        <w:rPr>
          <w:sz w:val="20"/>
          <w:szCs w:val="20"/>
          <w:color w:val="auto"/>
        </w:rPr>
      </w:pPr>
    </w:p>
    <w:p>
      <w:pPr>
        <w:ind w:right="240"/>
        <w:spacing w:after="0" w:line="329" w:lineRule="auto"/>
        <w:rPr>
          <w:sz w:val="20"/>
          <w:szCs w:val="20"/>
          <w:color w:val="auto"/>
        </w:rPr>
      </w:pPr>
      <w:r>
        <w:rPr>
          <w:rFonts w:ascii="Arial" w:cs="Arial" w:eastAsia="Arial" w:hAnsi="Arial"/>
          <w:sz w:val="16"/>
          <w:szCs w:val="16"/>
          <w:color w:val="auto"/>
        </w:rPr>
        <w:t>The Company is subject to federal and state income taxes in the United States. The Company’s tax provision for interim periods is determined using an estimate of its annual effective tax rate, adjusted for discrete items arising in that quarter. In each quarter, the Company updates its estimate of the annual effective tax rate, and if its estimated annual tax rate changes, the Company makes a cumulative adjustment in that quarter.</w:t>
      </w:r>
    </w:p>
    <w:p>
      <w:pPr>
        <w:spacing w:after="0" w:line="107" w:lineRule="exact"/>
        <w:rPr>
          <w:sz w:val="20"/>
          <w:szCs w:val="20"/>
          <w:color w:val="auto"/>
        </w:rPr>
      </w:pPr>
    </w:p>
    <w:p>
      <w:pPr>
        <w:ind w:right="200"/>
        <w:spacing w:after="0" w:line="359" w:lineRule="auto"/>
        <w:rPr>
          <w:sz w:val="20"/>
          <w:szCs w:val="20"/>
          <w:color w:val="auto"/>
        </w:rPr>
      </w:pPr>
      <w:r>
        <w:rPr>
          <w:rFonts w:ascii="Arial" w:cs="Arial" w:eastAsia="Arial" w:hAnsi="Arial"/>
          <w:sz w:val="16"/>
          <w:szCs w:val="16"/>
          <w:color w:val="auto"/>
        </w:rPr>
        <w:t>For the three and nine months ended September 30, 2021 and 2020, the Company’s effective income tax rate was 0%, differing from the statutory federal income tax rate of 21%, and the difference is primarily the result of the full valuation allowance applied against the Company’s deferred tax assets.</w:t>
      </w:r>
    </w:p>
    <w:p>
      <w:pPr>
        <w:spacing w:after="0" w:line="84"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64"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2017 remain open for tax examinations.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unrecognized tax benefits as of September 30, 2021 and December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216"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On March 22, 2018, the board of directors of the Company and Cogint, Inc. (“cogint”) (now known as Fluent, Inc.), in its capacity as sole stockholder of the Company prior to the Company’s spin-off from cogint on March 26, 2018,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 w:name="page10"/>
    <w:bookmarkEnd w:id="9"/>
    <w:p>
      <w:pPr>
        <w:jc w:val="both"/>
        <w:ind w:right="400"/>
        <w:spacing w:after="0" w:line="303" w:lineRule="auto"/>
        <w:rPr>
          <w:sz w:val="20"/>
          <w:szCs w:val="20"/>
          <w:color w:val="auto"/>
        </w:rPr>
      </w:pPr>
      <w:r>
        <w:rPr>
          <w:rFonts w:ascii="Arial" w:cs="Arial" w:eastAsia="Arial" w:hAnsi="Arial"/>
          <w:sz w:val="17"/>
          <w:szCs w:val="17"/>
          <w:color w:val="auto"/>
        </w:rPr>
        <w:t>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were 973,212 shares of common stock available for future issuance under the 2018 Plan, as amended.</w:t>
      </w:r>
    </w:p>
    <w:p>
      <w:pPr>
        <w:spacing w:after="0" w:line="198"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color w:val="auto"/>
        </w:rPr>
        <w:t>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 activity during the nine months ended September 30, 2021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ind w:right="234"/>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5"/>
                <w:szCs w:val="15"/>
                <w:color w:val="auto"/>
              </w:rPr>
            </w:pPr>
          </w:p>
        </w:tc>
      </w:tr>
      <w:tr>
        <w:trPr>
          <w:trHeight w:val="192"/>
        </w:trPr>
        <w:tc>
          <w:tcPr>
            <w:tcW w:w="7360" w:type="dxa"/>
            <w:vAlign w:val="bottom"/>
          </w:tcPr>
          <w:p>
            <w:pPr>
              <w:spacing w:after="0"/>
              <w:rPr>
                <w:sz w:val="16"/>
                <w:szCs w:val="16"/>
                <w:color w:val="auto"/>
              </w:rPr>
            </w:pPr>
          </w:p>
        </w:tc>
        <w:tc>
          <w:tcPr>
            <w:tcW w:w="2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Number of units</w:t>
            </w:r>
          </w:p>
        </w:tc>
        <w:tc>
          <w:tcPr>
            <w:tcW w:w="180" w:type="dxa"/>
            <w:vAlign w:val="bottom"/>
          </w:tcPr>
          <w:p>
            <w:pPr>
              <w:spacing w:after="0"/>
              <w:rPr>
                <w:sz w:val="16"/>
                <w:szCs w:val="16"/>
                <w:color w:val="auto"/>
              </w:rPr>
            </w:pPr>
          </w:p>
        </w:tc>
        <w:tc>
          <w:tcPr>
            <w:tcW w:w="1580" w:type="dxa"/>
            <w:vAlign w:val="bottom"/>
          </w:tcPr>
          <w:p>
            <w:pPr>
              <w:jc w:val="right"/>
              <w:ind w:right="154"/>
              <w:spacing w:after="0"/>
              <w:rPr>
                <w:sz w:val="20"/>
                <w:szCs w:val="20"/>
                <w:color w:val="auto"/>
              </w:rPr>
            </w:pPr>
            <w:r>
              <w:rPr>
                <w:rFonts w:ascii="Arial" w:cs="Arial" w:eastAsia="Arial" w:hAnsi="Arial"/>
                <w:sz w:val="14"/>
                <w:szCs w:val="14"/>
                <w:b w:val="1"/>
                <w:bCs w:val="1"/>
                <w:color w:val="auto"/>
                <w:w w:val="98"/>
              </w:rPr>
              <w:t>grant-date fair value</w:t>
            </w:r>
          </w:p>
        </w:tc>
        <w:tc>
          <w:tcPr>
            <w:tcW w:w="80" w:type="dxa"/>
            <w:vAlign w:val="bottom"/>
          </w:tcPr>
          <w:p>
            <w:pPr>
              <w:spacing w:after="0"/>
              <w:rPr>
                <w:sz w:val="16"/>
                <w:szCs w:val="16"/>
                <w:color w:val="auto"/>
              </w:rPr>
            </w:pPr>
          </w:p>
        </w:tc>
      </w:tr>
      <w:tr>
        <w:trPr>
          <w:trHeight w:val="25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as of December 31, 2020</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1,764,450</w:t>
            </w:r>
          </w:p>
        </w:tc>
        <w:tc>
          <w:tcPr>
            <w:tcW w:w="28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FF0FC"/>
          </w:tcPr>
          <w:p>
            <w:pPr>
              <w:spacing w:after="0"/>
              <w:rPr>
                <w:sz w:val="22"/>
                <w:szCs w:val="22"/>
                <w:color w:val="auto"/>
              </w:rPr>
            </w:pPr>
          </w:p>
        </w:tc>
      </w:tr>
      <w:tr>
        <w:trPr>
          <w:trHeight w:val="256"/>
        </w:trPr>
        <w:tc>
          <w:tcPr>
            <w:tcW w:w="7360" w:type="dxa"/>
            <w:vAlign w:val="bottom"/>
          </w:tcPr>
          <w:p>
            <w:pPr>
              <w:ind w:left="20"/>
              <w:spacing w:after="0" w:line="257" w:lineRule="exact"/>
              <w:rPr>
                <w:sz w:val="20"/>
                <w:szCs w:val="20"/>
                <w:color w:val="auto"/>
              </w:rPr>
            </w:pPr>
            <w:r>
              <w:rPr>
                <w:rFonts w:ascii="Arial" w:cs="Arial" w:eastAsia="Arial" w:hAnsi="Arial"/>
                <w:sz w:val="18"/>
                <w:szCs w:val="18"/>
                <w:color w:val="auto"/>
              </w:rPr>
              <w:t>Granted</w:t>
            </w:r>
            <w:r>
              <w:rPr>
                <w:rFonts w:ascii="Arial" w:cs="Arial" w:eastAsia="Arial" w:hAnsi="Arial"/>
                <w:sz w:val="24"/>
                <w:szCs w:val="24"/>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334,600</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26.58</w:t>
            </w:r>
          </w:p>
        </w:tc>
        <w:tc>
          <w:tcPr>
            <w:tcW w:w="80" w:type="dxa"/>
            <w:vAlign w:val="bottom"/>
          </w:tcPr>
          <w:p>
            <w:pPr>
              <w:spacing w:after="0"/>
              <w:rPr>
                <w:sz w:val="22"/>
                <w:szCs w:val="22"/>
                <w:color w:val="auto"/>
              </w:rPr>
            </w:pPr>
          </w:p>
        </w:tc>
      </w:tr>
      <w:tr>
        <w:trPr>
          <w:trHeight w:val="257"/>
        </w:trPr>
        <w:tc>
          <w:tcPr>
            <w:tcW w:w="736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Vested and delivered</w:t>
            </w:r>
            <w:r>
              <w:rPr>
                <w:rFonts w:ascii="Arial" w:cs="Arial" w:eastAsia="Arial" w:hAnsi="Arial"/>
                <w:sz w:val="24"/>
                <w:szCs w:val="24"/>
                <w:color w:val="auto"/>
                <w:vertAlign w:val="superscript"/>
              </w:rPr>
              <w:t>(2)</w:t>
            </w:r>
          </w:p>
        </w:tc>
        <w:tc>
          <w:tcPr>
            <w:tcW w:w="2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(695,697 )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FF0FC"/>
          </w:tcPr>
          <w:p>
            <w:pPr>
              <w:spacing w:after="0"/>
              <w:rPr>
                <w:sz w:val="22"/>
                <w:szCs w:val="22"/>
                <w:color w:val="auto"/>
              </w:rPr>
            </w:pPr>
          </w:p>
        </w:tc>
      </w:tr>
      <w:tr>
        <w:trPr>
          <w:trHeight w:val="257"/>
        </w:trPr>
        <w:tc>
          <w:tcPr>
            <w:tcW w:w="7360" w:type="dxa"/>
            <w:vAlign w:val="bottom"/>
          </w:tcPr>
          <w:p>
            <w:pPr>
              <w:ind w:left="20"/>
              <w:spacing w:after="0" w:line="257" w:lineRule="exact"/>
              <w:rPr>
                <w:sz w:val="20"/>
                <w:szCs w:val="20"/>
                <w:color w:val="auto"/>
              </w:rPr>
            </w:pPr>
            <w:r>
              <w:rPr>
                <w:rFonts w:ascii="Arial" w:cs="Arial" w:eastAsia="Arial" w:hAnsi="Arial"/>
                <w:sz w:val="18"/>
                <w:szCs w:val="18"/>
                <w:color w:val="auto"/>
              </w:rPr>
              <w:t>Withheld as treasury stock</w:t>
            </w:r>
            <w:r>
              <w:rPr>
                <w:rFonts w:ascii="Arial" w:cs="Arial" w:eastAsia="Arial" w:hAnsi="Arial"/>
                <w:sz w:val="24"/>
                <w:szCs w:val="24"/>
                <w:color w:val="auto"/>
                <w:vertAlign w:val="superscript"/>
              </w:rPr>
              <w:t>(3)</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(127,871 )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22"/>
                <w:szCs w:val="22"/>
                <w:color w:val="auto"/>
              </w:rPr>
            </w:pPr>
          </w:p>
        </w:tc>
      </w:tr>
      <w:tr>
        <w:trPr>
          <w:trHeight w:val="257"/>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not delivered</w:t>
            </w:r>
          </w:p>
        </w:tc>
        <w:tc>
          <w:tcPr>
            <w:tcW w:w="2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(8,417 )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FF0FC"/>
          </w:tcPr>
          <w:p>
            <w:pPr>
              <w:spacing w:after="0"/>
              <w:rPr>
                <w:sz w:val="22"/>
                <w:szCs w:val="22"/>
                <w:color w:val="auto"/>
              </w:rPr>
            </w:pPr>
          </w:p>
        </w:tc>
      </w:tr>
      <w:tr>
        <w:trPr>
          <w:trHeight w:val="257"/>
        </w:trPr>
        <w:tc>
          <w:tcPr>
            <w:tcW w:w="73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(37,399 )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17.25</w:t>
            </w:r>
          </w:p>
        </w:tc>
        <w:tc>
          <w:tcPr>
            <w:tcW w:w="80" w:type="dxa"/>
            <w:vAlign w:val="bottom"/>
          </w:tcPr>
          <w:p>
            <w:pPr>
              <w:spacing w:after="0"/>
              <w:rPr>
                <w:sz w:val="22"/>
                <w:szCs w:val="22"/>
                <w:color w:val="auto"/>
              </w:rPr>
            </w:pPr>
          </w:p>
        </w:tc>
      </w:tr>
      <w:tr>
        <w:trPr>
          <w:trHeight w:val="290"/>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as of September 30, 2021</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1,229,666</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17.46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1803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1803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209" w:lineRule="exact"/>
        <w:rPr>
          <w:sz w:val="20"/>
          <w:szCs w:val="20"/>
          <w:color w:val="auto"/>
        </w:rPr>
      </w:pPr>
    </w:p>
    <w:p>
      <w:pPr>
        <w:ind w:left="340" w:right="200" w:hanging="332"/>
        <w:spacing w:after="0" w:line="314"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July 30, 2021, the Company granted 120,000 RSUs (included in “Granted” above), subject to performance-based requirements, to one non-executive employee, at a grant date fair value of $24.14 per share. Such RSU grants shall not vest unless and until the Company has achieved certain revenue for a portion of its business prior to the achievement date deadline for each performance milestone (collectively, the “Performance Milestones”). No amortization of share-based compensation expense has been recognized in relation to such RSUs with Performance Milestones, because, as of September 30, 2021, the Company determined that it is not probable that the Performance Milestones will be met.</w:t>
      </w:r>
    </w:p>
    <w:p>
      <w:pPr>
        <w:spacing w:after="0" w:line="173" w:lineRule="exact"/>
        <w:rPr>
          <w:rFonts w:ascii="Arial" w:cs="Arial" w:eastAsia="Arial" w:hAnsi="Arial"/>
          <w:sz w:val="16"/>
          <w:szCs w:val="16"/>
          <w:color w:val="auto"/>
        </w:rPr>
      </w:pPr>
    </w:p>
    <w:p>
      <w:pPr>
        <w:ind w:left="340" w:right="20" w:hanging="332"/>
        <w:spacing w:after="0" w:line="30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During the period from August 29, 2019 to September 8, 2020, the Company granted an aggregate of 277,500 RSUs to its employees. Such RSU grants shall not vest unless and until the Company has, for any fiscal quarter in which the RSUs are outstanding, (i) gross revenue determined in accordance with the Company’s reviewed or audited financial statements in excess of $10.0 million for such fiscal quarter, (ii) positive adjusted EBITDA of at least $1.5 million, as determined based on amounts derived from the Company’s reviewed or audited financial statements for such fiscal quarter, and (iii) the recipient continues to provide services to the Company either as an employee, director or consultant on the last day of the quarter that the performance criteria are met. Provided the performance criteria are met, the RSUs will vest in accordance with the time-based requirements contained in the award agreement over three or four years. In the event of a change of control, all RSUs which have not vested on the date of such change of control shall immediately vest even if the performance criteria have not been met. As of the respective grant dates, the Company determined that it was probable that the performance criteria would be met and therefore, began to record the related amortization expense on the grant dates. The Company determined that the performance criteria were met as of March 31, 2021.</w:t>
      </w:r>
    </w:p>
    <w:p>
      <w:pPr>
        <w:spacing w:after="0" w:line="57" w:lineRule="exact"/>
        <w:rPr>
          <w:rFonts w:ascii="Arial" w:cs="Arial" w:eastAsia="Arial" w:hAnsi="Arial"/>
          <w:sz w:val="16"/>
          <w:szCs w:val="16"/>
          <w:color w:val="auto"/>
        </w:rPr>
      </w:pPr>
    </w:p>
    <w:p>
      <w:pPr>
        <w:ind w:left="340" w:right="300" w:hanging="332"/>
        <w:spacing w:after="0" w:line="29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July 2021, 127,871 shares of common stock were withheld to pay withholding taxes upon such vesting, which were reflected in treasury stock at cost of $2,785. In September 2021, 127,871 shares of treasury stock were retired.</w:t>
      </w:r>
    </w:p>
    <w:p>
      <w:pPr>
        <w:spacing w:after="0" w:line="143"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As of September 30, 2021, unrecognized share-based compensation expense associated with the granted RSUs amounted to $10,886, which is expected to be recognized over a remaining weighted average period of 2.5 years.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was allocated to the following accounts in the condensed consolidated financial statements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r>
      <w:tr>
        <w:trPr>
          <w:trHeight w:val="202"/>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 expenses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21"/>
                <w:szCs w:val="21"/>
                <w:color w:val="auto"/>
              </w:rPr>
            </w:pPr>
          </w:p>
        </w:tc>
      </w:tr>
      <w:tr>
        <w:trPr>
          <w:trHeight w:val="256"/>
        </w:trPr>
        <w:tc>
          <w:tcPr>
            <w:tcW w:w="53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w:t>
            </w:r>
          </w:p>
        </w:tc>
        <w:tc>
          <w:tcPr>
            <w:tcW w:w="100" w:type="dxa"/>
            <w:vAlign w:val="bottom"/>
          </w:tcPr>
          <w:p>
            <w:pPr>
              <w:spacing w:after="0"/>
              <w:rPr>
                <w:sz w:val="22"/>
                <w:szCs w:val="22"/>
                <w:color w:val="auto"/>
              </w:rPr>
            </w:pPr>
          </w:p>
        </w:tc>
      </w:tr>
      <w:tr>
        <w:trPr>
          <w:trHeight w:val="250"/>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FF0FC"/>
          </w:tcPr>
          <w:p>
            <w:pPr>
              <w:spacing w:after="0"/>
              <w:rPr>
                <w:sz w:val="21"/>
                <w:szCs w:val="21"/>
                <w:color w:val="auto"/>
              </w:rPr>
            </w:pPr>
          </w:p>
        </w:tc>
      </w:tr>
      <w:tr>
        <w:trPr>
          <w:trHeight w:val="256"/>
        </w:trPr>
        <w:tc>
          <w:tcPr>
            <w:tcW w:w="5320" w:type="dxa"/>
            <w:vAlign w:val="bottom"/>
          </w:tcPr>
          <w:p>
            <w:pPr>
              <w:ind w:left="20"/>
              <w:spacing w:after="0"/>
              <w:rPr>
                <w:sz w:val="20"/>
                <w:szCs w:val="20"/>
                <w:color w:val="auto"/>
              </w:rPr>
            </w:pPr>
            <w:r>
              <w:rPr>
                <w:rFonts w:ascii="Arial" w:cs="Arial" w:eastAsia="Arial" w:hAnsi="Arial"/>
                <w:sz w:val="18"/>
                <w:szCs w:val="18"/>
                <w:color w:val="auto"/>
              </w:rPr>
              <w:t>Capitalized in intangible assets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2"/>
                <w:szCs w:val="22"/>
                <w:color w:val="auto"/>
              </w:rPr>
            </w:pPr>
          </w:p>
        </w:tc>
      </w:tr>
      <w:tr>
        <w:trPr>
          <w:trHeight w:val="290"/>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6,220</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7,896</w:t>
            </w:r>
          </w:p>
        </w:tc>
        <w:tc>
          <w:tcPr>
            <w:tcW w:w="100" w:type="dxa"/>
            <w:vAlign w:val="bottom"/>
            <w:shd w:val="clear" w:color="auto" w:fill="CFF0FC"/>
          </w:tcPr>
          <w:p>
            <w:pPr>
              <w:spacing w:after="0"/>
              <w:rPr>
                <w:sz w:val="24"/>
                <w:szCs w:val="24"/>
                <w:color w:val="auto"/>
              </w:rPr>
            </w:pPr>
          </w:p>
        </w:tc>
      </w:tr>
      <w:tr>
        <w:trPr>
          <w:trHeight w:val="655"/>
        </w:trPr>
        <w:tc>
          <w:tcPr>
            <w:tcW w:w="53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855"/>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2"/>
        </w:trPr>
        <w:tc>
          <w:tcPr>
            <w:tcW w:w="5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-530860</wp:posOffset>
            </wp:positionV>
            <wp:extent cx="1543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-513715</wp:posOffset>
            </wp:positionV>
            <wp:extent cx="1543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-530860</wp:posOffset>
            </wp:positionV>
            <wp:extent cx="1543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-513715</wp:posOffset>
            </wp:positionV>
            <wp:extent cx="1543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-530860</wp:posOffset>
            </wp:positionV>
            <wp:extent cx="1460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-513715</wp:posOffset>
            </wp:positionV>
            <wp:extent cx="1460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-530860</wp:posOffset>
            </wp:positionV>
            <wp:extent cx="59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-513715</wp:posOffset>
            </wp:positionV>
            <wp:extent cx="59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8.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212"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On August 7, 2018, the Company entered into a services agreement with Mr. Michael Brauser (the “Consultant”), a greater than 10% stockholder, pursuant to which, the Consultant would be providing recommendations on organizational and capital structure, future financing needs and future acquisitions or strategic transactions (“Services Agreement”), for a term of one year, automatically renewing for additional one-year periods unless either party provided written notice to the other of its intent not to renew not fewer than 30 days prior to the expiration of the then-current term. Under the Services Agreement, the Consultant received cash compensation of $30 per month and was entitled to participate in the Company’s incentive compensation plan.</w:t>
      </w:r>
    </w:p>
    <w:p>
      <w:pPr>
        <w:spacing w:after="0" w:line="119"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color w:val="auto"/>
        </w:rPr>
        <w:t>On February 16, 2021, the Company entered into a Separation Agreement (the "Separation Agreement") with the Consultant. Pursuant to the Separation Agreement, the parties agreed that the Services Agreement which expired on August 6, 2021 (“Expiration Date”), would not be renewed, but would continue in force and effect until the Expiration Date and that the Consultant would not take any actions on behalf of the Company, including pursuant to the Services Agreement, unless specifically requested in writing by the Company. Pursuant to the Separation Agreement, the Consultant also agreed (i) to certain non-solicitation obligations contained therein, (ii) that he and his affiliates would not disparage or assist or cooperate with any person or entity seeking to publicly disparage or economically harm the Company, and (iii) that the Consultant and his affiliates would not initiate any lawsuit, claim, or proceeding with respect to any claims against the Company, except (with designated exceptions) for any legal proceeding initiated solely to remedy a breach of or to enforce the Separation Agreement.</w:t>
      </w:r>
    </w:p>
    <w:p>
      <w:pPr>
        <w:spacing w:after="0" w:line="141"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With respect to each annual or special meeting of the Company's stockholders until the Expiration Date of the Separation Agreement, the Consultant agreed to vote the shares of the Company's common stock or any other securities entitled to vote then held by him or his affiliates in accordance with the board of directors' recommendations on director proposals, provided there is a change in no more than 25% of the current directors (not including changes resulting from a director's death or resignation), and the ratification of the appointment of the Company’s independent registered public accounting firm.</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agreed (i) that the remaining unvested 166,666 RSUs previously granted to Consultant in accordance with the 2018 RSU agreement would continue to vest on July 1, 2021, in accordance with and subject to all other provisions and conditions of such grant, (ii) to amend the 2020 RSU agreement, previously granting Consultant 30,000 RSUs such that the 30,000 RSUs would continue to vest 33-1/3% on November 1, 2021, 66-2/3% on November 1, 2022, and 100% on November 1, 2023, without certain Company performance criteria, subject to all other provisions and conditions of such grant, (iii) to include shares of the Company's common stock held by the Consultant or his affiliates in any registration statement the Company files for the benefit of selling stockholders at any time when the Consultant or his affiliates beneficially own 10% or more of the Company's common stock, and (iv) to not initiate any lawsuit, claim, or proceeding with respect to any claims against the Consultant and his affiliates, except (with designated exceptions) for any legal proceeding initiated solely to remedy a breach of or to enforce the Separation Agreement. As a result of the modification to the 2020 RSU agreement, beginning February 16, 2021, the Company recognized an aggregate of $723 in share-based compensation expense over the remaining service period which ended on the Expiration Date.</w:t>
      </w:r>
    </w:p>
    <w:p>
      <w:pPr>
        <w:spacing w:after="0" w:line="141"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The Company recognized consulting service fees relating to the Services Agreement of a total of $36 and $90 during the three months ended September 30, 2021 and 2020, respectively, and $216 and $270 during the nine months ended September 30, 2021 and 2020, respectively. In addition, amortization of share-based compensation expense of $160 and $343 for the three months ended September 30, 2021 and 2020, respectively, and $1,432 and $1,022 for the nine months ended September 30, 2021 and 2020, respectively, was recognized in relation to the RSUs previously granted to the Consultant.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loan</w:t>
      </w:r>
    </w:p>
    <w:p>
      <w:pPr>
        <w:spacing w:after="0" w:line="216"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color w:val="auto"/>
        </w:rPr>
        <w:t>On May 5, 2020, the Company received funding under a promissory note dated May 5, 2020 evidencing an unsecured non-recourse loan in the principal amount of $2,152 under the Coronavirus Aid, Relief, and Economic Security Act (“CARES Act”) (the “Loan”). The Loan to the Company was made through Legacy Bank of Florida (the “Lender”).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long-term loan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2020</w:t>
            </w:r>
          </w:p>
        </w:tc>
        <w:tc>
          <w:tcPr>
            <w:tcW w:w="100" w:type="dxa"/>
            <w:vAlign w:val="bottom"/>
          </w:tcPr>
          <w:p>
            <w:pPr>
              <w:spacing w:after="0"/>
              <w:rPr>
                <w:sz w:val="17"/>
                <w:szCs w:val="17"/>
                <w:color w:val="auto"/>
              </w:rPr>
            </w:pPr>
          </w:p>
        </w:tc>
      </w:tr>
      <w:tr>
        <w:trPr>
          <w:trHeight w:val="250"/>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amount</w:t>
            </w:r>
          </w:p>
        </w:tc>
        <w:tc>
          <w:tcPr>
            <w:tcW w:w="5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FF0FC"/>
          </w:tcPr>
          <w:p>
            <w:pPr>
              <w:spacing w:after="0"/>
              <w:rPr>
                <w:sz w:val="21"/>
                <w:szCs w:val="21"/>
                <w:color w:val="auto"/>
              </w:rPr>
            </w:pPr>
          </w:p>
        </w:tc>
      </w:tr>
      <w:tr>
        <w:trPr>
          <w:trHeight w:val="250"/>
        </w:trPr>
        <w:tc>
          <w:tcPr>
            <w:tcW w:w="4220" w:type="dxa"/>
            <w:vAlign w:val="bottom"/>
          </w:tcPr>
          <w:p>
            <w:pPr>
              <w:ind w:left="20"/>
              <w:spacing w:after="0"/>
              <w:rPr>
                <w:sz w:val="20"/>
                <w:szCs w:val="20"/>
                <w:color w:val="auto"/>
              </w:rPr>
            </w:pPr>
            <w:r>
              <w:rPr>
                <w:rFonts w:ascii="Arial" w:cs="Arial" w:eastAsia="Arial" w:hAnsi="Arial"/>
                <w:sz w:val="18"/>
                <w:szCs w:val="18"/>
                <w:color w:val="auto"/>
              </w:rPr>
              <w:t>Included in consolidated balance sheet:</w:t>
            </w:r>
          </w:p>
        </w:tc>
        <w:tc>
          <w:tcPr>
            <w:tcW w:w="5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long-term loan</w:t>
            </w:r>
          </w:p>
        </w:tc>
        <w:tc>
          <w:tcPr>
            <w:tcW w:w="5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22"/>
                <w:szCs w:val="22"/>
                <w:color w:val="auto"/>
              </w:rPr>
            </w:pPr>
          </w:p>
        </w:tc>
      </w:tr>
      <w:tr>
        <w:trPr>
          <w:trHeight w:val="256"/>
        </w:trPr>
        <w:tc>
          <w:tcPr>
            <w:tcW w:w="4220" w:type="dxa"/>
            <w:vAlign w:val="bottom"/>
          </w:tcPr>
          <w:p>
            <w:pPr>
              <w:ind w:left="20"/>
              <w:spacing w:after="0"/>
              <w:rPr>
                <w:sz w:val="20"/>
                <w:szCs w:val="20"/>
                <w:color w:val="auto"/>
              </w:rPr>
            </w:pPr>
            <w:r>
              <w:rPr>
                <w:rFonts w:ascii="Arial" w:cs="Arial" w:eastAsia="Arial" w:hAnsi="Arial"/>
                <w:sz w:val="18"/>
                <w:szCs w:val="18"/>
                <w:color w:val="auto"/>
              </w:rPr>
              <w:t>Long-term loan (non-current)</w:t>
            </w:r>
          </w:p>
        </w:tc>
        <w:tc>
          <w:tcPr>
            <w:tcW w:w="5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2"/>
                <w:szCs w:val="22"/>
                <w:color w:val="auto"/>
              </w:rPr>
            </w:pPr>
          </w:p>
        </w:tc>
      </w:tr>
      <w:tr>
        <w:trPr>
          <w:trHeight w:val="284"/>
        </w:trPr>
        <w:tc>
          <w:tcPr>
            <w:tcW w:w="4220" w:type="dxa"/>
            <w:vAlign w:val="bottom"/>
            <w:shd w:val="clear" w:color="auto" w:fill="CFF0FC"/>
          </w:tcPr>
          <w:p>
            <w:pPr>
              <w:spacing w:after="0"/>
              <w:rPr>
                <w:sz w:val="24"/>
                <w:szCs w:val="24"/>
                <w:color w:val="auto"/>
              </w:rPr>
            </w:pPr>
          </w:p>
        </w:tc>
        <w:tc>
          <w:tcPr>
            <w:tcW w:w="5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FF0FC"/>
          </w:tcPr>
          <w:p>
            <w:pPr>
              <w:spacing w:after="0"/>
              <w:rPr>
                <w:sz w:val="24"/>
                <w:szCs w:val="24"/>
                <w:color w:val="auto"/>
              </w:rPr>
            </w:pPr>
          </w:p>
        </w:tc>
      </w:tr>
      <w:tr>
        <w:trPr>
          <w:trHeight w:val="662"/>
        </w:trPr>
        <w:tc>
          <w:tcPr>
            <w:tcW w:w="4220" w:type="dxa"/>
            <w:vAlign w:val="bottom"/>
            <w:tcBorders>
              <w:top w:val="single" w:sz="8" w:color="CFF0FC"/>
            </w:tcBorders>
          </w:tcPr>
          <w:p>
            <w:pPr>
              <w:spacing w:after="0"/>
              <w:rPr>
                <w:sz w:val="24"/>
                <w:szCs w:val="24"/>
                <w:color w:val="auto"/>
              </w:rPr>
            </w:pPr>
          </w:p>
        </w:tc>
        <w:tc>
          <w:tcPr>
            <w:tcW w:w="5100" w:type="dxa"/>
            <w:vAlign w:val="bottom"/>
            <w:tcBorders>
              <w:top w:val="single" w:sz="8" w:color="CFF0FC"/>
            </w:tcBorders>
          </w:tcPr>
          <w:p>
            <w:pPr>
              <w:jc w:val="right"/>
              <w:ind w:right="357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1"/>
        </w:trPr>
        <w:tc>
          <w:tcPr>
            <w:tcW w:w="4220" w:type="dxa"/>
            <w:vAlign w:val="bottom"/>
            <w:tcBorders>
              <w:bottom w:val="single" w:sz="8" w:color="9A9A9A"/>
            </w:tcBorders>
          </w:tcPr>
          <w:p>
            <w:pPr>
              <w:spacing w:after="0"/>
              <w:rPr>
                <w:sz w:val="8"/>
                <w:szCs w:val="8"/>
                <w:color w:val="auto"/>
              </w:rPr>
            </w:pPr>
          </w:p>
        </w:tc>
        <w:tc>
          <w:tcPr>
            <w:tcW w:w="5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Loan had a two-year term and a contractual maturity of May 5, 2022. The interest rate on the Loan is 1.0% per annum.</w:t>
      </w:r>
    </w:p>
    <w:p>
      <w:pPr>
        <w:spacing w:after="0" w:line="198" w:lineRule="exact"/>
        <w:rPr>
          <w:sz w:val="20"/>
          <w:szCs w:val="20"/>
          <w:color w:val="auto"/>
        </w:rPr>
      </w:pPr>
    </w:p>
    <w:p>
      <w:pPr>
        <w:jc w:val="both"/>
        <w:ind w:right="120"/>
        <w:spacing w:after="0" w:line="279" w:lineRule="auto"/>
        <w:rPr>
          <w:sz w:val="20"/>
          <w:szCs w:val="20"/>
          <w:color w:val="auto"/>
        </w:rPr>
      </w:pPr>
      <w:r>
        <w:rPr>
          <w:rFonts w:ascii="Arial" w:cs="Arial" w:eastAsia="Arial" w:hAnsi="Arial"/>
          <w:sz w:val="18"/>
          <w:szCs w:val="18"/>
          <w:color w:val="auto"/>
        </w:rPr>
        <w:t>On June 16, 2021, the Company received a notice from the Lender that the full principal amount of the Loan of $2,152 and the accrued interest of $23 had been fully forgiven, and the U.S. Small Business Administration remitted the forgiveness payment to the Lender, resulting in a gain on extinguishment of debt of $2,175 during the nine months ended September 30,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02"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auto"/>
        </w:rPr>
        <w:t>The Company leases its corporate headquarters of 21,020 rentable square feet in accordance with a non-cancelable 89-month operating lease agreement as amended and effective in January 2017, with an option to extend for an additional 60 months. The Company also leases an additional office space of 6,003 rentable square feet in accordance with a non-cancellable 90-month operating lease agreement entered into in April 2017, with an option to extend for an additional 60 months. The extension option is not included in the determination of the lease term as it is not reasonably certain to be exercised.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2021 and 2020, a summary of the Company’s lease information is shown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151"/>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Operating lease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r>
      <w:tr>
        <w:trPr>
          <w:trHeight w:val="26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information:</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Cash paid for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r>
      <w:tr>
        <w:trPr>
          <w:trHeight w:val="473"/>
        </w:trPr>
        <w:tc>
          <w:tcPr>
            <w:tcW w:w="7080" w:type="dxa"/>
            <w:vAlign w:val="bottom"/>
            <w:gridSpan w:val="4"/>
          </w:tcPr>
          <w:p>
            <w:pPr>
              <w:spacing w:after="0"/>
              <w:rPr>
                <w:sz w:val="20"/>
                <w:szCs w:val="20"/>
                <w:color w:val="auto"/>
              </w:rPr>
            </w:pPr>
            <w:r>
              <w:rPr>
                <w:rFonts w:ascii="Arial" w:cs="Arial" w:eastAsia="Arial" w:hAnsi="Arial"/>
                <w:sz w:val="18"/>
                <w:szCs w:val="18"/>
                <w:color w:val="auto"/>
                <w:w w:val="92"/>
              </w:rPr>
              <w:t>As of September 30, 2021, the weighted average remaining operating lease term was 3.1 years.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700" w:type="dxa"/>
            <w:vAlign w:val="bottom"/>
            <w:gridSpan w:val="8"/>
          </w:tcPr>
          <w:p>
            <w:pPr>
              <w:spacing w:after="0"/>
              <w:rPr>
                <w:sz w:val="20"/>
                <w:szCs w:val="20"/>
                <w:color w:val="auto"/>
              </w:rPr>
            </w:pPr>
            <w:r>
              <w:rPr>
                <w:rFonts w:ascii="Arial" w:cs="Arial" w:eastAsia="Arial" w:hAnsi="Arial"/>
                <w:sz w:val="18"/>
                <w:szCs w:val="18"/>
                <w:color w:val="auto"/>
                <w:w w:val="90"/>
              </w:rPr>
              <w:t>As of September 30, 2021, scheduled future maturities and present value of the operating lease liabilities are as follows:</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0"/>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8"/>
                <w:szCs w:val="18"/>
                <w:color w:val="auto"/>
              </w:rPr>
            </w:pPr>
          </w:p>
        </w:tc>
      </w:tr>
      <w:tr>
        <w:trPr>
          <w:trHeight w:val="25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21"/>
                <w:szCs w:val="21"/>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r>
      <w:tr>
        <w:trPr>
          <w:trHeight w:val="26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r>
      <w:tr>
        <w:trPr>
          <w:trHeight w:val="257"/>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Total maturities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included in consolidated balance sheet:</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r>
      <w:tr>
        <w:trPr>
          <w:trHeight w:val="257"/>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1"/>
                <w:szCs w:val="21"/>
                <w:color w:val="auto"/>
              </w:rPr>
            </w:pPr>
          </w:p>
        </w:tc>
      </w:tr>
      <w:tr>
        <w:trPr>
          <w:trHeight w:val="20"/>
        </w:trPr>
        <w:tc>
          <w:tcPr>
            <w:tcW w:w="70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0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-1068070</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212"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Company incurred data costs of $2,107 and $2,093 for the three months ended September 30, 2021 and 2020, respectively, and $6,337 and $6,396 for the nine months ended September 30, 2021 and 2020, respectively, under certain data licensing agreements. As of September 30, 2021, material capital commitments under certain data licensing agreements were $34,082, shown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September 30, 2021</w:t>
            </w:r>
          </w:p>
        </w:tc>
        <w:tc>
          <w:tcPr>
            <w:tcW w:w="100" w:type="dxa"/>
            <w:vAlign w:val="bottom"/>
          </w:tcPr>
          <w:p>
            <w:pPr>
              <w:spacing w:after="0"/>
              <w:rPr>
                <w:sz w:val="18"/>
                <w:szCs w:val="18"/>
                <w:color w:val="auto"/>
              </w:rPr>
            </w:pPr>
          </w:p>
        </w:tc>
      </w:tr>
      <w:tr>
        <w:trPr>
          <w:trHeight w:val="25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6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FF0FC"/>
          </w:tcPr>
          <w:p>
            <w:pPr>
              <w:spacing w:after="0"/>
              <w:rPr>
                <w:sz w:val="22"/>
                <w:szCs w:val="22"/>
                <w:color w:val="auto"/>
              </w:rPr>
            </w:pPr>
          </w:p>
        </w:tc>
      </w:tr>
      <w:tr>
        <w:trPr>
          <w:trHeight w:val="250"/>
        </w:trPr>
        <w:tc>
          <w:tcPr>
            <w:tcW w:w="3480" w:type="dxa"/>
            <w:vAlign w:val="bottom"/>
          </w:tcPr>
          <w:p>
            <w:pPr>
              <w:ind w:left="20"/>
              <w:spacing w:after="0"/>
              <w:rPr>
                <w:sz w:val="20"/>
                <w:szCs w:val="20"/>
                <w:color w:val="auto"/>
              </w:rPr>
            </w:pPr>
            <w:r>
              <w:rPr>
                <w:rFonts w:ascii="Arial" w:cs="Arial" w:eastAsia="Arial" w:hAnsi="Arial"/>
                <w:sz w:val="18"/>
                <w:szCs w:val="18"/>
                <w:color w:val="auto"/>
              </w:rPr>
              <w:t>2022</w:t>
            </w:r>
          </w:p>
        </w:tc>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7,536</w:t>
            </w:r>
          </w:p>
        </w:tc>
        <w:tc>
          <w:tcPr>
            <w:tcW w:w="100" w:type="dxa"/>
            <w:vAlign w:val="bottom"/>
          </w:tcPr>
          <w:p>
            <w:pPr>
              <w:spacing w:after="0"/>
              <w:rPr>
                <w:sz w:val="21"/>
                <w:szCs w:val="21"/>
                <w:color w:val="auto"/>
              </w:rPr>
            </w:pPr>
          </w:p>
        </w:tc>
      </w:tr>
      <w:tr>
        <w:trPr>
          <w:trHeight w:val="263"/>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59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6,952</w:t>
            </w:r>
          </w:p>
        </w:tc>
        <w:tc>
          <w:tcPr>
            <w:tcW w:w="100" w:type="dxa"/>
            <w:vAlign w:val="bottom"/>
            <w:shd w:val="clear" w:color="auto" w:fill="CFF0FC"/>
          </w:tcPr>
          <w:p>
            <w:pPr>
              <w:spacing w:after="0"/>
              <w:rPr>
                <w:sz w:val="22"/>
                <w:szCs w:val="22"/>
                <w:color w:val="auto"/>
              </w:rPr>
            </w:pPr>
          </w:p>
        </w:tc>
      </w:tr>
      <w:tr>
        <w:trPr>
          <w:trHeight w:val="250"/>
        </w:trPr>
        <w:tc>
          <w:tcPr>
            <w:tcW w:w="3480" w:type="dxa"/>
            <w:vAlign w:val="bottom"/>
          </w:tcPr>
          <w:p>
            <w:pPr>
              <w:ind w:left="20"/>
              <w:spacing w:after="0"/>
              <w:rPr>
                <w:sz w:val="20"/>
                <w:szCs w:val="20"/>
                <w:color w:val="auto"/>
              </w:rPr>
            </w:pPr>
            <w:r>
              <w:rPr>
                <w:rFonts w:ascii="Arial" w:cs="Arial" w:eastAsia="Arial" w:hAnsi="Arial"/>
                <w:sz w:val="18"/>
                <w:szCs w:val="18"/>
                <w:color w:val="auto"/>
              </w:rPr>
              <w:t>2024</w:t>
            </w:r>
          </w:p>
        </w:tc>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6,842</w:t>
            </w:r>
          </w:p>
        </w:tc>
        <w:tc>
          <w:tcPr>
            <w:tcW w:w="100" w:type="dxa"/>
            <w:vAlign w:val="bottom"/>
          </w:tcPr>
          <w:p>
            <w:pPr>
              <w:spacing w:after="0"/>
              <w:rPr>
                <w:sz w:val="21"/>
                <w:szCs w:val="21"/>
                <w:color w:val="auto"/>
              </w:rPr>
            </w:pPr>
          </w:p>
        </w:tc>
      </w:tr>
      <w:tr>
        <w:trPr>
          <w:trHeight w:val="263"/>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59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6,936</w:t>
            </w:r>
          </w:p>
        </w:tc>
        <w:tc>
          <w:tcPr>
            <w:tcW w:w="100" w:type="dxa"/>
            <w:vAlign w:val="bottom"/>
            <w:shd w:val="clear" w:color="auto" w:fill="CFF0FC"/>
          </w:tcPr>
          <w:p>
            <w:pPr>
              <w:spacing w:after="0"/>
              <w:rPr>
                <w:sz w:val="22"/>
                <w:szCs w:val="22"/>
                <w:color w:val="auto"/>
              </w:rPr>
            </w:pPr>
          </w:p>
        </w:tc>
      </w:tr>
      <w:tr>
        <w:trPr>
          <w:trHeight w:val="250"/>
        </w:trPr>
        <w:tc>
          <w:tcPr>
            <w:tcW w:w="348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21"/>
                <w:szCs w:val="21"/>
                <w:color w:val="auto"/>
              </w:rPr>
            </w:pPr>
          </w:p>
        </w:tc>
      </w:tr>
      <w:tr>
        <w:trPr>
          <w:trHeight w:val="290"/>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6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34,082</w:t>
            </w:r>
          </w:p>
        </w:tc>
        <w:tc>
          <w:tcPr>
            <w:tcW w:w="100" w:type="dxa"/>
            <w:vAlign w:val="bottom"/>
            <w:shd w:val="clear" w:color="auto" w:fill="CFF0FC"/>
          </w:tcPr>
          <w:p>
            <w:pPr>
              <w:spacing w:after="0"/>
              <w:rPr>
                <w:sz w:val="24"/>
                <w:szCs w:val="24"/>
                <w:color w:val="auto"/>
              </w:rPr>
            </w:pPr>
          </w:p>
        </w:tc>
      </w:tr>
      <w:tr>
        <w:trPr>
          <w:trHeight w:val="662"/>
        </w:trPr>
        <w:tc>
          <w:tcPr>
            <w:tcW w:w="3480" w:type="dxa"/>
            <w:vAlign w:val="bottom"/>
            <w:tcBorders>
              <w:top w:val="single" w:sz="8" w:color="CFF0FC"/>
            </w:tcBorders>
          </w:tcPr>
          <w:p>
            <w:pPr>
              <w:spacing w:after="0"/>
              <w:rPr>
                <w:sz w:val="24"/>
                <w:szCs w:val="24"/>
                <w:color w:val="auto"/>
              </w:rPr>
            </w:pPr>
          </w:p>
        </w:tc>
        <w:tc>
          <w:tcPr>
            <w:tcW w:w="5980" w:type="dxa"/>
            <w:vAlign w:val="bottom"/>
            <w:tcBorders>
              <w:top w:val="single" w:sz="8" w:color="CFF0FC"/>
            </w:tcBorders>
          </w:tcPr>
          <w:p>
            <w:pPr>
              <w:jc w:val="right"/>
              <w:ind w:right="3650"/>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88"/>
        </w:trPr>
        <w:tc>
          <w:tcPr>
            <w:tcW w:w="3480" w:type="dxa"/>
            <w:vAlign w:val="bottom"/>
            <w:tcBorders>
              <w:bottom w:val="single" w:sz="8" w:color="9A9A9A"/>
            </w:tcBorders>
          </w:tcPr>
          <w:p>
            <w:pPr>
              <w:spacing w:after="0"/>
              <w:rPr>
                <w:sz w:val="7"/>
                <w:szCs w:val="7"/>
                <w:color w:val="auto"/>
              </w:rPr>
            </w:pPr>
          </w:p>
        </w:tc>
        <w:tc>
          <w:tcPr>
            <w:tcW w:w="59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(b) Contingencies</w:t>
      </w:r>
    </w:p>
    <w:p>
      <w:pPr>
        <w:spacing w:after="0" w:line="198"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33" w:lineRule="exact"/>
        <w:rPr>
          <w:sz w:val="20"/>
          <w:szCs w:val="20"/>
          <w:color w:val="auto"/>
        </w:rPr>
      </w:pPr>
    </w:p>
    <w:p>
      <w:pPr>
        <w:ind w:right="320"/>
        <w:spacing w:after="0" w:line="319" w:lineRule="auto"/>
        <w:rPr>
          <w:sz w:val="20"/>
          <w:szCs w:val="20"/>
          <w:color w:val="auto"/>
        </w:rPr>
      </w:pPr>
      <w:r>
        <w:rPr>
          <w:rFonts w:ascii="Arial" w:cs="Arial" w:eastAsia="Arial" w:hAnsi="Arial"/>
          <w:sz w:val="16"/>
          <w:szCs w:val="16"/>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Covid-19 update</w:t>
      </w:r>
    </w:p>
    <w:p>
      <w:pPr>
        <w:spacing w:after="0" w:line="19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December 2019, a novel strain of coronavirus, known as Covid-19, was reported in Wuhan, China and has since extensively impacted the global health and economic environment. In March 2020, the World Health Organization characterized Covid-19 as a pandemic. The Company has taken numerous steps, and will continue to take further actions as appropriate, to minimize the impact of the Covid-19 pandemic on the Company’s business, results of operations and financial performance. In accordance with best practices and guidance from the Centers for Disease Control and Prevention, the Company has implemented certain protective safeguards to protect the well-being of its employees, customers, and the communities in which it operates. The Company will continue to assess the need and timing of these protective measures. Starting in the second quarter of 2020, the Company implemented cost containment strategies across all areas of the organization, including continued curtailment of Company travel and partnering with suppliers, landlords and vendors for price concessions and payment deferrals during this interim period. As a result of preventative and protective actions taken by federal, state and local governments, including the implementation of stay-at-home orders and social distancing policies that resulted in significantly reduced commercial activity, and certain temporary government-imposed moratoria on collection customers’ activities, the Company experienced reduced transaction volume in the second and third quarters of 2020. Transaction volume returned to pre-Covid levels by the end of the third quarter of 2020, except for collection customer volume. Collection customer transaction volume returned to pre-Covid levels during the second quarter of 2021, with the exception of the Company’s idiVERIFIED service, which is an ancillary collections market offering that is purely transactional and of a lower margin profile. idiVERIFIED service revenue was down $800 for the three months ended September 30, 2021, compared to the three months ended March 31, 2020. The Company expects its idiVERIFIED service volume to return to pre-Covid levels in the first half of 2022. Beginning the second quarter of 2020, the Company took a proactive customer-centric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During the three months ended September 30, 2021 and 2020, we provided concessions to a total of 7 and 22 customers, representing a $24 and $94 reduction in minimum committed spend, respectively. During the nine months ended September 30, 2021 and 2020, we provided concessions to a total of 15 and 164 customers, representing a $50 and $436 reduction in minimum committed spend, respectively. The Company continues to work with customers who have been impacted by Covid-19 and considers potential concessions on a case-by-case basis. The Company continues to take precautionary measures intended to minimize the risk of the Covid-19 pandemic to its employees, its customers, and the communities in which it operates. These measures may result in inefficiencies, delays and additional costs to the Company’s business. The Covid-19 pandemic and its impact on the Company and the economy has significantly limited the Company’s ability to forecast its future operating results, including its ability to predict revenue and expense levels, and plan for and model future operating results. The Company will continue to evaluate the nature and extent of the impact of the Covid-19 pandemic to its business.</w:t>
      </w:r>
    </w:p>
    <w:p>
      <w:pPr>
        <w:spacing w:after="0" w:line="386"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To further support the Company’s liquidity, beginning April 1, 2020, the Company elected, under Section 2302 of the CARES Act, to defer payment of the employer portion of Social Security payroll tax. Under the CARES Act, employers could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On May 5, 2020, the Company received the Loan under the CARES Act, which was fully forgiven in June 2021, as discussed in Note 10 above. The Company will continue to assess the CARES Act and other applicable government legislation aimed at assisting businesses during the Covid-19 pandemic. Given the dynamic nature of this health emergency, the full impact of the Covid-19 pandemic on the Company’s ongoing business, results of operations and overall financial performance cannot be reasonably estimated at this time.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17"/>
          <w:szCs w:val="17"/>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the impact of the coronavirus (“Covid-19”) pandemic on our operating results. These factors include those contained in this Quarterly Report on Form 10-Q, as well as the disclosures made in the Company’s Annual Report on Form 10-K for the year ended December 31, 2020 filed on March 10, 2021 (“Form 10-K”), and other filings we make with the Securities and Exchange Commission.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 To the extent that our business is negatively impacted due to a variety of factors, including the impact of Covid-19 on our operating results, we may implement longer-term cost reduction efforts in order to mitigate such impacts.</w:t>
      </w:r>
    </w:p>
    <w:p>
      <w:pPr>
        <w:spacing w:after="0" w:line="160" w:lineRule="exact"/>
        <w:rPr>
          <w:sz w:val="20"/>
          <w:szCs w:val="20"/>
          <w:color w:val="auto"/>
        </w:rPr>
      </w:pPr>
    </w:p>
    <w:p>
      <w:pPr>
        <w:ind w:right="940"/>
        <w:spacing w:after="0" w:line="293" w:lineRule="auto"/>
        <w:rPr>
          <w:sz w:val="20"/>
          <w:szCs w:val="20"/>
          <w:color w:val="auto"/>
        </w:rPr>
      </w:pPr>
      <w:r>
        <w:rPr>
          <w:rFonts w:ascii="Arial" w:cs="Arial" w:eastAsia="Arial" w:hAnsi="Arial"/>
          <w:sz w:val="18"/>
          <w:szCs w:val="18"/>
          <w:i w:val="1"/>
          <w:iCs w:val="1"/>
          <w:color w:val="auto"/>
        </w:rPr>
        <w:t>References in this discussion and analysis to “we,” “us,” “our,” “red violet,” or the “Company,” refer to Red Violet, Inc. and its consolidated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Arial" w:cs="Arial" w:eastAsia="Arial" w:hAnsi="Arial"/>
          <w:sz w:val="24"/>
          <w:szCs w:val="24"/>
          <w:color w:val="auto"/>
          <w:vertAlign w:val="superscript"/>
        </w:rPr>
        <w:t>TM</w:t>
      </w:r>
      <w:r>
        <w:rPr>
          <w:rFonts w:ascii="Arial" w:cs="Arial" w:eastAsia="Arial" w:hAnsi="Arial"/>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While our platform powers many diverse solutions for our customers, we presently market our solutions primarily through two brands, idiCORE</w:t>
      </w:r>
      <w:r>
        <w:rPr>
          <w:rFonts w:ascii="Arial" w:cs="Arial" w:eastAsia="Arial" w:hAnsi="Arial"/>
          <w:sz w:val="23"/>
          <w:szCs w:val="23"/>
          <w:color w:val="auto"/>
          <w:vertAlign w:val="superscript"/>
        </w:rPr>
        <w:t>™</w:t>
      </w:r>
      <w:r>
        <w:rPr>
          <w:rFonts w:ascii="Arial" w:cs="Arial" w:eastAsia="Arial" w:hAnsi="Arial"/>
          <w:sz w:val="17"/>
          <w:szCs w:val="17"/>
          <w:color w:val="auto"/>
        </w:rPr>
        <w:t>, our flagship product, and FOREWARN</w:t>
      </w:r>
      <w:r>
        <w:rPr>
          <w:rFonts w:ascii="Arial" w:cs="Arial" w:eastAsia="Arial" w:hAnsi="Arial"/>
          <w:sz w:val="23"/>
          <w:szCs w:val="23"/>
          <w:color w:val="auto"/>
          <w:vertAlign w:val="superscript"/>
        </w:rPr>
        <w:t>®</w:t>
      </w:r>
      <w:r>
        <w:rPr>
          <w:rFonts w:ascii="Arial" w:cs="Arial" w:eastAsia="Arial" w:hAnsi="Arial"/>
          <w:sz w:val="17"/>
          <w:szCs w:val="17"/>
          <w:color w:val="auto"/>
        </w:rPr>
        <w: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September 30, 2021 and 2020, idiCORE had 6,314 and 5,758 billable customers and FOREWARN had 74,377 and 44,927 users, respectively. The Company defines a billable customer of idiCORE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ind w:right="160"/>
        <w:spacing w:after="0" w:line="271" w:lineRule="auto"/>
        <w:rPr>
          <w:sz w:val="20"/>
          <w:szCs w:val="20"/>
          <w:color w:val="auto"/>
        </w:rPr>
      </w:pPr>
      <w:r>
        <w:rPr>
          <w:rFonts w:ascii="Arial" w:cs="Arial" w:eastAsia="Arial" w:hAnsi="Arial"/>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80% of total revenue for the three and nine months ended September 30, 2021, as compared to 68% and 71% for the three and nine months ended September 30, 2020, respectively.</w:t>
      </w:r>
    </w:p>
    <w:p>
      <w:pPr>
        <w:spacing w:after="0" w:line="164"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23" w:lineRule="exact"/>
        <w:rPr>
          <w:sz w:val="20"/>
          <w:szCs w:val="20"/>
          <w:color w:val="auto"/>
        </w:rPr>
      </w:pPr>
    </w:p>
    <w:p>
      <w:pPr>
        <w:ind w:right="40"/>
        <w:spacing w:after="0" w:line="329" w:lineRule="auto"/>
        <w:rPr>
          <w:sz w:val="20"/>
          <w:szCs w:val="20"/>
          <w:color w:val="auto"/>
        </w:rPr>
      </w:pPr>
      <w:r>
        <w:rPr>
          <w:rFonts w:ascii="Arial" w:cs="Arial" w:eastAsia="Arial" w:hAnsi="Arial"/>
          <w:sz w:val="16"/>
          <w:szCs w:val="16"/>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0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December 2019, a novel strain of coronavirus, known as Covid-19, was reported in Wuhan, China and has since extensively impacted the global health and economic environment. In March 2020, the World Health Organization characterized Covid-19 as a pandemic. We have taken numerous steps, and will continue to take further actions as appropriate, to minimize the impact of the Covid-19 pandemic on our business, results of operations and financial performance. In accordance with best practices and guidance from the Centers for Disease Control and Prevention, we have implemented certain protective safeguards to protect the well-being of our employees, our customers, and the communities in which we operate. We will continue to assess the need and timing of these protective measures. Starting in the second quarter of 2020, we implemented cost containment strategies across all areas of the organization, including continued curtailment of Company travel and partnering with suppliers, landlords and vendors for price concessions and payment deferrals during this interim period. As a result of preventative and protective actions taken by federal, state and local governments, including the implementation of stay-at-home orders and social distancing policies that resulted in significantly reduced commercial activity, and certain temporary government-imposed moratoria on collection customers’ activities, we experienced reduced transaction volume in the second and third quarters of 2020. Transaction volume returned to pre-Covid levels by the end of the third quarter of 2020, except for collection customer volume. Collection customer transaction volume returned to pre-Covid levels during the second quarter of 2021, with the exception of our idiVERIFIED service, which is an ancillary collections market offering that is purely transactional and of a lower margin profile. idiVERIFIED service revenue was down $0.8 million for the three months ended September 30, 2021, compared to the three months ended March 31, 2020. We expect idiVERIFIED service volume to return to pre-Covid levels in the first half of 2022. Beginning the second quarter of 2020, we took a proactive customer-centric approach working with customers who were impacted by Covid-19. Customers who had minimum contractual commitments and requested concessions because they were temporarily unable to meet their minimum contractual commitments as a result of Covid-19 were granted reductions, or eliminations where applicable, of minimums on a month-to-month basis. The end date of the customer’s agreement was extended by one month for each month of the temporary concession. During the three months ended September 30, 2021 and 2020, we provided concessions to a total of 7 and 22 customers, representing a $24 thousand and $94 thousand reduction in minimum committed spend, respectively. During the nine months ended September 30, 2021 and 2020, we provided concessions to a total of 15 and 164 customers, representing a $50 thousand and $436 thousand reduction in minimum committed spend, respectively. We continue to work with customers who have been impacted by Covid-19 and consider potential concessions on a case-by-case basis. We continue to take precautionary measures intended to minimize the risk of the Covid-19 pandemic to our employees, our customers, and the communities in which we operate. These measures may result in inefficiencies, delays and additional costs to our business. The Covid-19 pandemic and its impact on us and the economy has significantly limited our ability to forecast our future operating results, including our ability to predict revenue and expense levels, and plan for and model future operating results. We will continue to evaluate the nature and extent of the impact of the Covid-19 pandemic to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ind w:right="20"/>
        <w:spacing w:after="0" w:line="269" w:lineRule="auto"/>
        <w:rPr>
          <w:sz w:val="20"/>
          <w:szCs w:val="20"/>
          <w:color w:val="auto"/>
        </w:rPr>
      </w:pPr>
      <w:r>
        <w:rPr>
          <w:rFonts w:ascii="Arial" w:cs="Arial" w:eastAsia="Arial" w:hAnsi="Arial"/>
          <w:sz w:val="18"/>
          <w:szCs w:val="18"/>
          <w:color w:val="auto"/>
        </w:rPr>
        <w:t>To further support our liquidity, beginning April 1, 2020, we elected, under Section 2302 of the Coronavirus Aid, Relief, and Economic Security Act (“CARES Act”), to defer payment of the employer portion of Social Security payroll tax. Under the CARES Act, employers could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On May 5, 2020, we received funding under a promissory note dated May 5, 2020 evidencing an unsecured non-recourse loan in the principal amount of $2.2 million under the CARES Act (the “Loan”), which was fully forgiven by Legacy Bank of Florida (the “Lender”) and the U.S. Small Business Administration in June 2021, resulting in a gain on extinguishment of debt of $2.2 million during the nine months ended September 30, 2021. We will continue to assess the CARES Act and other applicable government legislation aimed at assisting businesses during the Covid-19 pandemic. Given the dynamic nature of this health emergency, the full impact of the Covid-19 pandemic on our ongoing business, results of operations and overall financial performance cannot be reasonably estimated at this time.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condensed consolidated financial statements, which have been prepared in accordance with accounting principles generally accepted in the United States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1"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For additional information, please refer to our Form 10-K. There have been no material changes to Critical Accounting Policies and Estimates disclosed in our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Note 1(b), “</w:t>
      </w:r>
      <w:r>
        <w:rPr>
          <w:rFonts w:ascii="Arial" w:cs="Arial" w:eastAsia="Arial" w:hAnsi="Arial"/>
          <w:sz w:val="18"/>
          <w:szCs w:val="18"/>
          <w:i w:val="1"/>
          <w:iCs w:val="1"/>
          <w:color w:val="auto"/>
        </w:rPr>
        <w:t>Recently issued accounting standards,”</w:t>
      </w:r>
      <w:r>
        <w:rPr>
          <w:rFonts w:ascii="Arial" w:cs="Arial" w:eastAsia="Arial" w:hAnsi="Arial"/>
          <w:sz w:val="18"/>
          <w:szCs w:val="18"/>
          <w:color w:val="auto"/>
        </w:rPr>
        <w:t xml:space="preserve"> in “Notes to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2021 as compared to the three months ended September 30, 2020: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revenue increased 26% to $11.7 million. Platform revenue increased 26% to $11.3 million. Services revenue increased 24% to $0.4 million.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was $1.3 million compared to a loss of $0.9 million.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EBITDA increased 73% to $3.6 million.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increased 38% to $7.6 million. Gross margin increased to 65% from 59%.</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gross profit increased 35% to $8.9 million. Adjusted gross margin increased to 76% from 71%.</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Generated $3.5 million in cash from operating activities in the third quarter.</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were $13.4 million as of September 30, 2021.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Business Highlights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Achieved first quarter ever of GAAP profitability without a one-time gain, generating $1.3 million of net income, or $0.09 diluted earnings per share.</w:t>
      </w:r>
    </w:p>
    <w:p>
      <w:pPr>
        <w:spacing w:after="0" w:line="154" w:lineRule="exact"/>
        <w:rPr>
          <w:sz w:val="20"/>
          <w:szCs w:val="20"/>
          <w:color w:val="auto"/>
        </w:rPr>
      </w:pPr>
    </w:p>
    <w:p>
      <w:pPr>
        <w:ind w:left="340" w:right="100"/>
        <w:spacing w:after="0" w:line="293" w:lineRule="auto"/>
        <w:rPr>
          <w:sz w:val="20"/>
          <w:szCs w:val="20"/>
          <w:color w:val="auto"/>
        </w:rPr>
      </w:pPr>
      <w:r>
        <w:rPr>
          <w:rFonts w:ascii="Arial" w:cs="Arial" w:eastAsia="Arial" w:hAnsi="Arial"/>
          <w:sz w:val="18"/>
          <w:szCs w:val="18"/>
          <w:color w:val="auto"/>
        </w:rPr>
        <w:t>Launched our “Innovations in Identity” Advisory Board, comprised of industry luminaries and accomplished executives to provide strategic guidance in support of our expansion in current and new markets.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Added over 170 new customers to idiCORE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during the third quarter, ending the quarter with 6,314 customers.</w:t>
      </w:r>
    </w:p>
    <w:p>
      <w:pPr>
        <w:spacing w:after="0" w:line="62" w:lineRule="exact"/>
        <w:rPr>
          <w:sz w:val="20"/>
          <w:szCs w:val="20"/>
          <w:color w:val="auto"/>
        </w:rPr>
      </w:pPr>
    </w:p>
    <w:p>
      <w:pPr>
        <w:ind w:left="340" w:right="760"/>
        <w:spacing w:after="0" w:line="232" w:lineRule="auto"/>
        <w:rPr>
          <w:sz w:val="20"/>
          <w:szCs w:val="20"/>
          <w:color w:val="auto"/>
        </w:rPr>
      </w:pPr>
      <w:r>
        <w:rPr>
          <w:rFonts w:ascii="Arial" w:cs="Arial" w:eastAsia="Arial" w:hAnsi="Arial"/>
          <w:sz w:val="18"/>
          <w:szCs w:val="18"/>
          <w:color w:val="auto"/>
        </w:rPr>
        <w:t>Added over 6,700 users to FOREWARN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during the third quarter, ending the quarter with 74,377 users. Over 165 REALTOR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Associations throughout the U.S. are now contracted to use FOREWARN.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Continued addition of thought leadership, including key strategic hires to lead expansion within the public sector and financial services.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6" w:name="page17"/>
    <w:bookmarkEnd w:id="16"/>
    <w:p>
      <w:pPr>
        <w:ind w:right="20"/>
        <w:spacing w:after="0" w:line="272" w:lineRule="auto"/>
        <w:rPr>
          <w:sz w:val="20"/>
          <w:szCs w:val="20"/>
          <w:color w:val="auto"/>
        </w:rPr>
      </w:pPr>
      <w:r>
        <w:rPr>
          <w:rFonts w:ascii="Arial" w:cs="Arial" w:eastAsia="Arial" w:hAnsi="Arial"/>
          <w:sz w:val="18"/>
          <w:szCs w:val="18"/>
          <w:color w:val="auto"/>
        </w:rPr>
        <w:t>Platform revenue consists of both contractual and transactional revenue generated from our technology platform, CORE. It includes all revenue generated through our idiCORE and FOREWARN solutions. The cost of platform revenue, which consists primarily of data acquisition costs, remains relatively fixed irrespective of revenue generation. Services revenue consists of revenue generated from our idiVERIFIED service, which is an ancillary collections market offering that is purely transactional and of a lower margin profile. The cost of services revenue, which consists primarily of third-party servicer costs, is variable.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income (loss), the most directly comparable financial measure based on GAAP, excluding interest (income) expense, net, depreciation and amortization, share-based compensation expense, gain on extinguishment of debt,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7"/>
              </w:rPr>
              <w:t>Three Months Ended September 30,</w:t>
            </w:r>
          </w:p>
        </w:tc>
        <w:tc>
          <w:tcPr>
            <w:tcW w:w="200" w:type="dxa"/>
            <w:vAlign w:val="bottom"/>
          </w:tcPr>
          <w:p>
            <w:pPr>
              <w:spacing w:after="0"/>
              <w:rPr>
                <w:sz w:val="16"/>
                <w:szCs w:val="16"/>
                <w:color w:val="auto"/>
              </w:rPr>
            </w:pPr>
          </w:p>
        </w:tc>
        <w:tc>
          <w:tcPr>
            <w:tcW w:w="2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97"/>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(925 )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(4,938 )</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(24 )</w:t>
            </w: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4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3,933</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36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986</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1,853</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5,197</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6,416</w:t>
            </w:r>
          </w:p>
        </w:tc>
        <w:tc>
          <w:tcPr>
            <w:tcW w:w="360" w:type="dxa"/>
            <w:vAlign w:val="bottom"/>
          </w:tcPr>
          <w:p>
            <w:pPr>
              <w:spacing w:after="0"/>
              <w:rPr>
                <w:sz w:val="21"/>
                <w:szCs w:val="2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extinguishment of debt</w:t>
            </w:r>
          </w:p>
        </w:tc>
        <w:tc>
          <w:tcPr>
            <w:tcW w:w="2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(2,175 )</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Litigation costs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r>
      <w:tr>
        <w:trPr>
          <w:trHeight w:val="257"/>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Write-off of long-lived assets and others</w:t>
            </w:r>
          </w:p>
        </w:tc>
        <w:tc>
          <w:tcPr>
            <w:tcW w:w="2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360" w:type="dxa"/>
            <w:vAlign w:val="bottom"/>
            <w:tcBorders>
              <w:bottom w:val="single" w:sz="8" w:color="CFF0FC"/>
            </w:tcBorders>
            <w:shd w:val="clear" w:color="auto" w:fill="CFF0FC"/>
          </w:tcPr>
          <w:p>
            <w:pPr>
              <w:spacing w:after="0"/>
              <w:rPr>
                <w:sz w:val="22"/>
                <w:szCs w:val="22"/>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3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4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w:t>
            </w:r>
          </w:p>
        </w:tc>
        <w:tc>
          <w:tcPr>
            <w:tcW w:w="28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36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25,623</w:t>
            </w:r>
          </w:p>
        </w:tc>
        <w:tc>
          <w:tcPr>
            <w:tcW w:w="360" w:type="dxa"/>
            <w:vAlign w:val="bottom"/>
            <w:shd w:val="clear" w:color="auto" w:fill="CFF0FC"/>
          </w:tcPr>
          <w:p>
            <w:pPr>
              <w:spacing w:after="0"/>
              <w:rPr>
                <w:sz w:val="21"/>
                <w:szCs w:val="21"/>
                <w:color w:val="auto"/>
              </w:rPr>
            </w:pPr>
          </w:p>
        </w:tc>
      </w:tr>
      <w:tr>
        <w:trPr>
          <w:trHeight w:val="256"/>
        </w:trPr>
        <w:tc>
          <w:tcPr>
            <w:tcW w:w="4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spacing w:after="0"/>
              <w:rPr>
                <w:sz w:val="22"/>
                <w:szCs w:val="22"/>
                <w:color w:val="auto"/>
              </w:rPr>
            </w:pPr>
          </w:p>
        </w:tc>
      </w:tr>
      <w:tr>
        <w:trPr>
          <w:trHeight w:val="27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margin</w:t>
            </w:r>
          </w:p>
        </w:tc>
        <w:tc>
          <w:tcPr>
            <w:tcW w:w="200" w:type="dxa"/>
            <w:vAlign w:val="bottom"/>
            <w:shd w:val="clear" w:color="auto" w:fill="CFF0FC"/>
          </w:tcPr>
          <w:p>
            <w:pPr>
              <w:spacing w:after="0"/>
              <w:rPr>
                <w:sz w:val="23"/>
                <w:szCs w:val="23"/>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11 %</w:t>
            </w:r>
          </w:p>
        </w:tc>
        <w:tc>
          <w:tcPr>
            <w:tcW w:w="300" w:type="dxa"/>
            <w:vAlign w:val="bottom"/>
            <w:shd w:val="clear" w:color="auto" w:fill="CFF0FC"/>
          </w:tcPr>
          <w:p>
            <w:pPr>
              <w:spacing w:after="0"/>
              <w:rPr>
                <w:sz w:val="23"/>
                <w:szCs w:val="23"/>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CFF0FC"/>
          </w:tcPr>
          <w:p>
            <w:pPr>
              <w:spacing w:after="0"/>
              <w:rPr>
                <w:sz w:val="23"/>
                <w:szCs w:val="23"/>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7 %</w:t>
            </w:r>
          </w:p>
        </w:tc>
        <w:tc>
          <w:tcPr>
            <w:tcW w:w="280" w:type="dxa"/>
            <w:vAlign w:val="bottom"/>
            <w:shd w:val="clear" w:color="auto" w:fill="CFF0FC"/>
          </w:tcPr>
          <w:p>
            <w:pPr>
              <w:spacing w:after="0"/>
              <w:rPr>
                <w:sz w:val="23"/>
                <w:szCs w:val="23"/>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(19 %)</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31 %</w:t>
            </w: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23 %</w:t>
            </w:r>
          </w:p>
        </w:tc>
        <w:tc>
          <w:tcPr>
            <w:tcW w:w="2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29 %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18 %</w:t>
            </w: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-896620</wp:posOffset>
            </wp:positionV>
            <wp:extent cx="19685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-896620</wp:posOffset>
            </wp:positionV>
            <wp:extent cx="24828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-896620</wp:posOffset>
            </wp:positionV>
            <wp:extent cx="1803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-896620</wp:posOffset>
            </wp:positionV>
            <wp:extent cx="22288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-213995</wp:posOffset>
            </wp:positionV>
            <wp:extent cx="1968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-196215</wp:posOffset>
            </wp:positionV>
            <wp:extent cx="1968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-213995</wp:posOffset>
            </wp:positionV>
            <wp:extent cx="2482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-196215</wp:posOffset>
            </wp:positionV>
            <wp:extent cx="2482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-213995</wp:posOffset>
            </wp:positionV>
            <wp:extent cx="1803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-196215</wp:posOffset>
            </wp:positionV>
            <wp:extent cx="1803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-213995</wp:posOffset>
            </wp:positionV>
            <wp:extent cx="2228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-196215</wp:posOffset>
            </wp:positionV>
            <wp:extent cx="2228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Three Months Ended September 30,</w:t>
            </w:r>
          </w:p>
        </w:tc>
        <w:tc>
          <w:tcPr>
            <w:tcW w:w="220" w:type="dxa"/>
            <w:vAlign w:val="bottom"/>
          </w:tcPr>
          <w:p>
            <w:pPr>
              <w:spacing w:after="0"/>
              <w:rPr>
                <w:sz w:val="16"/>
                <w:szCs w:val="16"/>
                <w:color w:val="auto"/>
              </w:rPr>
            </w:pPr>
          </w:p>
        </w:tc>
        <w:tc>
          <w:tcPr>
            <w:tcW w:w="2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96"/>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r>
      <w:tr>
        <w:trPr>
          <w:trHeight w:val="256"/>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11,668</w:t>
            </w:r>
          </w:p>
        </w:tc>
        <w:tc>
          <w:tcPr>
            <w:tcW w:w="3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9,267</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32,764</w:t>
            </w:r>
          </w:p>
        </w:tc>
        <w:tc>
          <w:tcPr>
            <w:tcW w:w="30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25,623</w:t>
            </w:r>
          </w:p>
        </w:tc>
        <w:tc>
          <w:tcPr>
            <w:tcW w:w="240" w:type="dxa"/>
            <w:vAlign w:val="bottom"/>
            <w:shd w:val="clear" w:color="auto" w:fill="CFF0FC"/>
          </w:tcPr>
          <w:p>
            <w:pPr>
              <w:spacing w:after="0"/>
              <w:rPr>
                <w:sz w:val="22"/>
                <w:szCs w:val="22"/>
                <w:color w:val="auto"/>
              </w:rPr>
            </w:pPr>
          </w:p>
        </w:tc>
      </w:tr>
      <w:tr>
        <w:trPr>
          <w:trHeight w:val="242"/>
        </w:trPr>
        <w:tc>
          <w:tcPr>
            <w:tcW w:w="4960" w:type="dxa"/>
            <w:vAlign w:val="bottom"/>
          </w:tcPr>
          <w:p>
            <w:pPr>
              <w:ind w:left="20"/>
              <w:spacing w:after="0"/>
              <w:rPr>
                <w:sz w:val="20"/>
                <w:szCs w:val="20"/>
                <w:color w:val="auto"/>
              </w:rPr>
            </w:pPr>
            <w:r>
              <w:rPr>
                <w:rFonts w:ascii="Arial" w:cs="Arial" w:eastAsia="Arial" w:hAnsi="Arial"/>
                <w:sz w:val="18"/>
                <w:szCs w:val="18"/>
                <w:color w:val="auto"/>
              </w:rPr>
              <w:t>Cost of revenue (exclusive of depreciation and</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7"/>
        </w:trPr>
        <w:tc>
          <w:tcPr>
            <w:tcW w:w="4960" w:type="dxa"/>
            <w:vAlign w:val="bottom"/>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(2,787 )</w:t>
            </w: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(2,703 )</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(8,268 )</w:t>
            </w:r>
          </w:p>
        </w:tc>
        <w:tc>
          <w:tcPr>
            <w:tcW w:w="2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(8,582 )</w:t>
            </w:r>
          </w:p>
        </w:tc>
      </w:tr>
      <w:tr>
        <w:trPr>
          <w:trHeight w:val="26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 of intangible assets</w:t>
            </w:r>
          </w:p>
        </w:tc>
        <w:tc>
          <w:tcPr>
            <w:tcW w:w="2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(1,288 )</w:t>
            </w:r>
          </w:p>
        </w:tc>
        <w:tc>
          <w:tcPr>
            <w:tcW w:w="3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(1,063 )</w:t>
            </w:r>
          </w:p>
        </w:tc>
        <w:tc>
          <w:tcPr>
            <w:tcW w:w="22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(3,763 )</w:t>
            </w:r>
          </w:p>
        </w:tc>
        <w:tc>
          <w:tcPr>
            <w:tcW w:w="2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(2,847 )</w:t>
            </w:r>
          </w:p>
        </w:tc>
      </w:tr>
      <w:tr>
        <w:trPr>
          <w:trHeight w:val="243"/>
        </w:trPr>
        <w:tc>
          <w:tcPr>
            <w:tcW w:w="49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32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5,501</w:t>
            </w:r>
          </w:p>
        </w:tc>
        <w:tc>
          <w:tcPr>
            <w:tcW w:w="30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20,733</w:t>
            </w:r>
          </w:p>
        </w:tc>
        <w:tc>
          <w:tcPr>
            <w:tcW w:w="30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14,194</w:t>
            </w:r>
          </w:p>
        </w:tc>
        <w:tc>
          <w:tcPr>
            <w:tcW w:w="240" w:type="dxa"/>
            <w:vAlign w:val="bottom"/>
            <w:tcBorders>
              <w:top w:val="single" w:sz="8" w:color="CFF0FC"/>
            </w:tcBorders>
          </w:tcPr>
          <w:p>
            <w:pPr>
              <w:spacing w:after="0"/>
              <w:rPr>
                <w:sz w:val="21"/>
                <w:szCs w:val="21"/>
                <w:color w:val="auto"/>
              </w:rPr>
            </w:pPr>
          </w:p>
        </w:tc>
      </w:tr>
      <w:tr>
        <w:trPr>
          <w:trHeight w:val="263"/>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 and amortization of intangible assets</w:t>
            </w:r>
          </w:p>
        </w:tc>
        <w:tc>
          <w:tcPr>
            <w:tcW w:w="2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3,763</w:t>
            </w:r>
          </w:p>
        </w:tc>
        <w:tc>
          <w:tcPr>
            <w:tcW w:w="3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240" w:type="dxa"/>
            <w:vAlign w:val="bottom"/>
            <w:tcBorders>
              <w:bottom w:val="single" w:sz="8" w:color="CFF0FC"/>
            </w:tcBorders>
            <w:shd w:val="clear" w:color="auto" w:fill="CFF0FC"/>
          </w:tcPr>
          <w:p>
            <w:pPr>
              <w:spacing w:after="0"/>
              <w:rPr>
                <w:sz w:val="22"/>
                <w:szCs w:val="22"/>
                <w:color w:val="auto"/>
              </w:rPr>
            </w:pPr>
          </w:p>
        </w:tc>
      </w:tr>
      <w:tr>
        <w:trPr>
          <w:trHeight w:val="25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w:t>
            </w:r>
          </w:p>
        </w:tc>
        <w:tc>
          <w:tcPr>
            <w:tcW w:w="3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3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24,496</w:t>
            </w:r>
          </w:p>
        </w:tc>
        <w:tc>
          <w:tcPr>
            <w:tcW w:w="3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17,041</w:t>
            </w:r>
          </w:p>
        </w:tc>
        <w:tc>
          <w:tcPr>
            <w:tcW w:w="24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4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spacing w:after="0"/>
              <w:rPr>
                <w:sz w:val="20"/>
                <w:szCs w:val="20"/>
                <w:color w:val="auto"/>
              </w:rPr>
            </w:pPr>
          </w:p>
        </w:tc>
      </w:tr>
      <w:tr>
        <w:trPr>
          <w:trHeight w:val="256"/>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65 %</w:t>
            </w:r>
          </w:p>
        </w:tc>
        <w:tc>
          <w:tcPr>
            <w:tcW w:w="30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59 %</w:t>
            </w:r>
          </w:p>
        </w:tc>
        <w:tc>
          <w:tcPr>
            <w:tcW w:w="220" w:type="dxa"/>
            <w:vAlign w:val="bottom"/>
          </w:tcPr>
          <w:p>
            <w:pPr>
              <w:spacing w:after="0"/>
              <w:rPr>
                <w:sz w:val="22"/>
                <w:szCs w:val="22"/>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63 %</w:t>
            </w:r>
          </w:p>
        </w:tc>
        <w:tc>
          <w:tcPr>
            <w:tcW w:w="280" w:type="dxa"/>
            <w:vAlign w:val="bottom"/>
          </w:tcPr>
          <w:p>
            <w:pPr>
              <w:spacing w:after="0"/>
              <w:rPr>
                <w:sz w:val="22"/>
                <w:szCs w:val="2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55 %</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7"/>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22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76 %</w:t>
            </w:r>
          </w:p>
        </w:tc>
        <w:tc>
          <w:tcPr>
            <w:tcW w:w="3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71 %</w:t>
            </w:r>
          </w:p>
        </w:tc>
        <w:tc>
          <w:tcPr>
            <w:tcW w:w="22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75 %</w:t>
            </w:r>
          </w:p>
        </w:tc>
        <w:tc>
          <w:tcPr>
            <w:tcW w:w="2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67 %</w:t>
            </w: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-1068070</wp:posOffset>
            </wp:positionV>
            <wp:extent cx="2057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-1068070</wp:posOffset>
            </wp:positionV>
            <wp:extent cx="19685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-1068070</wp:posOffset>
            </wp:positionV>
            <wp:extent cx="18859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-1068070</wp:posOffset>
            </wp:positionV>
            <wp:extent cx="15430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-733425</wp:posOffset>
            </wp:positionV>
            <wp:extent cx="2057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-733425</wp:posOffset>
            </wp:positionV>
            <wp:extent cx="19685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-733425</wp:posOffset>
            </wp:positionV>
            <wp:extent cx="18859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-733425</wp:posOffset>
            </wp:positionV>
            <wp:extent cx="15430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2057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2057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1968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1968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885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885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55"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ind w:right="40"/>
        <w:spacing w:after="0" w:line="305" w:lineRule="auto"/>
        <w:rPr>
          <w:sz w:val="20"/>
          <w:szCs w:val="20"/>
          <w:color w:val="auto"/>
        </w:rPr>
      </w:pPr>
      <w:r>
        <w:rPr>
          <w:rFonts w:ascii="Arial" w:cs="Arial" w:eastAsia="Arial" w:hAnsi="Arial"/>
          <w:sz w:val="16"/>
          <w:szCs w:val="16"/>
          <w:color w:val="auto"/>
        </w:rPr>
        <w:t>We believe adjusted EBITDA, adjusted EBITDA margin,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42"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Adjusted EBITDA, adjusted EBITDA margin, adjusted gross profit and adjusted gross margin are not intended to be performance measures that should be regarded as an alternative to, or more meaningful than, financial measures presented in accordance with GAAP. The way we measure adjusted EBITDA, adjusted EBITDA margin, adjusted gross profit and adjusted gross margin may not be comparable to similarly titled measures presented by other companies, and may not be identical to corresponding measures used in our various agreements.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1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$2.4 million or 26% to $11.7 million for the three months ended September 30, 2021 from $9.3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2020. Base revenue from existing customers increased $3.4 million or 58%, and revenue from new customers increased $0.2 million or 21%, which was partially offset by a decrease in growth revenue from existing customers of $1.1 million or 42%. Our idiCORE billable customer base grew from 5,758 customers as of September 30, 2020 to 6,314 customers as of September 30, 2021, and our FOREWARN user base grew from 44,927 users to 74,377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30"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Cost of revenue (exclusive of depreciation and amortization)</w:t>
      </w:r>
      <w:r>
        <w:rPr>
          <w:rFonts w:ascii="Arial" w:cs="Arial" w:eastAsia="Arial" w:hAnsi="Arial"/>
          <w:sz w:val="18"/>
          <w:szCs w:val="18"/>
          <w:color w:val="auto"/>
        </w:rPr>
        <w:t>. Cost of revenue increased $0.1 million or 3% to $2.8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from $2.7 million for the three months ended September 30, 2020.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49% of our total data acquisition costs for the three months ended September 30, 2021 compared to approximately 48% for the three months ended September 30, 2020. Other cost of revenue items include expenses related to third-party infrastructure fees.</w:t>
      </w:r>
    </w:p>
    <w:p>
      <w:pPr>
        <w:spacing w:after="0" w:line="15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24% for the three months ended September 30, 2021 from 29% for the three months ended September 30, 2020.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58"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b w:val="1"/>
          <w:bCs w:val="1"/>
          <w:i w:val="1"/>
          <w:iCs w:val="1"/>
          <w:color w:val="auto"/>
        </w:rPr>
        <w:t>Sales and marketing expenses</w:t>
      </w:r>
      <w:r>
        <w:rPr>
          <w:rFonts w:ascii="Arial" w:cs="Arial" w:eastAsia="Arial" w:hAnsi="Arial"/>
          <w:sz w:val="18"/>
          <w:szCs w:val="18"/>
          <w:color w:val="auto"/>
        </w:rPr>
        <w:t>. Sales and marketing expenses remained consistent at $2.2 million for the three months ended September 30,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Sales and marketing expenses consist of salaries and benefits, advertising and marketing, travel expenses, and share-based compensation expense, incurred by our sales team, and provision for bad debts.</w:t>
      </w:r>
    </w:p>
    <w:p>
      <w:pPr>
        <w:spacing w:after="0" w:line="14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remained consistent at $4.1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2020. For the three months ended September 30, 2021 and 2020, our general and administrative expenses consisted primarily of employee salaries and benefits of $2.0 million and $1.2 million, share-based compensation expense of $0.9 million and $1.7 million, and professional fees of $0.7 million and $0.8 million, respectively.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8" w:name="page19"/>
    <w:bookmarkEnd w:id="18"/>
    <w:p>
      <w:pPr>
        <w:ind w:right="120"/>
        <w:spacing w:after="0" w:line="275"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increased $0.2 million or 20% to $1.3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from $1.1 million for the three months ended September 30, 2020. The increase in depreciation and amortization for the three months ended September 30, 2021 resulted primarily from the amortization of software developed for internal use that became ready for its intended use after September 30, 2020.</w:t>
      </w:r>
    </w:p>
    <w:p>
      <w:pPr>
        <w:spacing w:after="0" w:line="15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i w:val="1"/>
          <w:iCs w:val="1"/>
          <w:color w:val="auto"/>
        </w:rPr>
        <w:t>Income (loss) before income taxes</w:t>
      </w:r>
      <w:r>
        <w:rPr>
          <w:rFonts w:ascii="Arial" w:cs="Arial" w:eastAsia="Arial" w:hAnsi="Arial"/>
          <w:sz w:val="18"/>
          <w:szCs w:val="18"/>
          <w:color w:val="auto"/>
        </w:rPr>
        <w:t>. Income before income taxes was $1.3 million for the three months ended September 30, 2021 compared to a loss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 million for the three months ended September 30, 2020. The significant improvement in income before income taxes from a loss was primarily attributable to the increase in revenue, decrease in our cost of revenue as a percentage of revenue, which was partially offset by the increase in depreciation and amortization of $0.2 million.</w:t>
      </w:r>
    </w:p>
    <w:p>
      <w:pPr>
        <w:spacing w:after="0" w:line="145" w:lineRule="exact"/>
        <w:rPr>
          <w:sz w:val="20"/>
          <w:szCs w:val="20"/>
          <w:color w:val="auto"/>
        </w:rPr>
      </w:pPr>
    </w:p>
    <w:p>
      <w:pPr>
        <w:jc w:val="both"/>
        <w:ind w:right="480"/>
        <w:spacing w:after="0" w:line="27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three months ended September 30, 2021 and 2020. A full valuation allowance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tax assets was recognized as of September 30, 2021 and 2020. See Note 6, “Income Taxes,” included in “Notes to Condensed Consolidated Financial Statements,” for details.</w:t>
      </w:r>
    </w:p>
    <w:p>
      <w:pPr>
        <w:spacing w:after="0" w:line="142"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b w:val="1"/>
          <w:bCs w:val="1"/>
          <w:i w:val="1"/>
          <w:iCs w:val="1"/>
          <w:color w:val="auto"/>
        </w:rPr>
        <w:t>Net income (loss)</w:t>
      </w:r>
      <w:r>
        <w:rPr>
          <w:rFonts w:ascii="Arial" w:cs="Arial" w:eastAsia="Arial" w:hAnsi="Arial"/>
          <w:sz w:val="18"/>
          <w:szCs w:val="18"/>
          <w:color w:val="auto"/>
        </w:rPr>
        <w:t>. Net income was $1.3 million for the three months ended September 30, 2021 compared to a loss of $0.9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2020, as a result of the foregoing.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198"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$7.2 million or 28% to $32.8 million for the nine months ended September 30, 2021 from $25.6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2020. This increase was driven by strong growth in usage from existing customers, with base revenue from existing customers increasing $7.4 million or 42%. This growth was partially offset by a decrease in revenue from new customers of $0.3 million or 9%. As a result of certain Covid-19 related government mandated collections moratoria remaining in place during the period, our idiVERIFIED service, which is an ancillary collections market offering that is purely transactional and of a lower margin profile, was down $0.6 million for the nine months ended September 30,</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2021. We expect our idiVERIFIED service volume to return to pre-Covid levels in the first half of 2022. Our idiCORE billable customer base grew from 5,758 customers as of September 30, 2020 to 6,314 customers as of September 30, 2021, and our FOREWARN user base grew from 44,927 users to 74,377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Cost of revenue (exclusive of depreciation and amortization)</w:t>
      </w:r>
      <w:r>
        <w:rPr>
          <w:rFonts w:ascii="Arial" w:cs="Arial" w:eastAsia="Arial" w:hAnsi="Arial"/>
          <w:sz w:val="17"/>
          <w:szCs w:val="17"/>
          <w:color w:val="auto"/>
        </w:rPr>
        <w:t>. Cost of revenue decreased $0.3 million or 4% to $8.3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2021 from $8.6 million for the nine months ended September 30, 2020. Our cost of revenue primarily includes data acquisition costs. Data acquisition costs consist primarily of the costs to acquire data either on a transactional basis or through flat-fee data licensing agreements, including unlimited usage agreements. The decrease in cost of revenue was primarily attributable to the decrease in transactional based data acquisition costs associated with the reduction in our idiVERIFIED services revenue. We continue to enhance the breadth and depth of our data through the addition and expansion of relationships with key data suppliers, including our largest data supplier, which accounted for approximately 49% of our total data acquisition costs for the nine months ended September 30, 2021 compared to approximately 45% for the nine months ended September 30, 2020. Other cost of revenue items include expenses related to third-party infrastructure fees.</w:t>
      </w:r>
    </w:p>
    <w:p>
      <w:pPr>
        <w:spacing w:after="0" w:line="15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25% for the nine months ended September 30, 2021 from 33% for the nine months ended September 30, 2020.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45"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b w:val="1"/>
          <w:bCs w:val="1"/>
          <w:i w:val="1"/>
          <w:iCs w:val="1"/>
          <w:color w:val="auto"/>
        </w:rPr>
        <w:t>Sales and marketing expenses</w:t>
      </w:r>
      <w:r>
        <w:rPr>
          <w:rFonts w:ascii="Arial" w:cs="Arial" w:eastAsia="Arial" w:hAnsi="Arial"/>
          <w:sz w:val="17"/>
          <w:szCs w:val="17"/>
          <w:color w:val="auto"/>
        </w:rPr>
        <w:t>. Sales and marketing expenses increased $0.6 million or 10% to $6.7 million for the nine months ended September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$6.1 million for the nine months ended September 30, 2020. Sales and marketing expenses consist of salaries and benefits, advertising and marketing, travel expenses, and share-based compensation expense, incurred by our sales team, and provision for bad debts. The increase during the nine months ended September 30, 2021 was primarily attributable to an aggregate of $0.8 million increase in salaries and benefits and sales commissions from increased revenue, which was partially offset by the decrease in provision for bad debts of $0.3 million.</w:t>
      </w:r>
    </w:p>
    <w:p>
      <w:pPr>
        <w:spacing w:after="0" w:line="134" w:lineRule="exact"/>
        <w:rPr>
          <w:sz w:val="20"/>
          <w:szCs w:val="20"/>
          <w:color w:val="auto"/>
        </w:rPr>
      </w:pPr>
    </w:p>
    <w:p>
      <w:pPr>
        <w:jc w:val="both"/>
        <w:ind w:right="420"/>
        <w:spacing w:after="0" w:line="296" w:lineRule="auto"/>
        <w:rPr>
          <w:sz w:val="20"/>
          <w:szCs w:val="20"/>
          <w:color w:val="auto"/>
        </w:rPr>
      </w:pPr>
      <w:r>
        <w:rPr>
          <w:rFonts w:ascii="Arial" w:cs="Arial" w:eastAsia="Arial" w:hAnsi="Arial"/>
          <w:sz w:val="17"/>
          <w:szCs w:val="17"/>
          <w:b w:val="1"/>
          <w:bCs w:val="1"/>
          <w:i w:val="1"/>
          <w:iCs w:val="1"/>
          <w:color w:val="auto"/>
        </w:rPr>
        <w:t>General and administrative expenses</w:t>
      </w:r>
      <w:r>
        <w:rPr>
          <w:rFonts w:ascii="Arial" w:cs="Arial" w:eastAsia="Arial" w:hAnsi="Arial"/>
          <w:sz w:val="17"/>
          <w:szCs w:val="17"/>
          <w:color w:val="auto"/>
        </w:rPr>
        <w:t>. General and administrative expenses increased $0.8 million or 6% to $13.6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2021 from $12.8 million for the nine months ended September 30, 2020. For the nine months ended September 30, 2021 and 2020, our general and administrative expenses consisted primarily of employee salaries and benefits of $5.0 million and $3.4 million, share-based compensation expense of $4.8 million and $6.0 million, and professional fees of $2.2 million and $1.9 million,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ind w:right="220"/>
        <w:spacing w:after="0" w:line="275"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increased $0.9 million or 30% to $3.9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from $3.0 million for the nine months ended September 30, 2020. The increase in depreciation and amortization for the nine months ended September 30, 2021 resulted primarily from the amortization of software developed for internal use that became ready for its intended use after September 30, 2020.</w:t>
      </w:r>
    </w:p>
    <w:p>
      <w:pPr>
        <w:spacing w:after="0" w:line="158"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Gain on extinguishment of debt</w:t>
      </w:r>
      <w:r>
        <w:rPr>
          <w:rFonts w:ascii="Arial" w:cs="Arial" w:eastAsia="Arial" w:hAnsi="Arial"/>
          <w:sz w:val="18"/>
          <w:szCs w:val="18"/>
          <w:color w:val="auto"/>
        </w:rPr>
        <w:t>. On May 5, 2020, we received the Loan in the principal amount of $2.2 million under the CARES Act. On June 16,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received a notice from the Lender that the full principal amount of the Loan and its accrued interest had been fully forgiven, resulting in a gain on extinguishment of debt of $2.2 million during the nine months ended September 30, 2021.</w:t>
      </w:r>
    </w:p>
    <w:p>
      <w:pPr>
        <w:spacing w:after="0" w:line="14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Income (loss) before income taxes</w:t>
      </w:r>
      <w:r>
        <w:rPr>
          <w:rFonts w:ascii="Arial" w:cs="Arial" w:eastAsia="Arial" w:hAnsi="Arial"/>
          <w:sz w:val="18"/>
          <w:szCs w:val="18"/>
          <w:color w:val="auto"/>
        </w:rPr>
        <w:t>. Income before income taxes was $2.4 million, inclusive of a one-time gain of $2.2 million on the extinguishment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from the forgiveness of the Loan, for the nine months ended September 30, 2021 compared to a loss of $4.9 million for the nine months ended September 30, 2020. The significant improvement in income before income taxes (exclusive of the one-time gain on extinguishment of debt) from a loss was primarily attributable to the increase in revenue, decrease in our cost of revenue as a percentage of revenue, and decrease in share-based compensation expense, which was partially offset by the increase in employee salaries and benefits and sales commissions of $2.4 million, and depreciation and amortization of $0.9 million.</w:t>
      </w:r>
    </w:p>
    <w:p>
      <w:pPr>
        <w:spacing w:after="0" w:line="150" w:lineRule="exact"/>
        <w:rPr>
          <w:sz w:val="20"/>
          <w:szCs w:val="20"/>
          <w:color w:val="auto"/>
        </w:rPr>
      </w:pPr>
    </w:p>
    <w:p>
      <w:pPr>
        <w:jc w:val="both"/>
        <w:ind w:right="540"/>
        <w:spacing w:after="0" w:line="27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nine months ended September 30, 2021 and 2020. A full valuation allowance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tax assets was recognized as of September 30, 2021 and 2020. See Note 6, “Income Taxes,” included in “Notes to Condensed Consolidated Financial Statements,” for details.</w:t>
      </w:r>
    </w:p>
    <w:p>
      <w:pPr>
        <w:spacing w:after="0" w:line="156"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b w:val="1"/>
          <w:bCs w:val="1"/>
          <w:i w:val="1"/>
          <w:iCs w:val="1"/>
          <w:color w:val="auto"/>
        </w:rPr>
        <w:t>Net income (loss)</w:t>
      </w:r>
      <w:r>
        <w:rPr>
          <w:rFonts w:ascii="Arial" w:cs="Arial" w:eastAsia="Arial" w:hAnsi="Arial"/>
          <w:sz w:val="18"/>
          <w:szCs w:val="18"/>
          <w:color w:val="auto"/>
        </w:rPr>
        <w:t>. Net income was $2.4 million, inclusive of a one-time gain of $2.2 million on the extinguishment of debt from the forgiveness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for the nine months ended September 30, 2021 compared to a loss of $4.9 million for the nine months ended September 30, 2020, as a result of the foregoing.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02"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i w:val="1"/>
          <w:iCs w:val="1"/>
          <w:color w:val="auto"/>
        </w:rPr>
        <w:t>Cash flows provided by operating activities</w:t>
      </w:r>
      <w:r>
        <w:rPr>
          <w:rFonts w:ascii="Arial" w:cs="Arial" w:eastAsia="Arial" w:hAnsi="Arial"/>
          <w:sz w:val="17"/>
          <w:szCs w:val="17"/>
          <w:color w:val="auto"/>
        </w:rPr>
        <w:t>. For the nine months ended September 30, 2021, net cash provided by operating activities was $7.0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the result of the net income of $2.4 million, adjusted for certain non-cash items (consisting of share-based compensation expense, depreciation and amortization, write-off of long-lived assets, provision for bad debts, noncash lease expenses, and gain on extinguishment of debt) totaling $7.4 million, and the cash used as a result of changes in assets and liabilities of $2.9 million, primarily the result of the increase in accounts receivable, and the decrease in accounts payable, accrued expenses and other current liabilities, and operating lease liabilities. For the nine months ended September 30, 2020, net cash provided by operating activities was $4.7 million, primarily the result of the net loss of $4.9 million, adjusted for certain non-cash items, as mentioned above, totaling $10.3 million, and the cash used as a result of changes in assets and liabilities of $0.6 million, primarily the result of the decrease in accrued expenses and other current liabilities, and operating lease liabilities.</w:t>
      </w:r>
    </w:p>
    <w:p>
      <w:pPr>
        <w:spacing w:after="0" w:line="141"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 For the nine months ended September 30, 2021 and 2020, net cash used in investing activities was $3.8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$4.4 million, respectively, primarily as a result of capitalized costs included in intangible assets.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7"/>
          <w:szCs w:val="17"/>
          <w:i w:val="1"/>
          <w:iCs w:val="1"/>
          <w:color w:val="auto"/>
        </w:rPr>
        <w:t>Cash flows (used in) provided by financing activities</w:t>
      </w:r>
      <w:r>
        <w:rPr>
          <w:rFonts w:ascii="Arial" w:cs="Arial" w:eastAsia="Arial" w:hAnsi="Arial"/>
          <w:sz w:val="17"/>
          <w:szCs w:val="17"/>
          <w:color w:val="auto"/>
        </w:rPr>
        <w:t>. For the nine months ended September 30, 2021, net cash used in financing activities was $2.8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related to the taxes paid for the net share settlement of vesting of restricted stock units (“RSUs”). For the nine months ended September 30, 2020, net cash provided by financing activities was $0.3 million. On May 5, 2020, we received the Loan in the principal amount of $2.2 million under the CARES Act. On June 16, 2021, we received a notice from the Lender that the full principal amount of the Loan and its accrued interest had been fully forgiven, resulting in a gain on extinguishment of debt of $2.2 million during the nine months ended September 30, 2021. In addition, we paid taxes of $1.8 million related to the net share settlement of vesting of RSUs during the nine months ended September 30, 2020.</w:t>
      </w:r>
    </w:p>
    <w:p>
      <w:pPr>
        <w:spacing w:after="0" w:line="135"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As of September 30, 2021, we had material commitments under certain data licensing agreements of $34.1 million. We anticipate funding our operations using available cash and cash flow generated from operations within the next twelve months.</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reported net income of $1.3 million and net loss of $0.9 million for the three months ended September 30, 2021 and 2020, respectively, and net income of $2.4 million and net loss of $4.9 million for the nine months ended September 30, 2021 and 2020, respectively. As of September 30, 2021, we had a total shareholders’ equity balance of $49.2 million.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ind w:right="160"/>
        <w:spacing w:after="0" w:line="279" w:lineRule="auto"/>
        <w:rPr>
          <w:sz w:val="20"/>
          <w:szCs w:val="20"/>
          <w:color w:val="auto"/>
        </w:rPr>
      </w:pPr>
      <w:r>
        <w:rPr>
          <w:rFonts w:ascii="Arial" w:cs="Arial" w:eastAsia="Arial" w:hAnsi="Arial"/>
          <w:sz w:val="18"/>
          <w:szCs w:val="18"/>
          <w:color w:val="auto"/>
        </w:rPr>
        <w:t>As of September 30, 2021, we had cash and cash equivalents of approximately $13.4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5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We further believe that our financial resources will allow us to manage the impact of Covid-19 on the Company's business operations for the foreseeable future. However, subject to revenue growth, our ability to generate positive cash flow, and the potential impact of Covid-19,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did not have any off-balance sheet arrangements, as defined in Item 303(a)(4)(ii) of Regulation 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as defined in Rule 12b-2 of the Exchange Act, we are not required to include information required by this item.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September 30, 2021.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50" w:lineRule="exact"/>
        <w:rPr>
          <w:sz w:val="20"/>
          <w:szCs w:val="20"/>
          <w:color w:val="auto"/>
        </w:rPr>
      </w:pPr>
    </w:p>
    <w:p>
      <w:pPr>
        <w:ind w:right="160"/>
        <w:spacing w:after="0" w:line="359"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September 30,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fiscal quarter ended September 30, 2021 that materially affected, or are reasonably likely to materially affect, our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202"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23"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There have been no material changes to the risk factors previously disclosed in the Company’s Annual Report on Form 10-K for the year ended December 31, 2020 filed with the SEC on March 10,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rPr>
              <w:t>Incorporated by Reference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Filed</w:t>
            </w:r>
          </w:p>
        </w:tc>
      </w:tr>
      <w:tr>
        <w:trPr>
          <w:trHeight w:val="203"/>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Exhibit No.</w:t>
            </w:r>
          </w:p>
        </w:tc>
        <w:tc>
          <w:tcPr>
            <w:tcW w:w="180" w:type="dxa"/>
            <w:vAlign w:val="bottom"/>
          </w:tcPr>
          <w:p>
            <w:pPr>
              <w:spacing w:after="0"/>
              <w:rPr>
                <w:sz w:val="17"/>
                <w:szCs w:val="17"/>
                <w:color w:val="auto"/>
              </w:rPr>
            </w:pPr>
          </w:p>
        </w:tc>
        <w:tc>
          <w:tcPr>
            <w:tcW w:w="4720" w:type="dxa"/>
            <w:vAlign w:val="bottom"/>
            <w:tcBorders>
              <w:bottom w:val="single" w:sz="8" w:color="auto"/>
            </w:tcBorders>
            <w:gridSpan w:val="9"/>
          </w:tcPr>
          <w:p>
            <w:pPr>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7"/>
                <w:szCs w:val="17"/>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Herewith</w:t>
            </w:r>
          </w:p>
        </w:tc>
      </w:tr>
      <w:tr>
        <w:trPr>
          <w:trHeight w:val="155"/>
        </w:trPr>
        <w:tc>
          <w:tcPr>
            <w:tcW w:w="920" w:type="dxa"/>
            <w:vAlign w:val="bottom"/>
          </w:tcPr>
          <w:p>
            <w:pPr>
              <w:ind w:left="20"/>
              <w:spacing w:after="0" w:line="155" w:lineRule="exact"/>
              <w:rPr>
                <w:sz w:val="20"/>
                <w:szCs w:val="20"/>
                <w:color w:val="auto"/>
              </w:rPr>
            </w:pPr>
            <w:r>
              <w:rPr>
                <w:rFonts w:ascii="Arial" w:cs="Arial" w:eastAsia="Arial" w:hAnsi="Arial"/>
                <w:sz w:val="14"/>
                <w:szCs w:val="14"/>
                <w:color w:val="auto"/>
              </w:rPr>
              <w:t>31.1</w:t>
            </w:r>
          </w:p>
        </w:tc>
        <w:tc>
          <w:tcPr>
            <w:tcW w:w="180" w:type="dxa"/>
            <w:vAlign w:val="bottom"/>
          </w:tcPr>
          <w:p>
            <w:pPr>
              <w:spacing w:after="0"/>
              <w:rPr>
                <w:sz w:val="13"/>
                <w:szCs w:val="13"/>
                <w:color w:val="auto"/>
              </w:rPr>
            </w:pPr>
          </w:p>
        </w:tc>
        <w:tc>
          <w:tcPr>
            <w:tcW w:w="4520" w:type="dxa"/>
            <w:vAlign w:val="bottom"/>
            <w:tcBorders>
              <w:bottom w:val="single" w:sz="8" w:color="0000FF"/>
            </w:tcBorders>
            <w:gridSpan w:val="5"/>
          </w:tcPr>
          <w:p>
            <w:pPr>
              <w:spacing w:after="0" w:line="155" w:lineRule="exact"/>
              <w:rPr>
                <w:rFonts w:ascii="Arial" w:cs="Arial" w:eastAsia="Arial" w:hAnsi="Arial"/>
                <w:sz w:val="14"/>
                <w:szCs w:val="14"/>
                <w:color w:val="0000FF"/>
                <w:w w:val="95"/>
              </w:rPr>
            </w:pPr>
            <w:hyperlink w:anchor="page25">
              <w:r>
                <w:rPr>
                  <w:rFonts w:ascii="Arial" w:cs="Arial" w:eastAsia="Arial" w:hAnsi="Arial"/>
                  <w:sz w:val="14"/>
                  <w:szCs w:val="14"/>
                  <w:color w:val="0000FF"/>
                  <w:w w:val="95"/>
                </w:rPr>
                <w:t>Certification of Chief Executive Officer filed pursuant to Exchange Act Rules</w:t>
              </w:r>
            </w:hyperlink>
          </w:p>
        </w:tc>
        <w:tc>
          <w:tcPr>
            <w:tcW w:w="32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Arial" w:cs="Arial" w:eastAsia="Arial" w:hAnsi="Arial"/>
                <w:sz w:val="14"/>
                <w:szCs w:val="14"/>
                <w:color w:val="auto"/>
              </w:rPr>
              <w:t>X</w:t>
            </w:r>
          </w:p>
        </w:tc>
      </w:tr>
      <w:tr>
        <w:trPr>
          <w:trHeight w:val="156"/>
        </w:trPr>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40" w:type="dxa"/>
            <w:vAlign w:val="bottom"/>
            <w:tcBorders>
              <w:bottom w:val="single" w:sz="8" w:color="0000FF"/>
            </w:tcBorders>
            <w:gridSpan w:val="8"/>
          </w:tcPr>
          <w:p>
            <w:pPr>
              <w:spacing w:after="0" w:line="155" w:lineRule="exact"/>
              <w:rPr>
                <w:rFonts w:ascii="Arial" w:cs="Arial" w:eastAsia="Arial" w:hAnsi="Arial"/>
                <w:sz w:val="14"/>
                <w:szCs w:val="14"/>
                <w:color w:val="0000FF"/>
                <w:w w:val="92"/>
              </w:rPr>
            </w:pPr>
            <w:hyperlink w:anchor="page25">
              <w:r>
                <w:rPr>
                  <w:rFonts w:ascii="Arial" w:cs="Arial" w:eastAsia="Arial" w:hAnsi="Arial"/>
                  <w:sz w:val="14"/>
                  <w:szCs w:val="14"/>
                  <w:color w:val="0000FF"/>
                  <w:w w:val="92"/>
                </w:rPr>
                <w:t>13a-14(a) and 15d-14(a) of the Securities and Exchange Act of 1934 as adopted</w:t>
              </w:r>
            </w:hyperlink>
          </w:p>
        </w:tc>
        <w:tc>
          <w:tcPr>
            <w:tcW w:w="20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40" w:type="dxa"/>
            <w:vAlign w:val="bottom"/>
            <w:gridSpan w:val="10"/>
          </w:tcPr>
          <w:p>
            <w:pPr>
              <w:spacing w:after="0" w:line="155" w:lineRule="exact"/>
              <w:rPr>
                <w:rFonts w:ascii="Arial" w:cs="Arial" w:eastAsia="Arial" w:hAnsi="Arial"/>
                <w:sz w:val="14"/>
                <w:szCs w:val="14"/>
                <w:color w:val="0000FF"/>
              </w:rPr>
            </w:pPr>
            <w:hyperlink w:anchor="page25">
              <w:r>
                <w:rPr>
                  <w:rFonts w:ascii="Arial" w:cs="Arial" w:eastAsia="Arial" w:hAnsi="Arial"/>
                  <w:sz w:val="14"/>
                  <w:szCs w:val="14"/>
                  <w:color w:val="0000FF"/>
                </w:rPr>
                <w:t>pursuant to Section 302 of the Sarbanes-Oxley Act of 2002.</w:t>
              </w:r>
            </w:hyperlink>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920" w:type="dxa"/>
            <w:vAlign w:val="bottom"/>
          </w:tcPr>
          <w:p>
            <w:pPr>
              <w:ind w:left="20"/>
              <w:spacing w:after="0"/>
              <w:rPr>
                <w:sz w:val="20"/>
                <w:szCs w:val="20"/>
                <w:color w:val="auto"/>
              </w:rPr>
            </w:pPr>
            <w:r>
              <w:rPr>
                <w:rFonts w:ascii="Arial" w:cs="Arial" w:eastAsia="Arial" w:hAnsi="Arial"/>
                <w:sz w:val="14"/>
                <w:szCs w:val="14"/>
                <w:color w:val="auto"/>
              </w:rPr>
              <w:t>31.2</w:t>
            </w:r>
          </w:p>
        </w:tc>
        <w:tc>
          <w:tcPr>
            <w:tcW w:w="180" w:type="dxa"/>
            <w:vAlign w:val="bottom"/>
          </w:tcPr>
          <w:p>
            <w:pPr>
              <w:spacing w:after="0"/>
              <w:rPr>
                <w:sz w:val="15"/>
                <w:szCs w:val="15"/>
                <w:color w:val="auto"/>
              </w:rPr>
            </w:pPr>
          </w:p>
        </w:tc>
        <w:tc>
          <w:tcPr>
            <w:tcW w:w="4480" w:type="dxa"/>
            <w:vAlign w:val="bottom"/>
            <w:tcBorders>
              <w:bottom w:val="single" w:sz="8" w:color="0000FF"/>
            </w:tcBorders>
            <w:gridSpan w:val="4"/>
          </w:tcPr>
          <w:p>
            <w:pPr>
              <w:spacing w:after="0"/>
              <w:rPr>
                <w:rFonts w:ascii="Arial" w:cs="Arial" w:eastAsia="Arial" w:hAnsi="Arial"/>
                <w:sz w:val="14"/>
                <w:szCs w:val="14"/>
                <w:color w:val="0000FF"/>
                <w:w w:val="96"/>
              </w:rPr>
            </w:pPr>
            <w:hyperlink w:anchor="page26">
              <w:r>
                <w:rPr>
                  <w:rFonts w:ascii="Arial" w:cs="Arial" w:eastAsia="Arial" w:hAnsi="Arial"/>
                  <w:sz w:val="14"/>
                  <w:szCs w:val="14"/>
                  <w:color w:val="0000FF"/>
                  <w:w w:val="96"/>
                </w:rPr>
                <w:t>Certification of Chief Financial Officer filed pursuant to Exchange Act Rules</w:t>
              </w:r>
            </w:hyperlink>
          </w:p>
        </w:tc>
        <w:tc>
          <w:tcPr>
            <w:tcW w:w="360" w:type="dxa"/>
            <w:vAlign w:val="bottom"/>
            <w:gridSpan w:val="6"/>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56"/>
        </w:trPr>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40" w:type="dxa"/>
            <w:vAlign w:val="bottom"/>
            <w:tcBorders>
              <w:bottom w:val="single" w:sz="8" w:color="0000FF"/>
            </w:tcBorders>
            <w:gridSpan w:val="8"/>
          </w:tcPr>
          <w:p>
            <w:pPr>
              <w:spacing w:after="0" w:line="155" w:lineRule="exact"/>
              <w:rPr>
                <w:rFonts w:ascii="Arial" w:cs="Arial" w:eastAsia="Arial" w:hAnsi="Arial"/>
                <w:sz w:val="14"/>
                <w:szCs w:val="14"/>
                <w:color w:val="0000FF"/>
                <w:w w:val="92"/>
              </w:rPr>
            </w:pPr>
            <w:hyperlink w:anchor="page26">
              <w:r>
                <w:rPr>
                  <w:rFonts w:ascii="Arial" w:cs="Arial" w:eastAsia="Arial" w:hAnsi="Arial"/>
                  <w:sz w:val="14"/>
                  <w:szCs w:val="14"/>
                  <w:color w:val="0000FF"/>
                  <w:w w:val="92"/>
                </w:rPr>
                <w:t>13a-14(a) and 15d-14(a) of the Securities and Exchange Act of 1934 as adopted</w:t>
              </w:r>
            </w:hyperlink>
          </w:p>
        </w:tc>
        <w:tc>
          <w:tcPr>
            <w:tcW w:w="20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40" w:type="dxa"/>
            <w:vAlign w:val="bottom"/>
            <w:gridSpan w:val="10"/>
          </w:tcPr>
          <w:p>
            <w:pPr>
              <w:spacing w:after="0" w:line="155" w:lineRule="exact"/>
              <w:rPr>
                <w:rFonts w:ascii="Arial" w:cs="Arial" w:eastAsia="Arial" w:hAnsi="Arial"/>
                <w:sz w:val="14"/>
                <w:szCs w:val="14"/>
                <w:color w:val="0000FF"/>
              </w:rPr>
            </w:pPr>
            <w:hyperlink w:anchor="page26">
              <w:r>
                <w:rPr>
                  <w:rFonts w:ascii="Arial" w:cs="Arial" w:eastAsia="Arial" w:hAnsi="Arial"/>
                  <w:sz w:val="14"/>
                  <w:szCs w:val="14"/>
                  <w:color w:val="0000FF"/>
                </w:rPr>
                <w:t>pursuant to Section 302 of the Sarbanes-Oxley Act of 2002.</w:t>
              </w:r>
            </w:hyperlink>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color w:val="auto"/>
              </w:rPr>
              <w:t>32.1*</w:t>
            </w:r>
          </w:p>
        </w:tc>
        <w:tc>
          <w:tcPr>
            <w:tcW w:w="180" w:type="dxa"/>
            <w:vAlign w:val="bottom"/>
          </w:tcPr>
          <w:p>
            <w:pPr>
              <w:spacing w:after="0"/>
              <w:rPr>
                <w:sz w:val="15"/>
                <w:szCs w:val="15"/>
                <w:color w:val="auto"/>
              </w:rPr>
            </w:pPr>
          </w:p>
        </w:tc>
        <w:tc>
          <w:tcPr>
            <w:tcW w:w="4620" w:type="dxa"/>
            <w:vAlign w:val="bottom"/>
            <w:tcBorders>
              <w:bottom w:val="single" w:sz="8" w:color="0000FF"/>
            </w:tcBorders>
            <w:gridSpan w:val="7"/>
          </w:tcPr>
          <w:p>
            <w:pPr>
              <w:spacing w:after="0"/>
              <w:rPr>
                <w:rFonts w:ascii="Arial" w:cs="Arial" w:eastAsia="Arial" w:hAnsi="Arial"/>
                <w:sz w:val="14"/>
                <w:szCs w:val="14"/>
                <w:color w:val="0000FF"/>
                <w:w w:val="94"/>
              </w:rPr>
            </w:pPr>
            <w:hyperlink w:anchor="page27">
              <w:r>
                <w:rPr>
                  <w:rFonts w:ascii="Arial" w:cs="Arial" w:eastAsia="Arial" w:hAnsi="Arial"/>
                  <w:sz w:val="14"/>
                  <w:szCs w:val="14"/>
                  <w:color w:val="0000FF"/>
                  <w:w w:val="94"/>
                </w:rPr>
                <w:t>Certification by Chief Executive Officer pursuant to 18 U.S.C. Section 1350, as</w:t>
              </w:r>
            </w:hyperlink>
          </w:p>
        </w:tc>
        <w:tc>
          <w:tcPr>
            <w:tcW w:w="220" w:type="dxa"/>
            <w:vAlign w:val="bottom"/>
            <w:gridSpan w:val="3"/>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56"/>
        </w:trPr>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40" w:type="dxa"/>
            <w:vAlign w:val="bottom"/>
            <w:tcBorders>
              <w:bottom w:val="single" w:sz="8" w:color="0000FF"/>
            </w:tcBorders>
            <w:gridSpan w:val="2"/>
          </w:tcPr>
          <w:p>
            <w:pPr>
              <w:spacing w:after="0" w:line="155" w:lineRule="exact"/>
              <w:rPr>
                <w:rFonts w:ascii="Arial" w:cs="Arial" w:eastAsia="Arial" w:hAnsi="Arial"/>
                <w:sz w:val="14"/>
                <w:szCs w:val="14"/>
                <w:color w:val="0000FF"/>
                <w:w w:val="92"/>
              </w:rPr>
            </w:pPr>
            <w:hyperlink w:anchor="page27">
              <w:r>
                <w:rPr>
                  <w:rFonts w:ascii="Arial" w:cs="Arial" w:eastAsia="Arial" w:hAnsi="Arial"/>
                  <w:sz w:val="14"/>
                  <w:szCs w:val="14"/>
                  <w:color w:val="0000FF"/>
                  <w:w w:val="92"/>
                </w:rPr>
                <w:t>adopted pursuant to Section 906 of the Sarbanes-Oxley Act of 2002.</w:t>
              </w:r>
            </w:hyperlink>
          </w:p>
        </w:tc>
        <w:tc>
          <w:tcPr>
            <w:tcW w:w="20" w:type="dxa"/>
            <w:vAlign w:val="bottom"/>
            <w:tcBorders>
              <w:bottom w:val="single" w:sz="8" w:color="0000EE"/>
            </w:tcBorders>
          </w:tcPr>
          <w:p>
            <w:pPr>
              <w:spacing w:after="0"/>
              <w:rPr>
                <w:sz w:val="13"/>
                <w:szCs w:val="13"/>
                <w:color w:val="auto"/>
              </w:rPr>
            </w:pPr>
          </w:p>
        </w:tc>
        <w:tc>
          <w:tcPr>
            <w:tcW w:w="880" w:type="dxa"/>
            <w:vAlign w:val="bottom"/>
            <w:gridSpan w:val="7"/>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58"/>
        </w:trPr>
        <w:tc>
          <w:tcPr>
            <w:tcW w:w="920" w:type="dxa"/>
            <w:vAlign w:val="bottom"/>
          </w:tcPr>
          <w:p>
            <w:pPr>
              <w:ind w:left="20"/>
              <w:spacing w:after="0"/>
              <w:rPr>
                <w:sz w:val="20"/>
                <w:szCs w:val="20"/>
                <w:color w:val="auto"/>
              </w:rPr>
            </w:pPr>
            <w:r>
              <w:rPr>
                <w:rFonts w:ascii="Arial" w:cs="Arial" w:eastAsia="Arial" w:hAnsi="Arial"/>
                <w:sz w:val="14"/>
                <w:szCs w:val="14"/>
                <w:color w:val="auto"/>
              </w:rPr>
              <w:t>32.2*</w:t>
            </w:r>
          </w:p>
        </w:tc>
        <w:tc>
          <w:tcPr>
            <w:tcW w:w="180" w:type="dxa"/>
            <w:vAlign w:val="bottom"/>
          </w:tcPr>
          <w:p>
            <w:pPr>
              <w:spacing w:after="0"/>
              <w:rPr>
                <w:sz w:val="24"/>
                <w:szCs w:val="24"/>
                <w:color w:val="auto"/>
              </w:rPr>
            </w:pPr>
          </w:p>
        </w:tc>
        <w:tc>
          <w:tcPr>
            <w:tcW w:w="4580" w:type="dxa"/>
            <w:vAlign w:val="bottom"/>
            <w:tcBorders>
              <w:bottom w:val="single" w:sz="8" w:color="0000FF"/>
            </w:tcBorders>
            <w:gridSpan w:val="6"/>
          </w:tcPr>
          <w:p>
            <w:pPr>
              <w:spacing w:after="0"/>
              <w:rPr>
                <w:rFonts w:ascii="Arial" w:cs="Arial" w:eastAsia="Arial" w:hAnsi="Arial"/>
                <w:sz w:val="14"/>
                <w:szCs w:val="14"/>
                <w:color w:val="0000FF"/>
                <w:w w:val="94"/>
              </w:rPr>
            </w:pPr>
            <w:hyperlink w:anchor="page28">
              <w:r>
                <w:rPr>
                  <w:rFonts w:ascii="Arial" w:cs="Arial" w:eastAsia="Arial" w:hAnsi="Arial"/>
                  <w:sz w:val="14"/>
                  <w:szCs w:val="14"/>
                  <w:color w:val="0000FF"/>
                  <w:w w:val="94"/>
                </w:rPr>
                <w:t>Certification by Chief Financial Officer pursuant to 18 U.S.C. Section 1350, as</w:t>
              </w:r>
            </w:hyperlink>
          </w:p>
        </w:tc>
        <w:tc>
          <w:tcPr>
            <w:tcW w:w="26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55"/>
        </w:trPr>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40" w:type="dxa"/>
            <w:vAlign w:val="bottom"/>
            <w:tcBorders>
              <w:bottom w:val="single" w:sz="8" w:color="0000FF"/>
            </w:tcBorders>
            <w:gridSpan w:val="2"/>
          </w:tcPr>
          <w:p>
            <w:pPr>
              <w:spacing w:after="0" w:line="155" w:lineRule="exact"/>
              <w:rPr>
                <w:rFonts w:ascii="Arial" w:cs="Arial" w:eastAsia="Arial" w:hAnsi="Arial"/>
                <w:sz w:val="14"/>
                <w:szCs w:val="14"/>
                <w:color w:val="0000FF"/>
                <w:w w:val="92"/>
              </w:rPr>
            </w:pPr>
            <w:hyperlink w:anchor="page28">
              <w:r>
                <w:rPr>
                  <w:rFonts w:ascii="Arial" w:cs="Arial" w:eastAsia="Arial" w:hAnsi="Arial"/>
                  <w:sz w:val="14"/>
                  <w:szCs w:val="14"/>
                  <w:color w:val="0000FF"/>
                  <w:w w:val="92"/>
                </w:rPr>
                <w:t>adopted pursuant to Section 906 of the Sarbanes-Oxley Act of 2002.</w:t>
              </w:r>
            </w:hyperlink>
          </w:p>
        </w:tc>
        <w:tc>
          <w:tcPr>
            <w:tcW w:w="20" w:type="dxa"/>
            <w:vAlign w:val="bottom"/>
            <w:tcBorders>
              <w:bottom w:val="single" w:sz="8" w:color="0000EE"/>
            </w:tcBorders>
          </w:tcPr>
          <w:p>
            <w:pPr>
              <w:spacing w:after="0"/>
              <w:rPr>
                <w:sz w:val="13"/>
                <w:szCs w:val="13"/>
                <w:color w:val="auto"/>
              </w:rPr>
            </w:pPr>
          </w:p>
        </w:tc>
        <w:tc>
          <w:tcPr>
            <w:tcW w:w="880" w:type="dxa"/>
            <w:vAlign w:val="bottom"/>
            <w:gridSpan w:val="7"/>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80"/>
        </w:trPr>
        <w:tc>
          <w:tcPr>
            <w:tcW w:w="920" w:type="dxa"/>
            <w:vAlign w:val="bottom"/>
          </w:tcPr>
          <w:p>
            <w:pPr>
              <w:ind w:left="20"/>
              <w:spacing w:after="0"/>
              <w:rPr>
                <w:sz w:val="20"/>
                <w:szCs w:val="20"/>
                <w:color w:val="auto"/>
              </w:rPr>
            </w:pPr>
            <w:r>
              <w:rPr>
                <w:rFonts w:ascii="Arial" w:cs="Arial" w:eastAsia="Arial" w:hAnsi="Arial"/>
                <w:sz w:val="14"/>
                <w:szCs w:val="14"/>
                <w:color w:val="auto"/>
              </w:rPr>
              <w:t>101.INS</w:t>
            </w:r>
          </w:p>
        </w:tc>
        <w:tc>
          <w:tcPr>
            <w:tcW w:w="180" w:type="dxa"/>
            <w:vAlign w:val="bottom"/>
          </w:tcPr>
          <w:p>
            <w:pPr>
              <w:spacing w:after="0"/>
              <w:rPr>
                <w:sz w:val="24"/>
                <w:szCs w:val="24"/>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w w:val="96"/>
              </w:rPr>
              <w:t>Inline XBRL Instance Document – the instance document does not appear in the</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76"/>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Interactive Data File because its XBRL tags are embedded within the Inline</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XBRL document.</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3"/>
        </w:trPr>
        <w:tc>
          <w:tcPr>
            <w:tcW w:w="920" w:type="dxa"/>
            <w:vAlign w:val="bottom"/>
          </w:tcPr>
          <w:p>
            <w:pPr>
              <w:ind w:left="20"/>
              <w:spacing w:after="0"/>
              <w:rPr>
                <w:sz w:val="20"/>
                <w:szCs w:val="20"/>
                <w:color w:val="auto"/>
              </w:rPr>
            </w:pPr>
            <w:r>
              <w:rPr>
                <w:rFonts w:ascii="Arial" w:cs="Arial" w:eastAsia="Arial" w:hAnsi="Arial"/>
                <w:sz w:val="14"/>
                <w:szCs w:val="14"/>
                <w:color w:val="auto"/>
              </w:rPr>
              <w:t>101.SCH</w:t>
            </w:r>
          </w:p>
        </w:tc>
        <w:tc>
          <w:tcPr>
            <w:tcW w:w="180" w:type="dxa"/>
            <w:vAlign w:val="bottom"/>
          </w:tcPr>
          <w:p>
            <w:pPr>
              <w:spacing w:after="0"/>
              <w:rPr>
                <w:sz w:val="17"/>
                <w:szCs w:val="17"/>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Schema Document.</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3"/>
        </w:trPr>
        <w:tc>
          <w:tcPr>
            <w:tcW w:w="920" w:type="dxa"/>
            <w:vAlign w:val="bottom"/>
          </w:tcPr>
          <w:p>
            <w:pPr>
              <w:ind w:left="20"/>
              <w:spacing w:after="0"/>
              <w:rPr>
                <w:sz w:val="20"/>
                <w:szCs w:val="20"/>
                <w:color w:val="auto"/>
              </w:rPr>
            </w:pPr>
            <w:r>
              <w:rPr>
                <w:rFonts w:ascii="Arial" w:cs="Arial" w:eastAsia="Arial" w:hAnsi="Arial"/>
                <w:sz w:val="14"/>
                <w:szCs w:val="14"/>
                <w:color w:val="auto"/>
              </w:rPr>
              <w:t>101.CAL</w:t>
            </w:r>
          </w:p>
        </w:tc>
        <w:tc>
          <w:tcPr>
            <w:tcW w:w="180" w:type="dxa"/>
            <w:vAlign w:val="bottom"/>
          </w:tcPr>
          <w:p>
            <w:pPr>
              <w:spacing w:after="0"/>
              <w:rPr>
                <w:sz w:val="17"/>
                <w:szCs w:val="17"/>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3"/>
        </w:trPr>
        <w:tc>
          <w:tcPr>
            <w:tcW w:w="920" w:type="dxa"/>
            <w:vAlign w:val="bottom"/>
          </w:tcPr>
          <w:p>
            <w:pPr>
              <w:ind w:left="20"/>
              <w:spacing w:after="0"/>
              <w:rPr>
                <w:sz w:val="20"/>
                <w:szCs w:val="20"/>
                <w:color w:val="auto"/>
              </w:rPr>
            </w:pPr>
            <w:r>
              <w:rPr>
                <w:rFonts w:ascii="Arial" w:cs="Arial" w:eastAsia="Arial" w:hAnsi="Arial"/>
                <w:sz w:val="14"/>
                <w:szCs w:val="14"/>
                <w:color w:val="auto"/>
              </w:rPr>
              <w:t>101.DEF</w:t>
            </w:r>
          </w:p>
        </w:tc>
        <w:tc>
          <w:tcPr>
            <w:tcW w:w="180" w:type="dxa"/>
            <w:vAlign w:val="bottom"/>
          </w:tcPr>
          <w:p>
            <w:pPr>
              <w:spacing w:after="0"/>
              <w:rPr>
                <w:sz w:val="17"/>
                <w:szCs w:val="17"/>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3"/>
        </w:trPr>
        <w:tc>
          <w:tcPr>
            <w:tcW w:w="920" w:type="dxa"/>
            <w:vAlign w:val="bottom"/>
          </w:tcPr>
          <w:p>
            <w:pPr>
              <w:ind w:left="20"/>
              <w:spacing w:after="0"/>
              <w:rPr>
                <w:sz w:val="20"/>
                <w:szCs w:val="20"/>
                <w:color w:val="auto"/>
              </w:rPr>
            </w:pPr>
            <w:r>
              <w:rPr>
                <w:rFonts w:ascii="Arial" w:cs="Arial" w:eastAsia="Arial" w:hAnsi="Arial"/>
                <w:sz w:val="14"/>
                <w:szCs w:val="14"/>
                <w:color w:val="auto"/>
              </w:rPr>
              <w:t>101.LAB</w:t>
            </w:r>
          </w:p>
        </w:tc>
        <w:tc>
          <w:tcPr>
            <w:tcW w:w="180" w:type="dxa"/>
            <w:vAlign w:val="bottom"/>
          </w:tcPr>
          <w:p>
            <w:pPr>
              <w:spacing w:after="0"/>
              <w:rPr>
                <w:sz w:val="17"/>
                <w:szCs w:val="17"/>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3"/>
        </w:trPr>
        <w:tc>
          <w:tcPr>
            <w:tcW w:w="920" w:type="dxa"/>
            <w:vAlign w:val="bottom"/>
          </w:tcPr>
          <w:p>
            <w:pPr>
              <w:ind w:left="20"/>
              <w:spacing w:after="0"/>
              <w:rPr>
                <w:sz w:val="20"/>
                <w:szCs w:val="20"/>
                <w:color w:val="auto"/>
              </w:rPr>
            </w:pPr>
            <w:r>
              <w:rPr>
                <w:rFonts w:ascii="Arial" w:cs="Arial" w:eastAsia="Arial" w:hAnsi="Arial"/>
                <w:sz w:val="14"/>
                <w:szCs w:val="14"/>
                <w:color w:val="auto"/>
              </w:rPr>
              <w:t>101.PRE</w:t>
            </w:r>
          </w:p>
        </w:tc>
        <w:tc>
          <w:tcPr>
            <w:tcW w:w="180" w:type="dxa"/>
            <w:vAlign w:val="bottom"/>
          </w:tcPr>
          <w:p>
            <w:pPr>
              <w:spacing w:after="0"/>
              <w:rPr>
                <w:sz w:val="17"/>
                <w:szCs w:val="17"/>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03"/>
        </w:trPr>
        <w:tc>
          <w:tcPr>
            <w:tcW w:w="920" w:type="dxa"/>
            <w:vAlign w:val="bottom"/>
          </w:tcPr>
          <w:p>
            <w:pPr>
              <w:ind w:left="20"/>
              <w:spacing w:after="0"/>
              <w:rPr>
                <w:sz w:val="20"/>
                <w:szCs w:val="20"/>
                <w:color w:val="auto"/>
              </w:rPr>
            </w:pPr>
            <w:r>
              <w:rPr>
                <w:rFonts w:ascii="Arial" w:cs="Arial" w:eastAsia="Arial" w:hAnsi="Arial"/>
                <w:sz w:val="14"/>
                <w:szCs w:val="14"/>
                <w:color w:val="auto"/>
              </w:rPr>
              <w:t>104</w:t>
            </w:r>
          </w:p>
        </w:tc>
        <w:tc>
          <w:tcPr>
            <w:tcW w:w="180" w:type="dxa"/>
            <w:vAlign w:val="bottom"/>
          </w:tcPr>
          <w:p>
            <w:pPr>
              <w:spacing w:after="0"/>
              <w:rPr>
                <w:sz w:val="17"/>
                <w:szCs w:val="17"/>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w w:val="98"/>
              </w:rPr>
              <w:t>Cover Page Interactive Data File (embedded within the Inline XBRL document).</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bl>
    <w:p>
      <w:pPr>
        <w:spacing w:after="0" w:line="236" w:lineRule="exact"/>
        <w:rPr>
          <w:sz w:val="20"/>
          <w:szCs w:val="20"/>
          <w:color w:val="auto"/>
        </w:rPr>
      </w:pPr>
    </w:p>
    <w:p>
      <w:pPr>
        <w:ind w:right="300" w:firstLine="8"/>
        <w:spacing w:after="0" w:line="293" w:lineRule="auto"/>
        <w:tabs>
          <w:tab w:leader="none" w:pos="108"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9" w:lineRule="exact"/>
        <w:rPr>
          <w:sz w:val="20"/>
          <w:szCs w:val="20"/>
          <w:color w:val="auto"/>
        </w:rPr>
      </w:pPr>
    </w:p>
    <w:p>
      <w:pPr>
        <w:ind w:left="80"/>
        <w:spacing w:after="0"/>
        <w:tabs>
          <w:tab w:leader="none" w:pos="7240" w:val="left"/>
        </w:tabs>
        <w:rPr>
          <w:sz w:val="20"/>
          <w:szCs w:val="20"/>
          <w:color w:val="auto"/>
        </w:rPr>
      </w:pPr>
      <w:r>
        <w:rPr>
          <w:rFonts w:ascii="Arial" w:cs="Arial" w:eastAsia="Arial" w:hAnsi="Arial"/>
          <w:sz w:val="18"/>
          <w:szCs w:val="18"/>
          <w:color w:val="auto"/>
        </w:rPr>
        <w:t>November 9, 2021</w:t>
      </w:r>
      <w:r>
        <w:rPr>
          <w:sz w:val="20"/>
          <w:szCs w:val="20"/>
          <w:color w:val="auto"/>
        </w:rPr>
        <w:tab/>
      </w:r>
      <w:r>
        <w:rPr>
          <w:rFonts w:ascii="Arial" w:cs="Arial" w:eastAsia="Arial" w:hAnsi="Arial"/>
          <w:sz w:val="16"/>
          <w:szCs w:val="16"/>
          <w:b w:val="1"/>
          <w:bCs w:val="1"/>
          <w:color w:val="auto"/>
        </w:rPr>
        <w:t>Red Violet, Inc.</w:t>
      </w:r>
    </w:p>
    <w:p>
      <w:pPr>
        <w:spacing w:after="0" w:line="310" w:lineRule="exact"/>
        <w:rPr>
          <w:sz w:val="20"/>
          <w:szCs w:val="20"/>
          <w:color w:val="auto"/>
        </w:rPr>
      </w:pPr>
    </w:p>
    <w:p>
      <w:pPr>
        <w:ind w:left="674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23495</wp:posOffset>
            </wp:positionV>
            <wp:extent cx="25546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Daniel MacLachlan</w:t>
      </w:r>
    </w:p>
    <w:p>
      <w:pPr>
        <w:spacing w:after="0" w:line="5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39"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60" w:hanging="443"/>
        <w:spacing w:after="0" w:line="279"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0" w:hanging="432"/>
        <w:spacing w:after="0" w:line="324"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480" w:hanging="443"/>
        <w:spacing w:after="0" w:line="293"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0"/>
        <w:spacing w:after="0"/>
        <w:tabs>
          <w:tab w:leader="none" w:pos="6080" w:val="left"/>
          <w:tab w:leader="none" w:pos="6540" w:val="left"/>
        </w:tabs>
        <w:rPr>
          <w:sz w:val="20"/>
          <w:szCs w:val="20"/>
          <w:color w:val="auto"/>
        </w:rPr>
      </w:pPr>
      <w:r>
        <w:rPr>
          <w:rFonts w:ascii="Arial" w:cs="Arial" w:eastAsia="Arial" w:hAnsi="Arial"/>
          <w:sz w:val="18"/>
          <w:szCs w:val="18"/>
          <w:color w:val="auto"/>
        </w:rPr>
        <w:t>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23495</wp:posOffset>
            </wp:positionV>
            <wp:extent cx="29743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Derek Dubner</w:t>
      </w:r>
    </w:p>
    <w:p>
      <w:pPr>
        <w:spacing w:after="0" w:line="5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39"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60" w:hanging="443"/>
        <w:spacing w:after="0" w:line="279"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0" w:hanging="432"/>
        <w:spacing w:after="0" w:line="324"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480" w:hanging="443"/>
        <w:spacing w:after="0" w:line="293"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0"/>
        <w:spacing w:after="0"/>
        <w:tabs>
          <w:tab w:leader="none" w:pos="6080" w:val="left"/>
          <w:tab w:leader="none" w:pos="6540" w:val="left"/>
        </w:tabs>
        <w:rPr>
          <w:sz w:val="20"/>
          <w:szCs w:val="20"/>
          <w:color w:val="auto"/>
        </w:rPr>
      </w:pPr>
      <w:r>
        <w:rPr>
          <w:rFonts w:ascii="Arial" w:cs="Arial" w:eastAsia="Arial" w:hAnsi="Arial"/>
          <w:sz w:val="18"/>
          <w:szCs w:val="18"/>
          <w:color w:val="auto"/>
        </w:rPr>
        <w:t>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23495</wp:posOffset>
            </wp:positionV>
            <wp:extent cx="29743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Daniel MacLachlan</w:t>
      </w:r>
    </w:p>
    <w:p>
      <w:pPr>
        <w:spacing w:after="0" w:line="5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September 30, 2021 (the “Report”), the undersigned hereby certifies pursuant to 18 U.S.C. Section 1350, as adopted pursuant to Section 906 of the Sarbanes-Oxley Act of 2002, to my knowledge and belief, that:</w:t>
      </w:r>
    </w:p>
    <w:p>
      <w:pPr>
        <w:spacing w:after="0" w:line="183"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440" w:hanging="432"/>
        <w:spacing w:after="0"/>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329" w:lineRule="exact"/>
        <w:rPr>
          <w:sz w:val="20"/>
          <w:szCs w:val="20"/>
          <w:color w:val="auto"/>
        </w:rPr>
      </w:pPr>
    </w:p>
    <w:p>
      <w:pPr>
        <w:ind w:left="20"/>
        <w:spacing w:after="0"/>
        <w:tabs>
          <w:tab w:leader="none" w:pos="6640" w:val="left"/>
          <w:tab w:leader="none" w:pos="7120" w:val="left"/>
        </w:tabs>
        <w:rPr>
          <w:sz w:val="20"/>
          <w:szCs w:val="20"/>
          <w:color w:val="auto"/>
        </w:rPr>
      </w:pPr>
      <w:r>
        <w:rPr>
          <w:rFonts w:ascii="Arial" w:cs="Arial" w:eastAsia="Arial" w:hAnsi="Arial"/>
          <w:sz w:val="18"/>
          <w:szCs w:val="18"/>
          <w:color w:val="auto"/>
        </w:rPr>
        <w:t>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23495</wp:posOffset>
            </wp:positionV>
            <wp:extent cx="26142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4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Derek Dubner</w:t>
      </w:r>
    </w:p>
    <w:p>
      <w:pPr>
        <w:spacing w:after="0" w:line="5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ind w:left="10260"/>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40" w:firstLine="509"/>
        <w:spacing w:after="0" w:line="279"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September 30, 2021 (the “Report”), the undersigned hereby certifies pursuant to 18 U.S.C. Section 1350, as adopted pursuant to Section 906 of the Sarbanes-Oxley Act of 2002, to my knowledge and belief, that:</w:t>
      </w:r>
    </w:p>
    <w:p>
      <w:pPr>
        <w:spacing w:after="0" w:line="183"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440" w:hanging="432"/>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329" w:lineRule="exact"/>
        <w:rPr>
          <w:sz w:val="20"/>
          <w:szCs w:val="20"/>
          <w:color w:val="auto"/>
        </w:rPr>
      </w:pPr>
    </w:p>
    <w:p>
      <w:pPr>
        <w:ind w:left="20"/>
        <w:spacing w:after="0"/>
        <w:tabs>
          <w:tab w:leader="none" w:pos="6640" w:val="left"/>
          <w:tab w:leader="none" w:pos="7120" w:val="left"/>
        </w:tabs>
        <w:rPr>
          <w:sz w:val="20"/>
          <w:szCs w:val="20"/>
          <w:color w:val="auto"/>
        </w:rPr>
      </w:pPr>
      <w:r>
        <w:rPr>
          <w:rFonts w:ascii="Arial" w:cs="Arial" w:eastAsia="Arial" w:hAnsi="Arial"/>
          <w:sz w:val="18"/>
          <w:szCs w:val="18"/>
          <w:color w:val="auto"/>
        </w:rPr>
        <w:t>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23495</wp:posOffset>
            </wp:positionV>
            <wp:extent cx="26142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4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Daniel MacLachlan</w:t>
      </w:r>
    </w:p>
    <w:p>
      <w:pPr>
        <w:spacing w:after="0" w:line="5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(Principal Financial and Accounting Officer)</w:t>
      </w:r>
    </w:p>
    <w:p>
      <w:pPr>
        <w:spacing w:after="0" w:line="252"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2021-11-09T16:13:23Z</dcterms:created>
  <dcterms:modified xsi:type="dcterms:W3CDTF">2021-11-09T16:13:23Z</dcterms:modified>
</cp:coreProperties>
</file>