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dvt-20240630.htm"/>
      <w:bookmarkStart w:id="1" w:name="ksrdvt202406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p>
    <w:p>
      <w:pPr>
        <w:pStyle w:val="TextBody"/>
        <w:bidi w:val="0"/>
        <w:spacing w:before="60" w:after="283"/>
        <w:jc w:val="left"/>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June 30, 2024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p>
    <w:p>
      <w:pPr>
        <w:pStyle w:val="TextBody"/>
        <w:bidi w:val="0"/>
        <w:spacing w:before="60" w:after="283"/>
        <w:jc w:val="left"/>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001-38407</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7588" w:type="dxa"/>
        <w:jc w:val="left"/>
        <w:tblInd w:w="0" w:type="dxa"/>
        <w:tblLayout w:type="fixed"/>
        <w:tblCellMar>
          <w:top w:w="28" w:type="dxa"/>
          <w:left w:w="28" w:type="dxa"/>
          <w:bottom w:w="28" w:type="dxa"/>
          <w:right w:w="28" w:type="dxa"/>
        </w:tblCellMar>
      </w:tblPr>
      <w:tblGrid>
        <w:gridCol w:w="4696"/>
        <w:gridCol w:w="146"/>
        <w:gridCol w:w="274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82-2408531</w:t>
            </w:r>
          </w:p>
        </w:tc>
      </w:tr>
      <w:tr>
        <w:trPr/>
        <w:tc>
          <w:tcPr>
            <w:tcW w:w="4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2650 North Military Trail, Suite 300, Boca Raton, Florida</w:t>
      </w:r>
      <w:r>
        <w:rPr>
          <w:rFonts w:ascii="Times New Roman" w:hAnsi="Times New Roman"/>
          <w:color w:val="000000"/>
          <w:sz w:val="20"/>
        </w:rPr>
        <w:t xml:space="preserve"> </w:t>
      </w:r>
      <w:r>
        <w:rPr>
          <w:rFonts w:ascii="Times New Roman" w:hAnsi="Times New Roman"/>
          <w:b/>
          <w:color w:val="000000"/>
          <w:sz w:val="20"/>
        </w:rPr>
        <w:t>33431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(561) 757-4000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None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6" w:type="dxa"/>
        <w:jc w:val="left"/>
        <w:tblInd w:w="0" w:type="dxa"/>
        <w:tblLayout w:type="fixed"/>
        <w:tblCellMar>
          <w:top w:w="28" w:type="dxa"/>
          <w:left w:w="28" w:type="dxa"/>
          <w:bottom w:w="28" w:type="dxa"/>
          <w:right w:w="28" w:type="dxa"/>
        </w:tblCellMar>
      </w:tblPr>
      <w:tblGrid>
        <w:gridCol w:w="1921"/>
        <w:gridCol w:w="701"/>
        <w:gridCol w:w="391"/>
        <w:gridCol w:w="2386"/>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701" w:type="dxa"/>
            <w:tcBorders/>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color w:val="000000"/>
              </w:rPr>
            </w:pPr>
            <w:r>
              <w:rPr>
                <w:color w:val="000000"/>
              </w:rPr>
              <w:t>☐</w:t>
            </w:r>
          </w:p>
        </w:tc>
        <w:tc>
          <w:tcPr>
            <w:tcW w:w="2386" w:type="dxa"/>
            <w:tcBorders/>
            <w:tcMar>
              <w:top w:w="0" w:type="dxa"/>
              <w:left w:w="0" w:type="dxa"/>
              <w:bottom w:w="0" w:type="dxa"/>
              <w:right w:w="0" w:type="dxa"/>
            </w:tcMar>
            <w:vAlign w:val="center"/>
          </w:tcPr>
          <w:p>
            <w:pPr>
              <w:pStyle w:val="TableContents"/>
              <w:bidi w:val="0"/>
              <w:spacing w:before="0" w:after="283"/>
              <w:ind w:left="75" w:right="0" w:firstLine="75"/>
              <w:jc w:val="left"/>
              <w:rPr>
                <w:rFonts w:ascii="Times New Roman" w:hAnsi="Times New Roman"/>
                <w:color w:val="000000"/>
                <w:sz w:val="20"/>
              </w:rPr>
            </w:pPr>
            <w:r>
              <w:rPr>
                <w:rFonts w:ascii="Times New Roman" w:hAnsi="Times New Roman"/>
                <w:color w:val="000000"/>
                <w:sz w:val="20"/>
              </w:rPr>
              <w:t>Accelerated filer</w:t>
            </w:r>
          </w:p>
        </w:tc>
        <w:tc>
          <w:tcPr>
            <w:tcW w:w="146"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701" w:type="dxa"/>
            <w:tcBorders/>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color w:val="000000"/>
              </w:rPr>
            </w:pPr>
            <w:r>
              <w:rPr>
                <w:color w:val="000000"/>
              </w:rPr>
              <w:t>☒</w:t>
            </w:r>
          </w:p>
        </w:tc>
        <w:tc>
          <w:tcPr>
            <w:tcW w:w="2386" w:type="dxa"/>
            <w:tcBorders/>
            <w:tcMar>
              <w:top w:w="0" w:type="dxa"/>
              <w:left w:w="0" w:type="dxa"/>
              <w:bottom w:w="0" w:type="dxa"/>
              <w:right w:w="0" w:type="dxa"/>
            </w:tcMar>
            <w:vAlign w:val="center"/>
          </w:tcPr>
          <w:p>
            <w:pPr>
              <w:pStyle w:val="TableContents"/>
              <w:bidi w:val="0"/>
              <w:spacing w:before="0" w:after="283"/>
              <w:ind w:left="75" w:right="0" w:firstLine="75"/>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ind w:left="0" w:right="0" w:firstLine="555"/>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75"/>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ind w:left="75" w:right="0" w:firstLine="75"/>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is a shell company (as defined in Rule 12b-2 of the Exchange Act): </w:t>
      </w:r>
      <w:r>
        <w:rPr>
          <w:rFonts w:ascii="Times New Roman" w:hAnsi="Times New Roman"/>
          <w:caps/>
          <w:color w:val="000000"/>
          <w:sz w:val="20"/>
        </w:rPr>
        <w:t>Yes</w:t>
      </w:r>
      <w:r>
        <w:rPr>
          <w:rFonts w:ascii="Times New Roman" w:hAnsi="Times New Roman"/>
          <w:color w:val="000000"/>
          <w:sz w:val="20"/>
        </w:rPr>
        <w:t xml:space="preserve"> ☐ </w:t>
      </w:r>
      <w:r>
        <w:rPr>
          <w:rFonts w:ascii="Times New Roman" w:hAnsi="Times New Roman"/>
          <w:caps/>
          <w:color w:val="000000"/>
          <w:sz w:val="20"/>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August 2, 2024, the registrant had 13,731,516 shares of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 FOR FORM 10-Q</w:t>
      </w:r>
    </w:p>
    <w:tbl>
      <w:tblPr>
        <w:tblW w:w="10205" w:type="dxa"/>
        <w:jc w:val="left"/>
        <w:tblInd w:w="0" w:type="dxa"/>
        <w:tblLayout w:type="fixed"/>
        <w:tblCellMar>
          <w:top w:w="28" w:type="dxa"/>
          <w:left w:w="28" w:type="dxa"/>
          <w:bottom w:w="28" w:type="dxa"/>
          <w:right w:w="28" w:type="dxa"/>
        </w:tblCellMar>
      </w:tblPr>
      <w:tblGrid>
        <w:gridCol w:w="731"/>
        <w:gridCol w:w="161"/>
        <w:gridCol w:w="8381"/>
        <w:gridCol w:w="283"/>
        <w:gridCol w:w="649"/>
      </w:tblGrid>
      <w:tr>
        <w:trPr/>
        <w:tc>
          <w:tcPr>
            <w:tcW w:w="7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3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right"/>
              <w:rPr>
                <w:rFonts w:ascii="Times New Roman" w:hAnsi="Times New Roman"/>
                <w:b/>
                <w:color w:val="000000"/>
                <w:sz w:val="16"/>
              </w:rPr>
            </w:pPr>
            <w:r>
              <w:rPr>
                <w:rFonts w:ascii="Times New Roman" w:hAnsi="Times New Roman"/>
                <w:b/>
                <w:color w:val="000000"/>
                <w:sz w:val="16"/>
              </w:rPr>
              <w:t>Page</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 FINANCIAL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2024 and December 31, 2023</w:t>
              </w:r>
            </w:hyperlink>
            <w:hyperlink w:anchor="condensed_consolidated_balance_sheets">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8381" w:type="dxa"/>
            <w:tcBorders/>
            <w:shd w:fill="FFFFFF" w:val="clear"/>
            <w:tcMar>
              <w:top w:w="0" w:type="dxa"/>
              <w:left w:w="0" w:type="dxa"/>
              <w:bottom w:w="0" w:type="dxa"/>
              <w:right w:w="0" w:type="dxa"/>
            </w:tcMar>
            <w:vAlign w:val="center"/>
          </w:tcPr>
          <w:p>
            <w:pPr>
              <w:pStyle w:val="TableContents"/>
              <w:pBdr/>
              <w:bidi w:val="0"/>
              <w:spacing w:before="0" w:after="283"/>
              <w:ind w:left="0" w:right="0" w:hanging="15"/>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and six months ended June 30, 2024 and 2023</w:t>
              </w:r>
            </w:hyperlink>
            <w:hyperlink w:anchor="condensed_consolidated_statements_operat">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_changes">
              <w:r>
                <w:rPr>
                  <w:rStyle w:val="InternetLink"/>
                  <w:rFonts w:ascii="Times New Roman" w:hAnsi="Times New Roman"/>
                  <w:color w:val="0000FF"/>
                  <w:sz w:val="20"/>
                  <w:u w:val="single"/>
                </w:rPr>
                <w:t>Condensed consolidated statements of changes in shareholders' equity for the three and six months ended June 30, 2024 and 2023</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firstLine="15"/>
              <w:jc w:val="left"/>
              <w:rPr/>
            </w:pPr>
            <w:r>
              <w:rPr/>
              <w:t> </w:t>
            </w:r>
          </w:p>
        </w:tc>
        <w:tc>
          <w:tcPr>
            <w:tcW w:w="8381" w:type="dxa"/>
            <w:tcBorders/>
            <w:shd w:fill="FFFFFF" w:val="clear"/>
            <w:tcMar>
              <w:top w:w="0" w:type="dxa"/>
              <w:left w:w="0" w:type="dxa"/>
              <w:bottom w:w="0" w:type="dxa"/>
              <w:right w:w="0" w:type="dxa"/>
            </w:tcMar>
            <w:vAlign w:val="center"/>
          </w:tcPr>
          <w:p>
            <w:pPr>
              <w:pStyle w:val="TableContents"/>
              <w:pBdr/>
              <w:bidi w:val="0"/>
              <w:spacing w:before="0" w:after="283"/>
              <w:ind w:left="0" w:right="0" w:hanging="15"/>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2024 and 2023</w:t>
              </w:r>
            </w:hyperlink>
            <w:hyperlink w:anchor="condensed_consolidated_statements_cash_f">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 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80"/>
                  <w:sz w:val="20"/>
                  <w:u w:val="single"/>
                </w:rPr>
                <w:t>Mine Safety Disclosure</w:t>
              </w:r>
            </w:hyperlink>
            <w:r>
              <w:rPr>
                <w:rFonts w:ascii="Times New Roman" w:hAnsi="Times New Roman"/>
                <w:color w:val="0000FF"/>
                <w:sz w:val="20"/>
                <w:u w:val="single"/>
              </w:rPr>
              <w:t>s</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otherwise indicated or required by the context, all references in this Quarterly Report on Form 10-Q to “we,” “us,” “our,” “red violet,” or the “Company,” refer to Red Violet, Inc. and its consolidated subsidiaries.</w:t>
      </w:r>
    </w:p>
    <w:p>
      <w:pPr>
        <w:pStyle w:val="TextBody"/>
        <w:bidi w:val="0"/>
        <w:spacing w:before="20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5"/>
        <w:gridCol w:w="146"/>
        <w:gridCol w:w="266"/>
        <w:gridCol w:w="856"/>
        <w:gridCol w:w="166"/>
        <w:gridCol w:w="146"/>
        <w:gridCol w:w="356"/>
        <w:gridCol w:w="1140"/>
        <w:gridCol w:w="214"/>
      </w:tblGrid>
      <w:tr>
        <w:trPr/>
        <w:tc>
          <w:tcPr>
            <w:tcW w:w="6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9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6"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6"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32,032</w:t>
            </w:r>
          </w:p>
        </w:tc>
        <w:tc>
          <w:tcPr>
            <w:tcW w:w="214"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 of allowance for doubtful accounts of $196 and $159 as of</w:t>
              <w:br/>
              <w:t>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w:t>
            </w:r>
          </w:p>
        </w:tc>
        <w:tc>
          <w:tcPr>
            <w:tcW w:w="214"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40,280</w:t>
            </w:r>
          </w:p>
        </w:tc>
        <w:tc>
          <w:tcPr>
            <w:tcW w:w="214"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14"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34,403</w:t>
            </w:r>
          </w:p>
        </w:tc>
        <w:tc>
          <w:tcPr>
            <w:tcW w:w="214"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214"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214"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9,514</w:t>
            </w:r>
          </w:p>
        </w:tc>
        <w:tc>
          <w:tcPr>
            <w:tcW w:w="214"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92,990</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 AND SHAREHOLDERS' EQUITY:</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6"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6"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214"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214"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14"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214"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w:t>
            </w:r>
          </w:p>
        </w:tc>
        <w:tc>
          <w:tcPr>
            <w:tcW w:w="214"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96"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stock—$0.001 par value, 10,000,000 shares authorized, and 0 shares</w:t>
              <w:br/>
              <w:t>  issued and outstanding, as of June 30, 2024 and December 31, 2023</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stock—$0.001 par value, 200,000,000 shares authorized, 13,744,189 and</w:t>
              <w:br/>
              <w:t>  13,980,274 shares issued, and 13,731,385 and 13,970,846 shares outstanding, as of</w:t>
              <w:br/>
              <w:t>  June 30, 2024 and December 31, 2023</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4"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Treasury stock, at cost, 12,804 and 9,428 shares as of June 30, 2024 and </w:t>
              <w:br/>
              <w:t>  December 31, 2023</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11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94,159</w:t>
            </w:r>
          </w:p>
        </w:tc>
        <w:tc>
          <w:tcPr>
            <w:tcW w:w="214"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4"/>
        <w:gridCol w:w="146"/>
        <w:gridCol w:w="211"/>
        <w:gridCol w:w="1036"/>
        <w:gridCol w:w="146"/>
        <w:gridCol w:w="146"/>
        <w:gridCol w:w="211"/>
        <w:gridCol w:w="1036"/>
        <w:gridCol w:w="146"/>
        <w:gridCol w:w="146"/>
        <w:gridCol w:w="211"/>
        <w:gridCol w:w="1036"/>
        <w:gridCol w:w="146"/>
        <w:gridCol w:w="146"/>
        <w:gridCol w:w="211"/>
        <w:gridCol w:w="1036"/>
        <w:gridCol w:w="19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29,306</w:t>
            </w:r>
          </w:p>
        </w:tc>
        <w:tc>
          <w:tcPr>
            <w:tcW w:w="191" w:type="dxa"/>
            <w:tcBorders/>
            <w:shd w:fill="CFF0FC" w:val="cle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w:t>
            </w:r>
          </w:p>
        </w:tc>
        <w:tc>
          <w:tcPr>
            <w:tcW w:w="191" w:type="dxa"/>
            <w:tcBorders/>
            <w:shd w:fill="CFF0FC" w:val="cle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191" w:type="dxa"/>
            <w:tcBorders/>
            <w:shd w:fill="FFFFFF" w:val="clear"/>
            <w:vAlign w:val="center"/>
          </w:tcPr>
          <w:p>
            <w:pPr>
              <w:pStyle w:val="TableContents"/>
              <w:bidi w:val="0"/>
              <w:spacing w:before="0" w:after="283"/>
              <w:jc w:val="lef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10,316</w:t>
            </w:r>
          </w:p>
        </w:tc>
        <w:tc>
          <w:tcPr>
            <w:tcW w:w="191" w:type="dxa"/>
            <w:tcBorders/>
            <w:shd w:fill="CFF0FC" w:val="cle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91" w:type="dxa"/>
            <w:tcBorders/>
            <w:shd w:fill="FFFFFF" w:val="clear"/>
            <w:vAlign w:val="center"/>
          </w:tcPr>
          <w:p>
            <w:pPr>
              <w:pStyle w:val="TableContents"/>
              <w:bidi w:val="0"/>
              <w:spacing w:before="0" w:after="283"/>
              <w:jc w:val="lef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91" w:type="dxa"/>
            <w:tcBorders/>
            <w:shd w:fill="FFFFFF" w:val="clear"/>
            <w:vAlign w:val="center"/>
          </w:tcPr>
          <w:p>
            <w:pPr>
              <w:pStyle w:val="TableContents"/>
              <w:bidi w:val="0"/>
              <w:spacing w:before="0" w:after="283"/>
              <w:jc w:val="lef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0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13,780,074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13,888,569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13,979,411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14,051,466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14,129,262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14,180,614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sz w:val="20"/>
        </w:rPr>
      </w:pPr>
      <w:bookmarkStart w:id="6" w:name="condensed_consolidated_statement_changes"/>
      <w:bookmarkEnd w:id="6"/>
      <w:r>
        <w:rPr>
          <w:rFonts w:ascii="Times New Roman" w:hAnsi="Times New Roman"/>
          <w:b/>
          <w:color w:val="000000"/>
          <w:sz w:val="20"/>
        </w:rPr>
        <w:t>CONDENSED CONSOLIDATED STATEMENTS OF CHANGES IN SHAREHOLDERS’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418"/>
        <w:gridCol w:w="146"/>
        <w:gridCol w:w="146"/>
        <w:gridCol w:w="1036"/>
        <w:gridCol w:w="166"/>
        <w:gridCol w:w="146"/>
        <w:gridCol w:w="276"/>
        <w:gridCol w:w="415"/>
        <w:gridCol w:w="146"/>
        <w:gridCol w:w="146"/>
        <w:gridCol w:w="146"/>
        <w:gridCol w:w="841"/>
        <w:gridCol w:w="166"/>
        <w:gridCol w:w="146"/>
        <w:gridCol w:w="211"/>
        <w:gridCol w:w="631"/>
        <w:gridCol w:w="166"/>
        <w:gridCol w:w="146"/>
        <w:gridCol w:w="223"/>
        <w:gridCol w:w="714"/>
        <w:gridCol w:w="166"/>
        <w:gridCol w:w="146"/>
        <w:gridCol w:w="234"/>
        <w:gridCol w:w="817"/>
        <w:gridCol w:w="166"/>
        <w:gridCol w:w="146"/>
        <w:gridCol w:w="211"/>
        <w:gridCol w:w="676"/>
        <w:gridCol w:w="212"/>
      </w:tblGrid>
      <w:tr>
        <w:trPr/>
        <w:tc>
          <w:tcPr>
            <w:tcW w:w="1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4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14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13,961,643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73,420</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FFFFFF" w:val="cle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repurchased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212" w:type="dxa"/>
            <w:tcBorders/>
            <w:shd w:fill="FFFFFF" w:val="cle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13,911,691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75,768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13,942,164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83,847</w:t>
            </w:r>
          </w:p>
        </w:tc>
        <w:tc>
          <w:tcPr>
            <w:tcW w:w="212" w:type="dxa"/>
            <w:tcBorders/>
            <w:shd w:fill="FFFFFF" w:val="cle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repurchased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FFFFFF" w:val="cle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13,744,189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87,998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14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14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13,956,404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71,093</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FFFFFF" w:val="cle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repurchased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212" w:type="dxa"/>
            <w:tcBorders/>
            <w:shd w:fill="FFFFFF" w:val="cle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13,911,691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75,768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13,980,274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86,112</w:t>
            </w:r>
          </w:p>
        </w:tc>
        <w:tc>
          <w:tcPr>
            <w:tcW w:w="212" w:type="dxa"/>
            <w:tcBorders/>
            <w:shd w:fill="FFFFFF" w:val="cle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treasury stock resulting</w:t>
              <w:br/>
              <w:t>  from shares withheld to cover</w:t>
              <w:br/>
              <w:t>  statutory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repurchased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FFFFFF" w:val="cle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w:t>
            </w:r>
          </w:p>
        </w:tc>
        <w:tc>
          <w:tcPr>
            <w:tcW w:w="212" w:type="dxa"/>
            <w:tcBorders/>
            <w:shd w:fill="CFF0FC" w:val="clear"/>
            <w:vAlign w:val="center"/>
          </w:tcPr>
          <w:p>
            <w:pPr>
              <w:pStyle w:val="TableContents"/>
              <w:bidi w:val="0"/>
              <w:spacing w:before="0" w:after="283"/>
              <w:jc w:val="left"/>
              <w:rPr/>
            </w:pPr>
            <w:r>
              <w:rPr/>
              <w:t> </w:t>
            </w:r>
          </w:p>
        </w:tc>
      </w:tr>
      <w:tr>
        <w:trPr/>
        <w:tc>
          <w:tcPr>
            <w:tcW w:w="14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13,744,189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87,998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164" w:type="dxa"/>
        <w:jc w:val="left"/>
        <w:tblInd w:w="0" w:type="dxa"/>
        <w:tblLayout w:type="fixed"/>
        <w:tblCellMar>
          <w:top w:w="28" w:type="dxa"/>
          <w:left w:w="28" w:type="dxa"/>
          <w:bottom w:w="28" w:type="dxa"/>
          <w:right w:w="28" w:type="dxa"/>
        </w:tblCellMar>
      </w:tblPr>
      <w:tblGrid>
        <w:gridCol w:w="6721"/>
        <w:gridCol w:w="146"/>
        <w:gridCol w:w="211"/>
        <w:gridCol w:w="676"/>
        <w:gridCol w:w="166"/>
        <w:gridCol w:w="146"/>
        <w:gridCol w:w="211"/>
        <w:gridCol w:w="676"/>
        <w:gridCol w:w="2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2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2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2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2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related to net share settlement of vesting of restricted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INFORMATION:</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shd w:fill="FFFFFF" w:val="clear"/>
            <w:vAlign w:val="center"/>
          </w:tcPr>
          <w:p>
            <w:pPr>
              <w:pStyle w:val="TableContents"/>
              <w:bidi w:val="0"/>
              <w:spacing w:before="0" w:after="283"/>
              <w:jc w:val="left"/>
              <w:rPr/>
            </w:pPr>
            <w:r>
              <w:rPr/>
              <w:t> </w:t>
            </w:r>
          </w:p>
        </w:tc>
      </w:tr>
      <w:tr>
        <w:trPr/>
        <w:tc>
          <w:tcPr>
            <w:tcW w:w="6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capitalized in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211" w:type="dxa"/>
            <w:tcBorders/>
            <w:shd w:fill="CFF0FC" w:val="clear"/>
            <w:vAlign w:val="center"/>
          </w:tcPr>
          <w:p>
            <w:pPr>
              <w:pStyle w:val="TableContents"/>
              <w:bidi w:val="0"/>
              <w:spacing w:before="0" w:after="283"/>
              <w:jc w:val="left"/>
              <w:rPr/>
            </w:pPr>
            <w:r>
              <w:rPr/>
              <w:t> </w:t>
            </w:r>
          </w:p>
        </w:tc>
      </w:tr>
      <w:tr>
        <w:trPr/>
        <w:tc>
          <w:tcPr>
            <w:tcW w:w="6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 Basis of preparation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included in this quarterly report on Form 10-Q should be read in conjunction with the consolidated financial statements and accompanying notes included in the Company’s Annual Report on Form 10-K for the year ended December 31, 2023 filed with the SEC on March 7, 2024 (“Form 10-K”).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balance sheet as of December 31, 2023 included herein was derived from the audited financial statements as of that date included in the Form 10-K, but does not include all disclosures required by US GAAP.</w:t>
      </w:r>
    </w:p>
    <w:p>
      <w:pPr>
        <w:pStyle w:val="TextBody"/>
        <w:bidi w:val="0"/>
        <w:spacing w:before="200" w:after="283"/>
        <w:jc w:val="left"/>
        <w:rPr>
          <w:rFonts w:ascii="Times New Roman" w:hAnsi="Times New Roman"/>
          <w:sz w:val="20"/>
        </w:rPr>
      </w:pPr>
      <w:r>
        <w:rPr>
          <w:rFonts w:ascii="Times New Roman" w:hAnsi="Times New Roman"/>
          <w:color w:val="000000"/>
          <w:sz w:val="20"/>
        </w:rPr>
        <w:t>The Company has only one operating segment, as defined by Accounting Standards Codification (“ASC”) 280, “</w:t>
      </w:r>
      <w:r>
        <w:rPr>
          <w:rFonts w:ascii="Times New Roman" w:hAnsi="Times New Roman"/>
          <w:i/>
          <w:color w:val="000000"/>
          <w:sz w:val="20"/>
        </w:rPr>
        <w:t>Segment Reporting</w:t>
      </w:r>
      <w:r>
        <w:rPr>
          <w:rFonts w:ascii="Times New Roman" w:hAnsi="Times New Roman"/>
          <w:color w:val="000000"/>
          <w:sz w:val="20"/>
        </w:rPr>
        <w:t>.”</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Principles of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financial statements include the financial statements of the Company and its subsidiaries. All significant transactions among the Company and its subsidiaries have been eliminated upon consolidation.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 Recently issued accounting standards</w:t>
      </w:r>
    </w:p>
    <w:p>
      <w:pPr>
        <w:pStyle w:val="TextBody"/>
        <w:bidi w:val="0"/>
        <w:spacing w:before="160" w:after="283"/>
        <w:jc w:val="left"/>
        <w:rPr>
          <w:rFonts w:ascii="Times New Roman" w:hAnsi="Times New Roman"/>
          <w:sz w:val="20"/>
        </w:rPr>
      </w:pPr>
      <w:r>
        <w:rPr>
          <w:rFonts w:ascii="Times New Roman" w:hAnsi="Times New Roman"/>
          <w:color w:val="231F20"/>
          <w:sz w:val="20"/>
        </w:rPr>
        <w:t>In December 2023, the Financial Accounting Standard Board (the “FASB”) issued Accounting Standard Updates (“ASU”) No. 2023-09, "</w:t>
      </w:r>
      <w:r>
        <w:rPr>
          <w:rFonts w:ascii="Times New Roman" w:hAnsi="Times New Roman"/>
          <w:i/>
          <w:color w:val="231F20"/>
          <w:sz w:val="20"/>
        </w:rPr>
        <w:t>Income Taxes (Topic 740): Improvements to Income Tax Disclosures (ASU 2023-09)</w:t>
      </w:r>
      <w:r>
        <w:rPr>
          <w:rFonts w:ascii="Times New Roman" w:hAnsi="Times New Roman"/>
          <w:color w:val="231F20"/>
          <w:sz w:val="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31, 2024. Early adoption is permitted. Upon adoption, the guidance can be applied prospectively or retrospectively. The Company is currently evaluating the guidance to determine its impact on our condensed consolidated financial statements and related disclosures.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Earnings per share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net income by the weighted average number of shares of common stock outstanding during the periods. Diluted earnings per share reflects the potential dilution that could occur if securities or other contracts to issue common stock were exercised or converted into common stock and is calculated using the treasury stock method for unvested shares. </w:t>
      </w:r>
    </w:p>
    <w:p>
      <w:pPr>
        <w:pStyle w:val="TextBody"/>
        <w:bidi w:val="0"/>
        <w:jc w:val="left"/>
        <w:rPr/>
      </w:pPr>
      <w:r>
        <w:rPr/>
        <w:t> </w:t>
      </w:r>
    </w:p>
    <w:tbl>
      <w:tblPr>
        <w:tblW w:w="9547" w:type="dxa"/>
        <w:jc w:val="left"/>
        <w:tblInd w:w="0" w:type="dxa"/>
        <w:tblLayout w:type="fixed"/>
        <w:tblCellMar>
          <w:top w:w="28" w:type="dxa"/>
          <w:left w:w="28" w:type="dxa"/>
          <w:bottom w:w="28" w:type="dxa"/>
          <w:right w:w="28" w:type="dxa"/>
        </w:tblCellMar>
      </w:tblPr>
      <w:tblGrid>
        <w:gridCol w:w="3346"/>
        <w:gridCol w:w="146"/>
        <w:gridCol w:w="211"/>
        <w:gridCol w:w="1036"/>
        <w:gridCol w:w="146"/>
        <w:gridCol w:w="146"/>
        <w:gridCol w:w="211"/>
        <w:gridCol w:w="1036"/>
        <w:gridCol w:w="146"/>
        <w:gridCol w:w="146"/>
        <w:gridCol w:w="211"/>
        <w:gridCol w:w="1036"/>
        <w:gridCol w:w="146"/>
        <w:gridCol w:w="146"/>
        <w:gridCol w:w="211"/>
        <w:gridCol w:w="1036"/>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both"/>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both"/>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13,780,074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13,961,862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13,888,569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13,979,411</w:t>
            </w:r>
          </w:p>
        </w:tc>
        <w:tc>
          <w:tcPr>
            <w:tcW w:w="19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14,051,466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14,129,262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14,180,614</w:t>
            </w:r>
          </w:p>
        </w:tc>
        <w:tc>
          <w:tcPr>
            <w:tcW w:w="1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both"/>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both"/>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and six months ended June 30, 2024 and 2023, diluted weighted average shares outstanding are calculated by the inclusion of unvested restricted stock units ("RSUs").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Intangible assets,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Intangible assets other than goodwill consist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9"/>
        <w:gridCol w:w="146"/>
        <w:gridCol w:w="946"/>
        <w:gridCol w:w="146"/>
        <w:gridCol w:w="217"/>
        <w:gridCol w:w="697"/>
        <w:gridCol w:w="146"/>
        <w:gridCol w:w="146"/>
        <w:gridCol w:w="251"/>
        <w:gridCol w:w="878"/>
        <w:gridCol w:w="166"/>
        <w:gridCol w:w="146"/>
        <w:gridCol w:w="211"/>
        <w:gridCol w:w="676"/>
        <w:gridCol w:w="146"/>
        <w:gridCol w:w="146"/>
        <w:gridCol w:w="217"/>
        <w:gridCol w:w="697"/>
        <w:gridCol w:w="146"/>
        <w:gridCol w:w="146"/>
        <w:gridCol w:w="251"/>
        <w:gridCol w:w="878"/>
        <w:gridCol w:w="166"/>
        <w:gridCol w:w="146"/>
        <w:gridCol w:w="211"/>
        <w:gridCol w:w="676"/>
        <w:gridCol w:w="198"/>
      </w:tblGrid>
      <w:tr>
        <w:trPr/>
        <w:tc>
          <w:tcPr>
            <w:tcW w:w="1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9"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Amortization</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Net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developed for internal use</w:t>
            </w:r>
          </w:p>
        </w:tc>
        <w:tc>
          <w:tcPr>
            <w:tcW w:w="14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 years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34,403</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expenses of $2,322 and $1,995 for the three months ended June 30, 2024 and 2023, respectively, and $4,536 and $3,853 for the six months ended June 30, 2024 and 2023, respectively, were included in depreciation and amortization expense. As of June 30, 2024, intangible assets of $5,799, included in the gross amounts of software developed for internal use, have not started amortization, as they are not ready for their intended use.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capitalized costs of software developed for internal use of $2,847 and $2,649 during the three months ended June 30, 2024 and 2023, respectively, and $5,620 and $5,381 during the six months ended June 30, 2024 and 2023,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2024, estimated amortization expense related to the Company’s intangible assets for the remainder of 2024 through 2029 and thereafter are as follows:</w:t>
      </w:r>
    </w:p>
    <w:p>
      <w:pPr>
        <w:pStyle w:val="TextBody"/>
        <w:bidi w:val="0"/>
        <w:jc w:val="left"/>
        <w:rPr/>
      </w:pPr>
      <w:r>
        <w:rPr/>
        <w:t> </w:t>
      </w:r>
    </w:p>
    <w:tbl>
      <w:tblPr>
        <w:tblW w:w="3158" w:type="dxa"/>
        <w:jc w:val="left"/>
        <w:tblInd w:w="0" w:type="dxa"/>
        <w:tblLayout w:type="fixed"/>
        <w:tblCellMar>
          <w:top w:w="28" w:type="dxa"/>
          <w:left w:w="28" w:type="dxa"/>
          <w:bottom w:w="28" w:type="dxa"/>
          <w:right w:w="28" w:type="dxa"/>
        </w:tblCellMar>
      </w:tblPr>
      <w:tblGrid>
        <w:gridCol w:w="1696"/>
        <w:gridCol w:w="146"/>
        <w:gridCol w:w="267"/>
        <w:gridCol w:w="858"/>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w:t>
            </w:r>
          </w:p>
        </w:tc>
        <w:tc>
          <w:tcPr>
            <w:tcW w:w="1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9,317</w:t>
            </w:r>
          </w:p>
        </w:tc>
        <w:tc>
          <w:tcPr>
            <w:tcW w:w="19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w:t>
            </w:r>
          </w:p>
        </w:tc>
        <w:tc>
          <w:tcPr>
            <w:tcW w:w="1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w:t>
            </w:r>
          </w:p>
        </w:tc>
        <w:tc>
          <w:tcPr>
            <w:tcW w:w="19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9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Goodwill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Goodwill represents the cost in excess of the fair value of the net assets acquired in a business combination. As of June 30, 2024 and December 31, 2023, the balance of goodwill of $5,227 was as a result of the acquisition of Interactive Data, LLC, a wholly-owned subsidiary of red violet, effective on October 2, 2014.</w:t>
      </w:r>
    </w:p>
    <w:p>
      <w:pPr>
        <w:pStyle w:val="TextBody"/>
        <w:bidi w:val="0"/>
        <w:spacing w:before="200" w:after="283"/>
        <w:jc w:val="left"/>
        <w:rPr>
          <w:rFonts w:ascii="Times New Roman" w:hAnsi="Times New Roman"/>
          <w:sz w:val="20"/>
        </w:rPr>
      </w:pPr>
      <w:r>
        <w:rPr>
          <w:rFonts w:ascii="Times New Roman" w:hAnsi="Times New Roman"/>
          <w:color w:val="000000"/>
          <w:sz w:val="20"/>
        </w:rPr>
        <w:t>In accordance with ASC 350, “</w:t>
      </w:r>
      <w:r>
        <w:rPr>
          <w:rFonts w:ascii="Times New Roman" w:hAnsi="Times New Roman"/>
          <w:i/>
          <w:color w:val="000000"/>
          <w:sz w:val="20"/>
        </w:rPr>
        <w:t>Intangibles - Goodwill and Other,”</w:t>
      </w:r>
      <w:r>
        <w:rPr>
          <w:rFonts w:ascii="Times New Roman" w:hAnsi="Times New Roman"/>
          <w:color w:val="000000"/>
          <w:sz w:val="20"/>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did not record a goodwill impairment loss during the three and six months ended June 30, 2024 and 2023, and there was no accumulated goodwill impairment loss as of June 30,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Revenue recognition</w:t>
      </w:r>
    </w:p>
    <w:p>
      <w:pPr>
        <w:pStyle w:val="TextBody"/>
        <w:bidi w:val="0"/>
        <w:spacing w:before="200" w:after="283"/>
        <w:jc w:val="left"/>
        <w:rPr>
          <w:rFonts w:ascii="Times New Roman" w:hAnsi="Times New Roman"/>
          <w:sz w:val="20"/>
        </w:rPr>
      </w:pPr>
      <w:r>
        <w:rPr>
          <w:rFonts w:ascii="Times New Roman" w:hAnsi="Times New Roman"/>
          <w:color w:val="000000"/>
          <w:sz w:val="20"/>
        </w:rPr>
        <w:t>The Company recognized revenue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(“Topic 606”). Under this standard, revenue is recognized when control of goods or services is transferred to the Company’s customers, in an amount that reﬂects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In some arrangements, a right to consideration for the Company's performance under the customer contract may occur before invoicing to the customer, resulting in an unbilled accounts receivable. As of June 30, 2024, the current and noncurrent portion unbilled accounts receivable of $1,016 and $987, respectively, were included within accounts receivable and other noncurrent assets, respectively, on the condensed consolidated balance sheets. As of December 31, 2023, the current and noncurrent portion unbilled accounts receivable of $829 and $371, respectively, were included within accounts receivable and other noncurrent assets, respectively, on the consolidated balance sheets. The Company's revenue arrangements do not contain significant financing components.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June 30, 2024 and 2023, 74% and 79% of total revenue was attributable to customers with pricing contracts, respectively, versus 26% and 21% attributable to transactional customers, respectively. For the six months ended June 30, 2024 and 2023, 76% and 77% of total revenue was attributable to customers with pricing contracts, respectively, versus 24% and 23% attributable to transactional customers, respectively. Pricing contracts are generally annual contracts or longer, with auto renewal.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customer pays consideration before the Company transfers services to the customer, those amounts are classified as deferred revenue. As of June 30, 2024 and December 31, 2023, the balance of deferred revenue was $597 and $690, respectively, all of which is expected to be realized in the next 12 months. In relation to the deferred revenue balance as of December 31, 2023, $166 and $430 was recognized into revenue during the three and six months ended June 30, 2024,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2024, $22,932 of revenue is expected to be recognized in the future for performance obligations that are unsatisfied or partially unsatisfied, related to pricing contracts that have a term of more than 12 months, of which, $6,167 of revenue will be recognized in the remainder of 2024, $8,896 in 2025, $4,548 in 2026, $2,936 in 2027, $342 in 2028, and $43 in 2029.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commissions are incurred and recorded on an ongoing basis over the term of the customer relationship. These costs are recorded in sales and marketing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6. Income taxes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Prior to the third quarter of 2023, primarily due to cumulative pre-tax losses, management determined a full valuation allowance was necessary to reduce the deferred tax assets to the amount that is more likely than not to be realized. During the third quarter of 2023, the Company released the valuation allowance previously recorded on its deferred tax assets. The Company concluded that, due to its established historical cumulative positive income before income taxes plus permanent differences for the recent years, projections of future taxable income, and the reversal of taxable temporary differences, the realization of deferred tax assets as of June 30, 2024 was more likely than not.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effective income tax rate was 22% and 10% for the three months ended June 30, 2024 and 2023, respectively, and 23% and 6% for the six months ended June 30, 2024 and 2023, respectively, differing from the U.S. corporate statutory federal income tax rate of 21%. The difference for the three and six months ended June 30, 2024 was primarily the effect of state income taxes and certain nondeductible permanent differences, partially offset by the utilization of research and development tax credits. The difference for the three and six months ended June 30, 2023 was primarily the result of the valuation allowance applied to reduce the Company’s deferred tax assets to the amount that is more likely than not to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does not have any material unrecognized tax benefits as of June 30, 2024 and December 31, 2023.</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7. Common stock and treasury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2024 and December 31, 2023, the number of issued shares of common stock was 13,744,189 and 13,980,274, respectively, which included shares of treasury stock of 12,804 and 9,428, respectively. The changes in the number of issued shares of common stock and treasury stock were due to the following factors: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 aggregate of 75,109 shares of common stock were issued as a result of the vesting of RSUs, of which, 21,826 shares of common stock were withheld to pay withholding taxes upon such vesting, which were reflected in treasury stock, with a cost of $403. Related treasury stock of 21,826 shares was then retired during the six months ended June 30, 2024.</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2, 2022, the board of directors of the Company authorized the repurchase of up to $5.0 million of the Company's common stock from time to time, and subsequently on each of December 19, 2023 and March 28, 2024, the board of directors authorized the repurchase of an additional $5.0 million of the Company's common stock (the "Stock Repurchase Program"). The Stock Repurchase Program does not obligate the Company to repurchase any shares and may be modified, suspended, or terminated at any time and for any reason at the discretion of the board of directors. During the six months ended June 30, 2024, the Company repurchased 292,744 shares of common stock under the Stock Repurchase Program, which was reflected in treasury stock, with a cost of $5,809. Related treasury stock of 289,368 shares, with a cost of $5,761, was retired during the six months ended June 30, 2024, which resulted in a treasury stock balance of $236 as of June 30, 2024. The Company has $4,577 remaining under the Stock Repurchase Program as of June 30,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Share-based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 shares of common stock were authorized to be issued under the 2018 Plan. Subsequently on June 3, 2020 and May 25, 2022, the Company’s stockholders approved amendments to the 2018 Plan to increase the number of shares of common stock authorized for issuance under the 2018 Plan to 4,500,000 shares and 6,500,000 shares,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primary purpose of the 2018 Plan, as amended,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2024, there were 1,926,852 shares of common stock available for future issuance under the 2018 Plan, as amended.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To date, all stock incentives issued under the 2018 Plan, as amended, have been in the form of RSUs. RSUs granted under the 2018 Plan, as amended, vest and settle upon the satisfaction of a time-based condition or with both time- and performance-based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The time-based condition for these awards is generally satisfied over three or four years with annual vesting. Details of unvested RSU activity during the six months ended June 30, 2024 were as follows: </w:t>
      </w:r>
    </w:p>
    <w:tbl>
      <w:tblPr>
        <w:tblW w:w="6485" w:type="dxa"/>
        <w:jc w:val="left"/>
        <w:tblInd w:w="0" w:type="dxa"/>
        <w:tblLayout w:type="fixed"/>
        <w:tblCellMar>
          <w:top w:w="28" w:type="dxa"/>
          <w:left w:w="28" w:type="dxa"/>
          <w:bottom w:w="28" w:type="dxa"/>
          <w:right w:w="28" w:type="dxa"/>
        </w:tblCellMar>
      </w:tblPr>
      <w:tblGrid>
        <w:gridCol w:w="2926"/>
        <w:gridCol w:w="146"/>
        <w:gridCol w:w="172"/>
        <w:gridCol w:w="1103"/>
        <w:gridCol w:w="166"/>
        <w:gridCol w:w="146"/>
        <w:gridCol w:w="441"/>
        <w:gridCol w:w="1194"/>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2023</w:t>
            </w:r>
          </w:p>
        </w:tc>
        <w:tc>
          <w:tcPr>
            <w:tcW w:w="146" w:type="dxa"/>
            <w:tcBorders/>
            <w:shd w:fill="CFF0FC" w:val="clear"/>
            <w:vAlign w:val="center"/>
          </w:tcPr>
          <w:p>
            <w:pPr>
              <w:pStyle w:val="TableContents"/>
              <w:bidi w:val="0"/>
              <w:spacing w:before="0" w:after="283"/>
              <w:jc w:val="center"/>
              <w:rPr/>
            </w:pPr>
            <w:r>
              <w:rPr/>
              <w:t> </w:t>
            </w:r>
          </w:p>
        </w:tc>
        <w:tc>
          <w:tcPr>
            <w:tcW w:w="172"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1,017,718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Granted</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delivered</w:t>
            </w:r>
          </w:p>
        </w:tc>
        <w:tc>
          <w:tcPr>
            <w:tcW w:w="146" w:type="dxa"/>
            <w:tcBorders/>
            <w:shd w:fill="CFF0FC" w:val="clear"/>
            <w:vAlign w:val="center"/>
          </w:tcPr>
          <w:p>
            <w:pPr>
              <w:pStyle w:val="TableContents"/>
              <w:bidi w:val="0"/>
              <w:spacing w:before="0" w:after="283"/>
              <w:jc w:val="center"/>
              <w:rPr/>
            </w:pPr>
            <w:r>
              <w:rPr/>
              <w:t> </w:t>
            </w:r>
          </w:p>
        </w:tc>
        <w:tc>
          <w:tcPr>
            <w:tcW w:w="172" w:type="dxa"/>
            <w:tcBorders/>
            <w:shd w:fill="CFF0FC" w:val="clear"/>
            <w:vAlign w:val="center"/>
          </w:tcPr>
          <w:p>
            <w:pPr>
              <w:pStyle w:val="TableContents"/>
              <w:bidi w:val="0"/>
              <w:spacing w:before="0" w:after="283"/>
              <w:jc w:val="left"/>
              <w:rPr/>
            </w:pPr>
            <w:r>
              <w:rPr/>
              <w:t> </w:t>
            </w:r>
          </w:p>
        </w:tc>
        <w:tc>
          <w:tcPr>
            <w:tcW w:w="11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Withheld as treasury stock</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center"/>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2024</w:t>
            </w:r>
          </w:p>
        </w:tc>
        <w:tc>
          <w:tcPr>
            <w:tcW w:w="146" w:type="dxa"/>
            <w:tcBorders/>
            <w:shd w:fill="FFFFFF" w:val="clear"/>
            <w:vAlign w:val="center"/>
          </w:tcPr>
          <w:p>
            <w:pPr>
              <w:pStyle w:val="TableContents"/>
              <w:bidi w:val="0"/>
              <w:spacing w:before="0" w:after="283"/>
              <w:jc w:val="center"/>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March 2024, the Company granted 130,000 RSUs, subject to performance-based requirements, to one non-executive employee at a grant date fair value of $18.30 per share. Such RSU grant shall not vest unless and until the Company has achieved certain revenue for a portion of its business prior to December 31, 2030, the last achievement date deadline. No amortization of share-based compensation expense has been recognized for 115,000 RSUs among the above-mentioned grant, because, as of June 30, 2024, the Company determined that it is not probable that related performance criteria will be met. In addition to the 130,000 RSUs discussed above, the Company granted, during the six months ended June 30, 2024, an aggregate of 102,985 RSUs to certain employees and directors at grant date fair values ranging from $18.12 to $22.85 per share, with a vesting period ranging from one to four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Withheld as treasury stock represents shares withheld to pay statutory taxes upon the vesting of RSUs. Refer to Note 7, "Common stock and treasury stock," for details.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2024, unrecognized share-based compensation expense associated with the granted RSUs amounted to $14,288, which is expected to be recognized over a remaining weighted average period of 1.9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Share-based compensation was allocated to the following accounts in the condensed consolidated financial statements for the three and six months ended June 30, 2024 and 2023:</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3091"/>
        <w:gridCol w:w="146"/>
        <w:gridCol w:w="257"/>
        <w:gridCol w:w="697"/>
        <w:gridCol w:w="178"/>
        <w:gridCol w:w="178"/>
        <w:gridCol w:w="257"/>
        <w:gridCol w:w="697"/>
        <w:gridCol w:w="146"/>
        <w:gridCol w:w="146"/>
        <w:gridCol w:w="235"/>
        <w:gridCol w:w="637"/>
        <w:gridCol w:w="162"/>
        <w:gridCol w:w="162"/>
        <w:gridCol w:w="235"/>
        <w:gridCol w:w="637"/>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 intangible assets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leases its corporate headquarters of 21,020 rentable square feet in accordance with a non-cancellable 89-month operating lease agreement as amended and effective in January 2017, with an option to extend for an additional 60 months. On September 20, 2023, the Company entered into an amendment to its corporate headquarters lease agreement to exercise the extension option for an additional 60 months through June 30, 2029, with an option to further extend for an additional 60 months. The Company also leases an additional office space of 6,003 rentable square feet in accordance with a non-cancellable 90-month operating lease agreement entered into in April 2017, with an option to extend for an additional 60 months. The extension option is not included in the determination of the lease term as it is not reasonably certain to be exercised.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and six months ended June 30, 2024 and 2023, a summary of the Company’s lease information is shown below:</w:t>
      </w:r>
    </w:p>
    <w:p>
      <w:pPr>
        <w:pStyle w:val="TextBody"/>
        <w:bidi w:val="0"/>
        <w:jc w:val="left"/>
        <w:rPr/>
      </w:pPr>
      <w:r>
        <w:rPr/>
        <w:t> </w:t>
      </w:r>
    </w:p>
    <w:tbl>
      <w:tblPr>
        <w:tblW w:w="7512" w:type="dxa"/>
        <w:jc w:val="left"/>
        <w:tblInd w:w="0" w:type="dxa"/>
        <w:tblLayout w:type="fixed"/>
        <w:tblCellMar>
          <w:top w:w="28" w:type="dxa"/>
          <w:left w:w="28" w:type="dxa"/>
          <w:bottom w:w="28" w:type="dxa"/>
          <w:right w:w="28" w:type="dxa"/>
        </w:tblCellMar>
      </w:tblPr>
      <w:tblGrid>
        <w:gridCol w:w="2551"/>
        <w:gridCol w:w="146"/>
        <w:gridCol w:w="307"/>
        <w:gridCol w:w="613"/>
        <w:gridCol w:w="212"/>
        <w:gridCol w:w="212"/>
        <w:gridCol w:w="307"/>
        <w:gridCol w:w="613"/>
        <w:gridCol w:w="146"/>
        <w:gridCol w:w="146"/>
        <w:gridCol w:w="280"/>
        <w:gridCol w:w="560"/>
        <w:gridCol w:w="194"/>
        <w:gridCol w:w="194"/>
        <w:gridCol w:w="280"/>
        <w:gridCol w:w="560"/>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1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9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91" w:type="dxa"/>
            <w:tcBorders/>
            <w:shd w:fill="FFFFFF" w:val="cle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84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1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9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the weighted average remaining operating lease term was 4.6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2024, scheduled future maturities and present value of the operating lease liabilities are as follows:</w:t>
      </w:r>
    </w:p>
    <w:p>
      <w:pPr>
        <w:pStyle w:val="TextBody"/>
        <w:bidi w:val="0"/>
        <w:jc w:val="left"/>
        <w:rPr/>
      </w:pPr>
      <w:r>
        <w:rPr/>
        <w:t> </w:t>
      </w:r>
    </w:p>
    <w:tbl>
      <w:tblPr>
        <w:tblW w:w="8378" w:type="dxa"/>
        <w:jc w:val="left"/>
        <w:tblInd w:w="0" w:type="dxa"/>
        <w:tblLayout w:type="fixed"/>
        <w:tblCellMar>
          <w:top w:w="28" w:type="dxa"/>
          <w:left w:w="28" w:type="dxa"/>
          <w:bottom w:w="28" w:type="dxa"/>
          <w:right w:w="28" w:type="dxa"/>
        </w:tblCellMar>
      </w:tblPr>
      <w:tblGrid>
        <w:gridCol w:w="6916"/>
        <w:gridCol w:w="146"/>
        <w:gridCol w:w="303"/>
        <w:gridCol w:w="822"/>
        <w:gridCol w:w="191"/>
      </w:tblGrid>
      <w:tr>
        <w:trPr/>
        <w:tc>
          <w:tcPr>
            <w:tcW w:w="6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91" w:type="dxa"/>
            <w:tcBorders/>
            <w:shd w:fill="CFF0FC" w:val="cle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91" w:type="dxa"/>
            <w:tcBorders/>
            <w:shd w:fill="FFFFFF" w:val="clear"/>
            <w:vAlign w:val="center"/>
          </w:tcPr>
          <w:p>
            <w:pPr>
              <w:pStyle w:val="TableContents"/>
              <w:bidi w:val="0"/>
              <w:spacing w:before="0" w:after="283"/>
              <w:jc w:val="lef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shd w:fill="CFF0FC" w:val="cle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91" w:type="dxa"/>
            <w:tcBorders/>
            <w:shd w:fill="FFFFFF" w:val="clear"/>
            <w:vAlign w:val="center"/>
          </w:tcPr>
          <w:p>
            <w:pPr>
              <w:pStyle w:val="TableContents"/>
              <w:bidi w:val="0"/>
              <w:spacing w:before="0" w:after="283"/>
              <w:jc w:val="lef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1" w:type="dxa"/>
            <w:tcBorders/>
            <w:shd w:fill="CFF0FC" w:val="cle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maturities</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included in condensed consolidated balance sheet:</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91" w:type="dxa"/>
            <w:tcBorders/>
            <w:shd w:fill="CFF0FC" w:val="cle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Difference between the maturities and the present value of operating lease liabilities</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 Capital commitment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incurred data costs of $2,406 and $2,358 for the three months ended June 30, 2024 and 2023, respectively, and $4,840 and $4,719 for the six months ended June 30, 2024 and 2023, under certain data licensing agreements. As of June 30, 2024, material capital commitments under certain data licensing agreements were $17,949, shown as follows:</w:t>
      </w:r>
    </w:p>
    <w:p>
      <w:pPr>
        <w:pStyle w:val="TextBody"/>
        <w:bidi w:val="0"/>
        <w:jc w:val="left"/>
        <w:rPr/>
      </w:pPr>
      <w:r>
        <w:rPr/>
        <w:t> </w:t>
      </w:r>
    </w:p>
    <w:tbl>
      <w:tblPr>
        <w:tblW w:w="3343" w:type="dxa"/>
        <w:jc w:val="left"/>
        <w:tblInd w:w="0" w:type="dxa"/>
        <w:tblLayout w:type="fixed"/>
        <w:tblCellMar>
          <w:top w:w="28" w:type="dxa"/>
          <w:left w:w="28" w:type="dxa"/>
          <w:bottom w:w="28" w:type="dxa"/>
          <w:right w:w="28" w:type="dxa"/>
        </w:tblCellMar>
      </w:tblPr>
      <w:tblGrid>
        <w:gridCol w:w="1781"/>
        <w:gridCol w:w="246"/>
        <w:gridCol w:w="267"/>
        <w:gridCol w:w="858"/>
        <w:gridCol w:w="191"/>
      </w:tblGrid>
      <w:tr>
        <w:trPr/>
        <w:tc>
          <w:tcPr>
            <w:tcW w:w="1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2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7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w:t>
            </w:r>
          </w:p>
        </w:tc>
        <w:tc>
          <w:tcPr>
            <w:tcW w:w="2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Remainder of 2024</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191" w:type="dxa"/>
            <w:tcBorders/>
            <w:shd w:fill="CFF0FC" w:val="clear"/>
            <w:vAlign w:val="center"/>
          </w:tcPr>
          <w:p>
            <w:pPr>
              <w:pStyle w:val="TableContents"/>
              <w:bidi w:val="0"/>
              <w:spacing w:before="0" w:after="283"/>
              <w:jc w:val="left"/>
              <w:rPr/>
            </w:pPr>
            <w:r>
              <w:rPr/>
              <w:t> </w:t>
            </w:r>
          </w:p>
        </w:tc>
      </w:tr>
      <w:tr>
        <w:trPr/>
        <w:tc>
          <w:tcPr>
            <w:tcW w:w="17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2025</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w:t>
            </w:r>
          </w:p>
        </w:tc>
        <w:tc>
          <w:tcPr>
            <w:tcW w:w="191" w:type="dxa"/>
            <w:tcBorders/>
            <w:shd w:fill="FFFFFF" w:val="clear"/>
            <w:vAlign w:val="center"/>
          </w:tcPr>
          <w:p>
            <w:pPr>
              <w:pStyle w:val="TableContents"/>
              <w:bidi w:val="0"/>
              <w:spacing w:before="0" w:after="283"/>
              <w:jc w:val="left"/>
              <w:rPr/>
            </w:pPr>
            <w:r>
              <w:rPr/>
              <w:t> </w:t>
            </w:r>
          </w:p>
        </w:tc>
      </w:tr>
      <w:tr>
        <w:trPr/>
        <w:tc>
          <w:tcPr>
            <w:tcW w:w="178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w:t>
            </w:r>
          </w:p>
        </w:tc>
        <w:tc>
          <w:tcPr>
            <w:tcW w:w="191" w:type="dxa"/>
            <w:tcBorders/>
            <w:shd w:fill="CFF0FC" w:val="clear"/>
            <w:vAlign w:val="center"/>
          </w:tcPr>
          <w:p>
            <w:pPr>
              <w:pStyle w:val="TableContents"/>
              <w:bidi w:val="0"/>
              <w:spacing w:before="0" w:after="283"/>
              <w:jc w:val="left"/>
              <w:rPr/>
            </w:pPr>
            <w:r>
              <w:rPr/>
              <w:t> </w:t>
            </w:r>
          </w:p>
        </w:tc>
      </w:tr>
      <w:tr>
        <w:trPr/>
        <w:tc>
          <w:tcPr>
            <w:tcW w:w="17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 Contingencies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foregoing, 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Form 10-Q, as well as the disclosures made in the Company’s Annual Report on Form 10-K for the year ended December 31, 2023 filed on March 7, 2024 (“Form 10-K”), and other filings we make with the Securities and Exchange Commission (the "SEC").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References in this discussion and analysis to “we,” “us,” “our,” “red violet,” or the “Company,” refer to Red Violet, Inc. and its consolidated subsidiaries.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sz w:val="20"/>
        </w:rPr>
      </w:pPr>
      <w:r>
        <w:rPr>
          <w:rFonts w:ascii="Times New Roman" w:hAnsi="Times New Roman"/>
          <w:color w:val="000000"/>
          <w:sz w:val="20"/>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AI/ML-driven identity intelligence platform, CORE</w:t>
      </w:r>
      <w:r>
        <w:rPr>
          <w:rFonts w:ascii="Times New Roman" w:hAnsi="Times New Roman"/>
          <w:color w:val="000000"/>
          <w:sz w:val="13"/>
        </w:rPr>
        <w:t>TM</w:t>
      </w:r>
      <w:r>
        <w:rPr>
          <w:rFonts w:ascii="Times New Roman" w:hAnsi="Times New Roman"/>
          <w:color w:val="000000"/>
          <w:sz w:val="20"/>
        </w:rPr>
        <w:t>, is purpose-built for the enterprise, yet flexible enough for organizations of all sizes, bringing clarity to massive datasets by transforming data into intelligence. We drive workflow efficiency and enable organizations to make better data-driven decisions.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 </w:t>
      </w:r>
    </w:p>
    <w:p>
      <w:pPr>
        <w:pStyle w:val="TextBody"/>
        <w:bidi w:val="0"/>
        <w:spacing w:before="200" w:after="283"/>
        <w:jc w:val="left"/>
        <w:rPr>
          <w:rFonts w:ascii="Times New Roman" w:hAnsi="Times New Roman"/>
          <w:sz w:val="20"/>
        </w:rPr>
      </w:pPr>
      <w:r>
        <w:rPr>
          <w:rFonts w:ascii="Times New Roman" w:hAnsi="Times New Roman"/>
          <w:color w:val="000000"/>
          <w:sz w:val="20"/>
        </w:rPr>
        <w:t>While our platform powers a vast array of solutions for our customers, we presently market our solutions primarily through two brands, IDI</w:t>
      </w:r>
      <w:r>
        <w:rPr>
          <w:rFonts w:ascii="Times New Roman" w:hAnsi="Times New Roman"/>
          <w:color w:val="000000"/>
          <w:sz w:val="13"/>
        </w:rPr>
        <w:t xml:space="preserve"> </w:t>
      </w:r>
      <w:r>
        <w:rPr>
          <w:rFonts w:ascii="Times New Roman" w:hAnsi="Times New Roman"/>
          <w:color w:val="000000"/>
          <w:sz w:val="20"/>
        </w:rPr>
        <w:t>and FOREWARN</w:t>
      </w:r>
      <w:r>
        <w:rPr>
          <w:rFonts w:ascii="Times New Roman" w:hAnsi="Times New Roman"/>
          <w:color w:val="000000"/>
          <w:sz w:val="13"/>
        </w:rPr>
        <w:t>®</w:t>
      </w:r>
      <w:r>
        <w:rPr>
          <w:rFonts w:ascii="Times New Roman" w:hAnsi="Times New Roman"/>
          <w:color w:val="000000"/>
          <w:sz w:val="20"/>
        </w:rPr>
        <w:t>. IDI is a leading-edge, analytics and information solutions provider delivering actionable intelligence to an expansive and diverse set of industries in support of use cases such as the verification and authentication of consumer identities, due diligence, prevention of fraud and abuse, legislative compliance, and debt recovery. idiCORE</w:t>
      </w:r>
      <w:r>
        <w:rPr>
          <w:rFonts w:ascii="Times New Roman" w:hAnsi="Times New Roman"/>
          <w:color w:val="000000"/>
          <w:sz w:val="13"/>
        </w:rPr>
        <w:t></w:t>
      </w:r>
      <w:r>
        <w:rPr>
          <w:rFonts w:ascii="Times New Roman" w:hAnsi="Times New Roman"/>
          <w:color w:val="000000"/>
          <w:sz w:val="20"/>
        </w:rPr>
        <w:t xml:space="preserve"> is IDI's flagship product. idiCORE is a next-generation, investigative solution used to address a variety of organizational challenges, including, but not limited to, due diligence, risk mitigation, identity authentication, and regulatory compliance, by financial services companies, insurance companies, healthcare companies, law enforcement and government, identity verification platforms,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June 30, 2024 and 2023, IDI had 8,477 and 7,497 billable customers and FOREWARN had 263,876 and 146,537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June 30, 2024 and 2023, 74% and 79% of total revenue was attributable to customers with pricing contracts, respectively, versus 26% and 21% attributable to transactional customers, respectively. For the six months ended June 30, 2024 and 2023, 76% and 77% of total revenue was attributable to customers with pricing contracts, respectively, versus 24% and 23% attributable to transactional customers,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revenue recognition,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additional information, please refer to our Form 10-K. There have been no material changes to Critical Accounting Policies and Estimates disclosed in our Form 10-K.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Recently issued accounting standards</w:t>
      </w:r>
    </w:p>
    <w:p>
      <w:pPr>
        <w:pStyle w:val="TextBody"/>
        <w:bidi w:val="0"/>
        <w:spacing w:before="200" w:after="283"/>
        <w:jc w:val="left"/>
        <w:rPr>
          <w:rFonts w:ascii="Times New Roman" w:hAnsi="Times New Roman"/>
          <w:sz w:val="20"/>
        </w:rPr>
      </w:pPr>
      <w:r>
        <w:rPr>
          <w:rFonts w:ascii="Times New Roman" w:hAnsi="Times New Roman"/>
          <w:color w:val="000000"/>
          <w:sz w:val="20"/>
        </w:rPr>
        <w:t>See Note 1(b), “</w:t>
      </w:r>
      <w:r>
        <w:rPr>
          <w:rFonts w:ascii="Times New Roman" w:hAnsi="Times New Roman"/>
          <w:i/>
          <w:color w:val="000000"/>
          <w:sz w:val="20"/>
        </w:rPr>
        <w:t>Recently issued accounting standards,”</w:t>
      </w:r>
      <w:r>
        <w:rPr>
          <w:rFonts w:ascii="Times New Roman" w:hAnsi="Times New Roman"/>
          <w:color w:val="000000"/>
          <w:sz w:val="20"/>
        </w:rPr>
        <w:t xml:space="preserve"> in “Notes to Condensed Consolidated Financial Statements.”</w:t>
      </w:r>
    </w:p>
    <w:p>
      <w:pPr>
        <w:pStyle w:val="TextBody"/>
        <w:bidi w:val="0"/>
        <w:spacing w:before="200" w:after="283"/>
        <w:jc w:val="left"/>
        <w:rPr>
          <w:rFonts w:ascii="Times New Roman" w:hAnsi="Times New Roman"/>
          <w:b/>
          <w:color w:val="000000"/>
          <w:sz w:val="20"/>
        </w:rPr>
      </w:pPr>
      <w:bookmarkStart w:id="10" w:name="gmnh874a1a8db3fe4af2a262b7d6093c0e4f"/>
      <w:bookmarkEnd w:id="10"/>
      <w:r>
        <w:rPr>
          <w:rFonts w:ascii="Times New Roman" w:hAnsi="Times New Roman"/>
          <w:b/>
          <w:color w:val="000000"/>
          <w:sz w:val="20"/>
        </w:rPr>
        <w:t>Second Quarter Financial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June 30, 2024 as compared to the three months ended June 30,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 increased 30% to $19.1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41% to $13.3 million. Gross margin increased to 70% from 64%.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increased 36% to $15.6 million. Adjusted gross margin increased to 82% from 78%.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increased 90% to $2.6 million, which resulted in earnings of $0.19 per basic and diluted share. Net income margin increased to 14% from 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increased 47% to $6.8 million. Adjusted EBITDA margin increased to 36% from 32%.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increased 33% to $3.9 million, which resulted in adjusted earnings of $0.28 per basic and diluted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increased 61% to $5.7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were $30.9 million as of June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Second Quarter and Recent Business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Added 236 customers to IDI during the second quarter, ending the quarter with 8,477 customers.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Added 27,237 users to FOREWARN during the second quarter, ending the quarter with 263,876 users. Over 490 REALTOR</w:t>
      </w:r>
      <w:r>
        <w:rPr>
          <w:rFonts w:ascii="Times New Roman" w:hAnsi="Times New Roman"/>
          <w:color w:val="000000"/>
          <w:sz w:val="13"/>
        </w:rPr>
        <w:t>®</w:t>
      </w:r>
      <w:r>
        <w:rPr>
          <w:color w:val="000000"/>
        </w:rPr>
        <w:t xml:space="preserve"> </w:t>
      </w:r>
      <w:r>
        <w:rPr>
          <w:rFonts w:ascii="Times New Roman" w:hAnsi="Times New Roman"/>
          <w:color w:val="000000"/>
          <w:sz w:val="20"/>
        </w:rPr>
        <w:t>Associations throughout the U.S. are now contracted to use FOREWARN.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Purchased 15,804 shares of the Company’s common stock during the second quarter at an average price of $18.61 per share pursuant to the Company’s $15.0 million Stock Repurchase Program (as defined below). Total shares purchased during the first half of 2024 was 292,744 shares at an average price of $19.81 per share. The Company has $4.6 million remaining under the Stock Repurchase Program.</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Use and Reconciliation of Non-GAAP Financial Measures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net, income tax expense, depreciation and amortization, share-based compensation expense, litigation costs, and write-off of long-lived assets and others. We define adjusted EBITDA margin as adjusted EBITDA as a percentage of revenue. Adjusted net income is a non-GAAP financial measure equal to net income, the most directly comparable financial measure based on US GAAP, excluding share-based compensation expense, and amortization of share-based compensation capitalized in intangible assets,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EBITDA:</w:t>
      </w:r>
    </w:p>
    <w:p>
      <w:pPr>
        <w:pStyle w:val="TextBody"/>
        <w:bidi w:val="0"/>
        <w:jc w:val="left"/>
        <w:rPr/>
      </w:pPr>
      <w:r>
        <w:rPr/>
        <w:t> </w:t>
      </w:r>
    </w:p>
    <w:tbl>
      <w:tblPr>
        <w:tblW w:w="8695" w:type="dxa"/>
        <w:jc w:val="left"/>
        <w:tblInd w:w="0" w:type="dxa"/>
        <w:tblLayout w:type="fixed"/>
        <w:tblCellMar>
          <w:top w:w="28" w:type="dxa"/>
          <w:left w:w="28" w:type="dxa"/>
          <w:bottom w:w="28" w:type="dxa"/>
          <w:right w:w="28" w:type="dxa"/>
        </w:tblCellMar>
      </w:tblPr>
      <w:tblGrid>
        <w:gridCol w:w="3361"/>
        <w:gridCol w:w="146"/>
        <w:gridCol w:w="218"/>
        <w:gridCol w:w="699"/>
        <w:gridCol w:w="280"/>
        <w:gridCol w:w="150"/>
        <w:gridCol w:w="218"/>
        <w:gridCol w:w="699"/>
        <w:gridCol w:w="271"/>
        <w:gridCol w:w="146"/>
        <w:gridCol w:w="211"/>
        <w:gridCol w:w="676"/>
        <w:gridCol w:w="271"/>
        <w:gridCol w:w="146"/>
        <w:gridCol w:w="211"/>
        <w:gridCol w:w="676"/>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28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316"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28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16"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28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316" w:type="dxa"/>
            <w:tcBorders/>
            <w:shd w:fill="FFFFFF" w:val="cle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28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316"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6" w:type="dxa"/>
            <w:tcBorders/>
            <w:shd w:fill="FFFFFF" w:val="cle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 and others</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6,811</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19,056</w:t>
            </w:r>
          </w:p>
        </w:tc>
        <w:tc>
          <w:tcPr>
            <w:tcW w:w="28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29,306</w:t>
            </w:r>
          </w:p>
        </w:tc>
        <w:tc>
          <w:tcPr>
            <w:tcW w:w="316"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33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net income:</w:t>
      </w:r>
    </w:p>
    <w:p>
      <w:pPr>
        <w:pStyle w:val="TextBody"/>
        <w:bidi w:val="0"/>
        <w:jc w:val="left"/>
        <w:rPr/>
      </w:pPr>
      <w:r>
        <w:rPr/>
        <w:t> </w:t>
      </w:r>
    </w:p>
    <w:tbl>
      <w:tblPr>
        <w:tblW w:w="9872" w:type="dxa"/>
        <w:jc w:val="left"/>
        <w:tblInd w:w="0" w:type="dxa"/>
        <w:tblLayout w:type="fixed"/>
        <w:tblCellMar>
          <w:top w:w="28" w:type="dxa"/>
          <w:left w:w="28" w:type="dxa"/>
          <w:bottom w:w="28" w:type="dxa"/>
          <w:right w:w="28" w:type="dxa"/>
        </w:tblCellMar>
      </w:tblPr>
      <w:tblGrid>
        <w:gridCol w:w="3631"/>
        <w:gridCol w:w="146"/>
        <w:gridCol w:w="211"/>
        <w:gridCol w:w="1036"/>
        <w:gridCol w:w="166"/>
        <w:gridCol w:w="146"/>
        <w:gridCol w:w="211"/>
        <w:gridCol w:w="1036"/>
        <w:gridCol w:w="146"/>
        <w:gridCol w:w="146"/>
        <w:gridCol w:w="211"/>
        <w:gridCol w:w="1036"/>
        <w:gridCol w:w="166"/>
        <w:gridCol w:w="146"/>
        <w:gridCol w:w="211"/>
        <w:gridCol w:w="1036"/>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 except share data)</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91" w:type="dxa"/>
            <w:tcBorders/>
            <w:shd w:fill="CFF0FC" w:val="cle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91" w:type="dxa"/>
            <w:tcBorders/>
            <w:shd w:fill="FFFFFF" w:val="cle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Amortization of share-based compensation </w:t>
              <w:br/>
              <w:t>  capitalized in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91" w:type="dxa"/>
            <w:tcBorders/>
            <w:shd w:fill="CFF0FC" w:val="cle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effect of adjustments</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earnings per share: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13,780,074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13,961,862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13,888,569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13,979,411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14,051,466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14,129,262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14,180,614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tax effect of adjustments is calculated using the expected federal and state statutory tax rate. The expected federal and state income tax rate was approximately 25.75% for the three and six months ended June 30, 2024. There was no tax effect of such adjustments for the three and six months ended June 30, 2023, as a full valuation allowance was provided for the net deferred tax assets.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is a reconciliation of gross profit, the most directly comparable US GAAP financial measure, to adjusted gross profit:</w:t>
      </w:r>
    </w:p>
    <w:tbl>
      <w:tblPr>
        <w:tblW w:w="10205" w:type="dxa"/>
        <w:jc w:val="left"/>
        <w:tblInd w:w="0" w:type="dxa"/>
        <w:tblLayout w:type="fixed"/>
        <w:tblCellMar>
          <w:top w:w="28" w:type="dxa"/>
          <w:left w:w="28" w:type="dxa"/>
          <w:bottom w:w="28" w:type="dxa"/>
          <w:right w:w="28" w:type="dxa"/>
        </w:tblCellMar>
      </w:tblPr>
      <w:tblGrid>
        <w:gridCol w:w="4874"/>
        <w:gridCol w:w="146"/>
        <w:gridCol w:w="217"/>
        <w:gridCol w:w="698"/>
        <w:gridCol w:w="279"/>
        <w:gridCol w:w="149"/>
        <w:gridCol w:w="217"/>
        <w:gridCol w:w="698"/>
        <w:gridCol w:w="271"/>
        <w:gridCol w:w="146"/>
        <w:gridCol w:w="211"/>
        <w:gridCol w:w="676"/>
        <w:gridCol w:w="271"/>
        <w:gridCol w:w="146"/>
        <w:gridCol w:w="211"/>
        <w:gridCol w:w="676"/>
        <w:gridCol w:w="319"/>
      </w:tblGrid>
      <w:tr>
        <w:trPr/>
        <w:tc>
          <w:tcPr>
            <w:tcW w:w="4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8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19,056</w:t>
            </w:r>
          </w:p>
        </w:tc>
        <w:tc>
          <w:tcPr>
            <w:tcW w:w="27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29,306</w:t>
            </w:r>
          </w:p>
        </w:tc>
        <w:tc>
          <w:tcPr>
            <w:tcW w:w="319" w:type="dxa"/>
            <w:tcBorders/>
            <w:shd w:fill="CFF0FC" w:val="clear"/>
            <w:vAlign w:val="center"/>
          </w:tcPr>
          <w:p>
            <w:pPr>
              <w:pStyle w:val="TableContents"/>
              <w:bidi w:val="0"/>
              <w:spacing w:before="0" w:after="283"/>
              <w:jc w:val="left"/>
              <w:rPr/>
            </w:pPr>
            <w:r>
              <w:rPr/>
              <w:t> </w:t>
            </w:r>
          </w:p>
        </w:tc>
      </w:tr>
      <w:tr>
        <w:trPr/>
        <w:tc>
          <w:tcPr>
            <w:tcW w:w="48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w:t>
            </w:r>
          </w:p>
        </w:tc>
        <w:tc>
          <w:tcPr>
            <w:tcW w:w="3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of intangible assets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13,279</w:t>
            </w:r>
          </w:p>
        </w:tc>
        <w:tc>
          <w:tcPr>
            <w:tcW w:w="27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19,034</w:t>
            </w:r>
          </w:p>
        </w:tc>
        <w:tc>
          <w:tcPr>
            <w:tcW w:w="319" w:type="dxa"/>
            <w:tcBorders/>
            <w:shd w:fill="FFFFFF" w:val="clear"/>
            <w:vAlign w:val="center"/>
          </w:tcPr>
          <w:p>
            <w:pPr>
              <w:pStyle w:val="TableContents"/>
              <w:bidi w:val="0"/>
              <w:spacing w:before="0" w:after="283"/>
              <w:jc w:val="left"/>
              <w:rPr/>
            </w:pPr>
            <w:r>
              <w:rPr/>
              <w:t> </w:t>
            </w:r>
          </w:p>
        </w:tc>
      </w:tr>
      <w:tr>
        <w:trPr/>
        <w:tc>
          <w:tcPr>
            <w:tcW w:w="48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of intangible assets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15,601</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22,887</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r>
      <w:tr>
        <w:trPr/>
        <w:tc>
          <w:tcPr>
            <w:tcW w:w="487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margin</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reconciliation of net cash provided by operating activities, the most directly comparable US GAAP financial measure, to FCF:</w:t>
      </w:r>
    </w:p>
    <w:p>
      <w:pPr>
        <w:pStyle w:val="TextBody"/>
        <w:bidi w:val="0"/>
        <w:jc w:val="left"/>
        <w:rPr/>
      </w:pPr>
      <w:r>
        <w:rPr/>
        <w:t> </w:t>
      </w:r>
    </w:p>
    <w:tbl>
      <w:tblPr>
        <w:tblW w:w="8887" w:type="dxa"/>
        <w:jc w:val="left"/>
        <w:tblInd w:w="0" w:type="dxa"/>
        <w:tblLayout w:type="fixed"/>
        <w:tblCellMar>
          <w:top w:w="28" w:type="dxa"/>
          <w:left w:w="28" w:type="dxa"/>
          <w:bottom w:w="28" w:type="dxa"/>
          <w:right w:w="28" w:type="dxa"/>
        </w:tblCellMar>
      </w:tblPr>
      <w:tblGrid>
        <w:gridCol w:w="3886"/>
        <w:gridCol w:w="146"/>
        <w:gridCol w:w="239"/>
        <w:gridCol w:w="716"/>
        <w:gridCol w:w="188"/>
        <w:gridCol w:w="165"/>
        <w:gridCol w:w="239"/>
        <w:gridCol w:w="716"/>
        <w:gridCol w:w="166"/>
        <w:gridCol w:w="146"/>
        <w:gridCol w:w="214"/>
        <w:gridCol w:w="685"/>
        <w:gridCol w:w="168"/>
        <w:gridCol w:w="148"/>
        <w:gridCol w:w="214"/>
        <w:gridCol w:w="640"/>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center"/>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188"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10,022</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211" w:type="dxa"/>
            <w:tcBorders/>
            <w:shd w:fill="CFF0FC" w:val="cle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vAlign w:val="center"/>
          </w:tcPr>
          <w:p>
            <w:pPr>
              <w:pStyle w:val="TableContents"/>
              <w:bidi w:val="0"/>
              <w:spacing w:before="0" w:after="283"/>
              <w:jc w:val="left"/>
              <w:rPr/>
            </w:pPr>
            <w:r>
              <w:rPr/>
              <w:t> </w:t>
            </w:r>
          </w:p>
        </w:tc>
        <w:tc>
          <w:tcPr>
            <w:tcW w:w="955" w:type="dxa"/>
            <w:gridSpan w:val="2"/>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95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99" w:type="dxa"/>
            <w:gridSpan w:val="2"/>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85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excluding share-based compensation expense, and amortization of share-based compensation capitalized in intangible assets, and including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Three months ended June 30, 2024 compared to three months ended June 30, 2023</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Revenue increased $4.4 million or 30% to $19.1 million for the three months ended June 30, 2024 from $14.7 million for the three months ended June 30, 2023. Revenue from new customers increased $0.7 million or 58%, base revenue from existing customers increased $2.4 million or 21%, and growth revenue from existing customers increased $1.3 million or 69%. Our IDI billable customer base grew from 7,497 customers as of June 30, 2023 to 8,477 customers as of June 30, 2024, and our FOREWARN user base grew from 146,537 users to 263,876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pStyle w:val="TextBody"/>
        <w:bidi w:val="0"/>
        <w:spacing w:before="200" w:after="283"/>
        <w:jc w:val="left"/>
        <w:rPr>
          <w:rFonts w:ascii="Times New Roman" w:hAnsi="Times New Roman"/>
          <w:sz w:val="20"/>
        </w:rPr>
      </w:pPr>
      <w:r>
        <w:rPr>
          <w:rFonts w:ascii="Times New Roman" w:hAnsi="Times New Roman"/>
          <w:b/>
          <w:i/>
          <w:color w:val="000000"/>
          <w:sz w:val="20"/>
        </w:rPr>
        <w:t>Cost of revenue (exclusive of depreciation and amortization)</w:t>
      </w:r>
      <w:r>
        <w:rPr>
          <w:rFonts w:ascii="Times New Roman" w:hAnsi="Times New Roman"/>
          <w:color w:val="000000"/>
          <w:sz w:val="20"/>
        </w:rPr>
        <w:t>. Cost of revenue increased $0.3 million or 7% to $3.5 million for the three months ended June 30, 2024 from $3.2 million for the three months ended June 30, 2023.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46% and 48% of our total data acquisition costs for the three months ended June 30, 2024 and 2023, respectively. Other cost of revenue items include expenses related to third-party infrastructure fees and pertinent personnel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the construct of our data costs is primarily a flat-fee, unlimited usage model, the cost of revenue as a percentage of revenue decreased to 18% for the three months ended June 30, 2024 from 22% for the three months ended June 30, 2023. We expect that cost of revenue as a percentage of revenue will continue to decrease over the coming years as our revenue increases. Historically, at scale, the industry business model’s cost of revenue will trend between 15% and 30% as a percentage of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Sales and marketing expenses</w:t>
      </w:r>
      <w:r>
        <w:rPr>
          <w:rFonts w:ascii="Times New Roman" w:hAnsi="Times New Roman"/>
          <w:color w:val="000000"/>
          <w:sz w:val="20"/>
        </w:rPr>
        <w:t>. Sales and marketing expenses increased $1.3 million or 43% to $4.4 million for the three months ended June 30, 2024 from $3.1 million for the three months ended June 30, 2023. Sales and marketing expenses consist of salaries and benefits, advertising and marketing, travel expenses, and share-based compensation expense, incurred by our sales team, and provision for bad debts. The increase during the three months ended June 30, 2024 was primarily attributable to the increase of $1.2 million in salaries and benefits, and sales commission.</w:t>
      </w:r>
    </w:p>
    <w:p>
      <w:pPr>
        <w:pStyle w:val="TextBody"/>
        <w:bidi w:val="0"/>
        <w:spacing w:before="20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General and administrative expenses increased $0.7 million or 13% to $5.8 million for the three months ended June 30, 2024 from $5.1 million for the three months ended June 30, 2023. For the three months ended June 30, 2024 and 2023, our general and administrative expenses consisted primarily of employee salaries and benefits of $2.9 million and $2.6 million, respectively, share-based compensation expense of $1.2 million and $1.2 million, respectively, and professional fees of $1.0 million and $0.8 million, respectively.</w:t>
      </w:r>
    </w:p>
    <w:p>
      <w:pPr>
        <w:pStyle w:val="TextBody"/>
        <w:bidi w:val="0"/>
        <w:spacing w:before="200" w:after="283"/>
        <w:jc w:val="left"/>
        <w:rPr>
          <w:rFonts w:ascii="Times New Roman" w:hAnsi="Times New Roman"/>
          <w:sz w:val="20"/>
        </w:rPr>
      </w:pPr>
      <w:r>
        <w:rPr>
          <w:rFonts w:ascii="Times New Roman" w:hAnsi="Times New Roman"/>
          <w:b/>
          <w:i/>
          <w:color w:val="000000"/>
          <w:sz w:val="20"/>
        </w:rPr>
        <w:t>Depreciation and amortization</w:t>
      </w:r>
      <w:r>
        <w:rPr>
          <w:rFonts w:ascii="Times New Roman" w:hAnsi="Times New Roman"/>
          <w:color w:val="000000"/>
          <w:sz w:val="20"/>
        </w:rPr>
        <w:t>. Depreciation and amortization expenses increased $0.3 million or 16% to $2.4 million for the three months ended June 30, 2024 from $2.1 million for the three months ended June 30, 2023. The increase in depreciation and amortization for the three months ended June 30, 2024 resulted primarily from the amortization of software developed for internal use that became ready for its intended use after June 30, 2023.</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income, net</w:t>
      </w:r>
      <w:r>
        <w:rPr>
          <w:rFonts w:ascii="Times New Roman" w:hAnsi="Times New Roman"/>
          <w:color w:val="000000"/>
          <w:sz w:val="20"/>
        </w:rPr>
        <w:t>. Interest income, net remained consistent at $0.3 million for the three months ended June 30, 2024 and 2023. This was primarily due to interest income earned on investments in certain money market funds.</w:t>
      </w:r>
    </w:p>
    <w:p>
      <w:pPr>
        <w:pStyle w:val="TextBody"/>
        <w:bidi w:val="0"/>
        <w:spacing w:before="200" w:after="283"/>
        <w:jc w:val="left"/>
        <w:rPr>
          <w:rFonts w:ascii="Times New Roman" w:hAnsi="Times New Roman"/>
          <w:sz w:val="20"/>
        </w:rPr>
      </w:pPr>
      <w:r>
        <w:rPr>
          <w:rFonts w:ascii="Times New Roman" w:hAnsi="Times New Roman"/>
          <w:b/>
          <w:i/>
          <w:color w:val="000000"/>
          <w:sz w:val="20"/>
        </w:rPr>
        <w:t>Income before income taxes</w:t>
      </w:r>
      <w:r>
        <w:rPr>
          <w:rFonts w:ascii="Times New Roman" w:hAnsi="Times New Roman"/>
          <w:color w:val="000000"/>
          <w:sz w:val="20"/>
        </w:rPr>
        <w:t>. Income before income taxes increased $1.9 million or 118% to $3.4 million for the three months ended June 30, 2024 from $1.5 million for the three months ended June 30, 2023. The increase was primarily attributable to the increase in revenue, and decrease in our cost of revenue as a percentage of revenue, which was partially offset by the increase in employee salaries and benefits and sales commissions of $1.5 million, professional fees of $0.2 million, and depreciation and amortization of $0.3 million.</w:t>
      </w:r>
    </w:p>
    <w:p>
      <w:pPr>
        <w:pStyle w:val="TextBody"/>
        <w:bidi w:val="0"/>
        <w:spacing w:before="20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Income tax expense of $0.7 million and $0.2 million was recognized for the three months ended June 30, 2024 and 2023, respectively. A valuation allowance on the deferred tax assets was recognized as of June 30, 2023 to reduce the deferred tax assets to the amount that is more likely than not to be realized. Beginning from the three months ended September 30, 2023, the Company released the valuation allowance as the Company concluded that the realization of the deferred tax assets is more likely than not. See Note 6, “Income taxes,” included in “Notes to Condensed Consolidated Financial Statements.”</w:t>
      </w:r>
    </w:p>
    <w:p>
      <w:pPr>
        <w:pStyle w:val="TextBody"/>
        <w:bidi w:val="0"/>
        <w:spacing w:before="200" w:after="283"/>
        <w:jc w:val="left"/>
        <w:rPr>
          <w:rFonts w:ascii="Times New Roman" w:hAnsi="Times New Roman"/>
          <w:sz w:val="20"/>
        </w:rPr>
      </w:pPr>
      <w:r>
        <w:rPr>
          <w:rFonts w:ascii="Times New Roman" w:hAnsi="Times New Roman"/>
          <w:b/>
          <w:i/>
          <w:color w:val="000000"/>
          <w:sz w:val="20"/>
        </w:rPr>
        <w:t>Net income</w:t>
      </w:r>
      <w:r>
        <w:rPr>
          <w:rFonts w:ascii="Times New Roman" w:hAnsi="Times New Roman"/>
          <w:color w:val="000000"/>
          <w:sz w:val="20"/>
        </w:rPr>
        <w:t>. Net income was $2.6 million for the three months ended June 30, 2024 compared to $1.4 million for the three months ended June 30, 2023, as a result of the foregoing.</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Six months ended June 30, 2024 compared to six months ended June 30, 2023</w:t>
      </w:r>
    </w:p>
    <w:p>
      <w:pPr>
        <w:pStyle w:val="TextBody"/>
        <w:bidi w:val="0"/>
        <w:spacing w:before="20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Revenue increased $7.3 million or 25% to $36.6 million for the six months ended June 30, 2024 from $29.3 million for the six months ended June 30, 2023. Revenue from new customers increased $0.4 million or 14%, base revenue from existing customers increased $4.6 million or 20%, and growth revenue from existing customers increased $2.3 million or 66%. Our IDI billable customer base grew from 7,497 customers as of June 30, 2023 to 8,477 customers as of June 30, 2024, and our FOREWARN user base grew from 146,537 users to 263,876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pStyle w:val="TextBody"/>
        <w:bidi w:val="0"/>
        <w:spacing w:before="200" w:after="283"/>
        <w:jc w:val="left"/>
        <w:rPr>
          <w:rFonts w:ascii="Times New Roman" w:hAnsi="Times New Roman"/>
          <w:sz w:val="20"/>
        </w:rPr>
      </w:pPr>
      <w:r>
        <w:rPr>
          <w:rFonts w:ascii="Times New Roman" w:hAnsi="Times New Roman"/>
          <w:b/>
          <w:i/>
          <w:color w:val="000000"/>
          <w:sz w:val="20"/>
        </w:rPr>
        <w:t>Cost of revenue (exclusive of depreciation and amortization)</w:t>
      </w:r>
      <w:r>
        <w:rPr>
          <w:rFonts w:ascii="Times New Roman" w:hAnsi="Times New Roman"/>
          <w:color w:val="000000"/>
          <w:sz w:val="20"/>
        </w:rPr>
        <w:t>. Cost of revenue increased $0.8 million or 12% to $7.2 million for the six months ended June 30, 2024 from $6.4 million for the six months ended June 30, 2023.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44% and 48% of our total data acquisition costs for the six months ended June 30, 2024 and 2023, respectively. Other cost of revenue items include expenses related to third-party infrastructure fees and pertinent personnel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the construct of our data costs is primarily a flat-fee, unlimited usage model, the cost of revenue as a percentage of revenue decreased to 20% for the six months ended June 30, 2024 from 22% for the six months ended June 30, 2023. We expect that cost of revenue as a percentage of revenue will continue to decrease over the coming years as our revenue increases. Historically, at scale, the industry business model’s cost of revenue will trend between 15% and 30% as a percentage of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Sales and marketing expenses</w:t>
      </w:r>
      <w:r>
        <w:rPr>
          <w:rFonts w:ascii="Times New Roman" w:hAnsi="Times New Roman"/>
          <w:color w:val="000000"/>
          <w:sz w:val="20"/>
        </w:rPr>
        <w:t>. Sales and marketing expenses increased $1.1 million or 17% to $8.1 million for the six months ended June 30, 2024 from $7.0 million for the six months ended June 30, 2023. Sales and marketing expenses consist of salaries and benefits, advertising and marketing, travel expenses, and share-based compensation expense, incurred by our sales team, and provision for bad debts. The increase during the six months ended June 30, 2024 was primarily attributable to the increase of $1.5 million in salaries and benefits, and sales commission, which was offset by the decrease of $0.6 million in provision for bad debts.</w:t>
      </w:r>
    </w:p>
    <w:p>
      <w:pPr>
        <w:pStyle w:val="TextBody"/>
        <w:bidi w:val="0"/>
        <w:spacing w:before="20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General and administrative expenses increased $1.2 million or 12% to $11.5 million for the six months ended June 30, 2024 from $10.3 million for the six months ended June 30, 2023. For the six months ended June 30, 2024 and 2023, our general and administrative expenses consisted primarily of employee salaries and benefits of $5.6 million and $5.3 million, respectively, share-based compensation expense of $2.5 million and $2.5 million, respectively, and professional fees of $2.2 million and $1.4 million, respectively.</w:t>
      </w:r>
    </w:p>
    <w:p>
      <w:pPr>
        <w:pStyle w:val="TextBody"/>
        <w:bidi w:val="0"/>
        <w:spacing w:before="200" w:after="283"/>
        <w:jc w:val="left"/>
        <w:rPr>
          <w:rFonts w:ascii="Times New Roman" w:hAnsi="Times New Roman"/>
          <w:sz w:val="20"/>
        </w:rPr>
      </w:pPr>
      <w:r>
        <w:rPr>
          <w:rFonts w:ascii="Times New Roman" w:hAnsi="Times New Roman"/>
          <w:b/>
          <w:i/>
          <w:color w:val="000000"/>
          <w:sz w:val="20"/>
        </w:rPr>
        <w:t>Depreciation and amortization</w:t>
      </w:r>
      <w:r>
        <w:rPr>
          <w:rFonts w:ascii="Times New Roman" w:hAnsi="Times New Roman"/>
          <w:color w:val="000000"/>
          <w:sz w:val="20"/>
        </w:rPr>
        <w:t>. Depreciation and amortization expenses increased $0.6 million or 17% to $4.6 million for the six months ended June 30, 2024 from $4.0 million for the six months ended June 30, 2023. The increase in depreciation and amortization for the six months ended June 30, 2024 resulted primarily from the amortization of software developed for internal use that became ready for its intended use after June 30, 2023.</w:t>
      </w:r>
    </w:p>
    <w:p>
      <w:pPr>
        <w:pStyle w:val="TextBody"/>
        <w:bidi w:val="0"/>
        <w:spacing w:before="200" w:after="283"/>
        <w:jc w:val="left"/>
        <w:rPr>
          <w:rFonts w:ascii="Times New Roman" w:hAnsi="Times New Roman"/>
          <w:sz w:val="20"/>
        </w:rPr>
      </w:pPr>
      <w:r>
        <w:rPr>
          <w:rFonts w:ascii="Times New Roman" w:hAnsi="Times New Roman"/>
          <w:b/>
          <w:i/>
          <w:color w:val="000000"/>
          <w:sz w:val="20"/>
        </w:rPr>
        <w:t>Interest income, net</w:t>
      </w:r>
      <w:r>
        <w:rPr>
          <w:rFonts w:ascii="Times New Roman" w:hAnsi="Times New Roman"/>
          <w:color w:val="000000"/>
          <w:sz w:val="20"/>
        </w:rPr>
        <w:t>. Interest income, net increased $0.1 million or 13% to $0.7 million for the six months ended June 30, 2024 from $0.6 million for the six months ended June 30, 2023. This was primarily due to interest income earned on investments in certain money market funds.</w:t>
      </w:r>
    </w:p>
    <w:p>
      <w:pPr>
        <w:pStyle w:val="TextBody"/>
        <w:bidi w:val="0"/>
        <w:spacing w:before="200" w:after="283"/>
        <w:jc w:val="left"/>
        <w:rPr>
          <w:rFonts w:ascii="Times New Roman" w:hAnsi="Times New Roman"/>
          <w:sz w:val="20"/>
        </w:rPr>
      </w:pPr>
      <w:r>
        <w:rPr>
          <w:rFonts w:ascii="Times New Roman" w:hAnsi="Times New Roman"/>
          <w:b/>
          <w:i/>
          <w:color w:val="000000"/>
          <w:sz w:val="20"/>
        </w:rPr>
        <w:t>Income before income taxes</w:t>
      </w:r>
      <w:r>
        <w:rPr>
          <w:rFonts w:ascii="Times New Roman" w:hAnsi="Times New Roman"/>
          <w:color w:val="000000"/>
          <w:sz w:val="20"/>
        </w:rPr>
        <w:t>. Income before income taxes increased $3.5 million or 156% to $5.7 million for the six months ended June 30, 2024 from $2.2 million for the six months ended June 30, 2023. The increase was primarily attributable to the increase in revenue, decrease in our cost of revenue as a percentage of revenue, and decrease in provision for bad debts of $0.6 million, which was partially offset by the increase in employee salaries and benefits and sales commissions of $1.8 million, professional fees of $0.8 million, and depreciation and amortization of $0.6 million.</w:t>
      </w:r>
    </w:p>
    <w:p>
      <w:pPr>
        <w:pStyle w:val="TextBody"/>
        <w:bidi w:val="0"/>
        <w:spacing w:before="20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Income tax expense of $1.3 million and $0.1 million was recognized for the six months ended June 30, 2024 and 2023, respectively. A valuation allowance on the deferred tax assets was recognized as of June 30, 2023 to reduce the deferred tax assets to the amount that is more likely than not to be realized. Beginning from the three months ended September 30, 2023, the Company released the valuation allowance as the Company concluded that the realization of the deferred tax assets is more likely than not. See Note 6, “Income taxes,” included in “Notes to Condensed Consolidated Financial Statements.”</w:t>
      </w:r>
    </w:p>
    <w:p>
      <w:pPr>
        <w:pStyle w:val="TextBody"/>
        <w:bidi w:val="0"/>
        <w:spacing w:before="200" w:after="283"/>
        <w:jc w:val="left"/>
        <w:rPr>
          <w:rFonts w:ascii="Times New Roman" w:hAnsi="Times New Roman"/>
          <w:sz w:val="20"/>
        </w:rPr>
      </w:pPr>
      <w:r>
        <w:rPr>
          <w:rFonts w:ascii="Times New Roman" w:hAnsi="Times New Roman"/>
          <w:b/>
          <w:i/>
          <w:color w:val="000000"/>
          <w:sz w:val="20"/>
        </w:rPr>
        <w:t>Net income</w:t>
      </w:r>
      <w:r>
        <w:rPr>
          <w:rFonts w:ascii="Times New Roman" w:hAnsi="Times New Roman"/>
          <w:color w:val="000000"/>
          <w:sz w:val="20"/>
        </w:rPr>
        <w:t>. Net income was $4.4 million for the six months ended June 30, 2024 compared to $2.1 million for the six months ended June 30, 2023, as a result of the foregoing.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Effect of Inflation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that the persistent inflationary pressure throughout 2023 and up to June 30, 2024 has contributed to deteriorating macroeconomic conditions and increased recession fears, causing businesses to slow their spending over the last several months, which have resulted, and may continue to result, in fluctuations in volumes, pricing and operating margins for our services. Also, higher interest rates imposed to combat inflation, may reduce the demand for credit, which may lead to a decline in the volume of services we provide to our customers in the banking or financial industry, or other industries that are affected by these types of disruptions. However, the rates of inflation experienced in recent years have had no material impact on our financial statements as we have attempted to recover increased costs by increasing prices for our services, to the extent permitted by contracts and competition.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sz w:val="20"/>
        </w:rPr>
      </w:pPr>
      <w:r>
        <w:rPr>
          <w:rFonts w:ascii="Times New Roman" w:hAnsi="Times New Roman"/>
          <w:i/>
          <w:color w:val="000000"/>
          <w:sz w:val="20"/>
        </w:rPr>
        <w:t>Cash flows provided by operating activities</w:t>
      </w:r>
      <w:r>
        <w:rPr>
          <w:rFonts w:ascii="Times New Roman" w:hAnsi="Times New Roman"/>
          <w:color w:val="000000"/>
          <w:sz w:val="20"/>
        </w:rPr>
        <w:t>. For the six months ended June 30, 2024, net cash provided by operating activities was $10.0 million, primarily the result of the net income of $4.4 million, adjusted for certain non-cash items (consisting of share-based compensation expense, depreciation and amortization, provision for bad debts, noncash lease expenses, and deferred income tax expense) totaling $9.0 million, and the cash used as a result of changes in assets and liabilities of $3.4 million, primarily the result of the increase in accounts receivable, prepaid expenses and other current assets, and other noncurrent assets, and the decrease in accrued expenses and other current liabilities, and operating lease liabilities, which was partially offset by the increase in accounts payable. For the six months ended June 30, 2023, net cash provided by operating activities was $5.1 million, primarily the result of the net income of $2.1 million, adjusted for certain non-cash items, primarily as mentioned above, totaling $7.9 million, and the cash used as a result of changes in assets and liabilities of $4.9 million, primarily the result of the increase in accounts receivable, and prepaid expenses and other current assets, and the decrease in accounts payable, accrued expenses and other current liabilities, and operating lease liabilities.</w:t>
      </w:r>
    </w:p>
    <w:p>
      <w:pPr>
        <w:pStyle w:val="TextBody"/>
        <w:bidi w:val="0"/>
        <w:spacing w:before="200" w:after="283"/>
        <w:jc w:val="left"/>
        <w:rPr>
          <w:rFonts w:ascii="Times New Roman" w:hAnsi="Times New Roman"/>
          <w:sz w:val="20"/>
        </w:rPr>
      </w:pPr>
      <w:r>
        <w:rPr>
          <w:rFonts w:ascii="Times New Roman" w:hAnsi="Times New Roman"/>
          <w:i/>
          <w:color w:val="000000"/>
          <w:sz w:val="20"/>
        </w:rPr>
        <w:t>Cash flows used in investing activities</w:t>
      </w:r>
      <w:r>
        <w:rPr>
          <w:rFonts w:ascii="Times New Roman" w:hAnsi="Times New Roman"/>
          <w:color w:val="000000"/>
          <w:sz w:val="20"/>
        </w:rPr>
        <w:t>. For the six months ended June 30, 2024 and 2023, net cash used in investing activities was $4.9 million and $4.6 million, respectively, primarily as a result of capitalized costs included in intangible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Cash flows used in financing activities</w:t>
      </w:r>
      <w:r>
        <w:rPr>
          <w:rFonts w:ascii="Times New Roman" w:hAnsi="Times New Roman"/>
          <w:color w:val="000000"/>
          <w:sz w:val="20"/>
        </w:rPr>
        <w:t>. For the six months ended June 30, 2024, net cash used in financing activities was $6.3 million, resulting from the taxes paid related to the net share settlement of vesting of RSUs of $0.4 million, and the result of $5.9 million paid in aggregate for the repurchase of common stock pursuant to a stock repurchase program that the board of directors authorized on May 2, 2022 (the "Stock Repurchase Program"), authorizing the repurchase of up to $5.0 million of our common stock. Subsequently on each of December 19, 2023 and March 28, 2024, the board of directors approved the repurchases of an additional $5.0 million of our common stock under the Stock Repurchase Program. For the six months ended June 30, 2023, net cash used in financing activities was $1.0 million, mainly the result of $0.9 million paid in aggregate for the repurchase of common stock pursuant to the Stock Repurchase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2024, we had material commitments under certain data licensing agreements of $17.9 million. We anticipate funding our operations using available cash and cash flow generated from operations within the next twelve months.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reported net income of $2.6 million and $1.4 million for the three months ended June 30, 2024 and 2023, respectively, and net income of $4.4 million and $2.1 million for the six months ended June 30, 2024 and 2023, respectively. As of June 30, 2024, we had a total shareholders’ equity balance of $88.0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2024, we had cash and cash equivalents of approximately $30.9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Subject to revenue growth and our ability to generate positive cash flow, we may have to raise capital through the issuance of additional equity and/or debt, which, if we are able to obtain, could have the effect of diluting stockholders. Any equity or debt financings, if available at all, may be on terms which are not favorable to us.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2024, we did not have any off-balance sheet arrangements, as defined in Item 303 of Regulation S-K.</w:t>
      </w:r>
    </w:p>
    <w:p>
      <w:pPr>
        <w:pStyle w:val="TextBody"/>
        <w:bidi w:val="0"/>
        <w:spacing w:before="20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smaller reporting company as defined in Rule 12b-2 of the Exchange Act, we are not required to include information required by this item.</w:t>
      </w:r>
    </w:p>
    <w:p>
      <w:pPr>
        <w:pStyle w:val="TextBody"/>
        <w:bidi w:val="0"/>
        <w:spacing w:before="20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with the participation of the Company’s Chief Executive Officer and Chief Financial Officer, evaluated the effectiveness of the Company’s disclosure controls and procedures (as defined in Rules 13a-15(e) and 15d–15(e) of the Exchange Act) as of June 30, 2024.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 evaluation of disclosure controls and procedures (as defined in Rules 13a-15(e) and 15d-15(e) of the Exchange Act), the Company’s Chief Executive Officer and Chief Financial Officer concluded that the Company’s disclosure controls and procedures were effective as of June 30, 2024.</w:t>
      </w:r>
    </w:p>
    <w:p>
      <w:pPr>
        <w:pStyle w:val="TextBody"/>
        <w:bidi w:val="0"/>
        <w:spacing w:before="20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were no changes in the Company’s internal control over financial reporting identified in connection with management's evaluation pursuant to Rules 13a-15(d) or 15d-15(d) of the Exchange Act during the quarter ended June 30, 2024 that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Limitations on Effectiveness of Controls and Procedures and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part_ii_or_information"/>
      <w:bookmarkEnd w:id="13"/>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left"/>
        <w:rPr>
          <w:rFonts w:ascii="Times New Roman" w:hAnsi="Times New Roman"/>
          <w:sz w:val="20"/>
        </w:rPr>
      </w:pPr>
      <w:r>
        <w:rPr>
          <w:rFonts w:ascii="Times New Roman" w:hAnsi="Times New Roman"/>
          <w:color w:val="000000"/>
          <w:sz w:val="20"/>
        </w:rPr>
        <w:t>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We review legal proceedings and claims on an ongoing basis and follow appropriate accounting guidance, including Accounting Standards Codification 450, “</w:t>
      </w:r>
      <w:r>
        <w:rPr>
          <w:rFonts w:ascii="Times New Roman" w:hAnsi="Times New Roman"/>
          <w:i/>
          <w:color w:val="000000"/>
          <w:sz w:val="20"/>
        </w:rPr>
        <w:t>Contingencies</w:t>
      </w:r>
      <w:r>
        <w:rPr>
          <w:rFonts w:ascii="Times New Roman" w:hAnsi="Times New Roman"/>
          <w:color w:val="000000"/>
          <w:sz w:val="20"/>
        </w:rPr>
        <w:t>,”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foregoing, 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material changes to the risk factors previously disclosed in the Company’s Annual Report on Form 10-K for the year ended December 31, 2023 filed with the SEC on March 7, 2024.</w:t>
      </w:r>
    </w:p>
    <w:p>
      <w:pPr>
        <w:pStyle w:val="TextBody"/>
        <w:bidi w:val="0"/>
        <w:spacing w:before="20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information relating to the Company's repurchase of common stock during the three months ended June 30, 2024 pursuant to the Stock Repurchase Program: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0"/>
        <w:gridCol w:w="146"/>
        <w:gridCol w:w="238"/>
        <w:gridCol w:w="1108"/>
        <w:gridCol w:w="146"/>
        <w:gridCol w:w="146"/>
        <w:gridCol w:w="332"/>
        <w:gridCol w:w="901"/>
        <w:gridCol w:w="146"/>
        <w:gridCol w:w="146"/>
        <w:gridCol w:w="429"/>
        <w:gridCol w:w="1995"/>
        <w:gridCol w:w="146"/>
        <w:gridCol w:w="146"/>
        <w:gridCol w:w="514"/>
        <w:gridCol w:w="2271"/>
        <w:gridCol w:w="195"/>
      </w:tblGrid>
      <w:tr>
        <w:trPr/>
        <w:tc>
          <w:tcPr>
            <w:tcW w:w="1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price paid per 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2024 - April 30, 2024</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11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pPr>
            <w:r>
              <w:rPr/>
              <w:t> </w:t>
            </w:r>
          </w:p>
        </w:tc>
        <w:tc>
          <w:tcPr>
            <w:tcW w:w="19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4,593,884</w:t>
            </w:r>
          </w:p>
        </w:tc>
        <w:tc>
          <w:tcPr>
            <w:tcW w:w="195" w:type="dxa"/>
            <w:tcBorders/>
            <w:shd w:fill="CFF0FC" w:val="clear"/>
            <w:vAlign w:val="center"/>
          </w:tcPr>
          <w:p>
            <w:pPr>
              <w:pStyle w:val="TableContents"/>
              <w:bidi w:val="0"/>
              <w:spacing w:before="0" w:after="283"/>
              <w:jc w:val="left"/>
              <w:rPr/>
            </w:pPr>
            <w:r>
              <w:rPr/>
              <w:t> </w:t>
            </w:r>
          </w:p>
        </w:tc>
      </w:tr>
      <w:tr>
        <w:trPr/>
        <w:tc>
          <w:tcPr>
            <w:tcW w:w="12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2024 - May 31, 2024</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1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4,576,646</w:t>
            </w:r>
          </w:p>
        </w:tc>
        <w:tc>
          <w:tcPr>
            <w:tcW w:w="195" w:type="dxa"/>
            <w:tcBorders/>
            <w:shd w:fill="FFFFFF" w:val="clear"/>
            <w:vAlign w:val="center"/>
          </w:tcPr>
          <w:p>
            <w:pPr>
              <w:pStyle w:val="TableContents"/>
              <w:bidi w:val="0"/>
              <w:spacing w:before="0" w:after="283"/>
              <w:jc w:val="left"/>
              <w:rPr/>
            </w:pPr>
            <w:r>
              <w:rPr/>
              <w:t> </w:t>
            </w:r>
          </w:p>
        </w:tc>
      </w:tr>
      <w:tr>
        <w:trPr/>
        <w:tc>
          <w:tcPr>
            <w:tcW w:w="12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2024 - June 30, 2024</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4,576,646</w:t>
            </w:r>
          </w:p>
        </w:tc>
        <w:tc>
          <w:tcPr>
            <w:tcW w:w="195" w:type="dxa"/>
            <w:tcBorders/>
            <w:shd w:fill="CFF0FC" w:val="clear"/>
            <w:vAlign w:val="center"/>
          </w:tcPr>
          <w:p>
            <w:pPr>
              <w:pStyle w:val="TableContents"/>
              <w:bidi w:val="0"/>
              <w:spacing w:before="0" w:after="283"/>
              <w:jc w:val="left"/>
              <w:rPr/>
            </w:pPr>
            <w:r>
              <w:rPr/>
              <w:t> </w:t>
            </w:r>
          </w:p>
        </w:tc>
      </w:tr>
      <w:tr>
        <w:trPr/>
        <w:tc>
          <w:tcPr>
            <w:tcW w:w="12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5"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Exclusive of commission fees incurred in relation to the repurchase of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2, 2022, the board of directors of the Company authorized the Stock Repurchase Program to repurchase the Company's common stock from time to time, which was subsequently amended on each of December 19, 2023 and March 28, 2024. The Stock Repurchase Program does not obligate the Company to repurchase any shares and it may be modified, suspended, or terminated at any time and for any reason at the discretion of the board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in the table above.</w:t>
      </w:r>
    </w:p>
    <w:p>
      <w:pPr>
        <w:pStyle w:val="TextBody"/>
        <w:bidi w:val="0"/>
        <w:spacing w:before="20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9"/>
        <w:gridCol w:w="146"/>
        <w:gridCol w:w="6031"/>
        <w:gridCol w:w="146"/>
        <w:gridCol w:w="421"/>
        <w:gridCol w:w="146"/>
        <w:gridCol w:w="409"/>
        <w:gridCol w:w="146"/>
        <w:gridCol w:w="556"/>
        <w:gridCol w:w="146"/>
        <w:gridCol w:w="570"/>
        <w:gridCol w:w="146"/>
        <w:gridCol w:w="693"/>
      </w:tblGrid>
      <w:tr>
        <w:trPr/>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6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4"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w:t>
            </w:r>
          </w:p>
        </w:tc>
      </w:tr>
      <w:tr>
        <w:trPr/>
        <w:tc>
          <w:tcPr>
            <w:tcW w:w="64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Herewith</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1_1.htm">
              <w:r>
                <w:rPr>
                  <w:rStyle w:val="InternetLink"/>
                  <w:rFonts w:ascii="Times New Roman" w:hAnsi="Times New Roman"/>
                  <w:color w:val="0000FF"/>
                  <w:sz w:val="16"/>
                  <w:u w:val="single"/>
                </w:rPr>
                <w:t>Certification of Chief Executive Officer filed pursuant to Exchange Act Rules 13a-14(a) and 15d-14(a) of the Securities Exchange Act of 1934 as adopted pursuant to Section 302 of the Sarbanes-Oxley Act of 2002</w:t>
              </w:r>
            </w:hyperlink>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1_2.htm">
              <w:r>
                <w:rPr>
                  <w:rStyle w:val="InternetLink"/>
                  <w:rFonts w:ascii="Times New Roman" w:hAnsi="Times New Roman"/>
                  <w:color w:val="0000FF"/>
                  <w:sz w:val="16"/>
                  <w:u w:val="single"/>
                </w:rPr>
                <w:t>Certification of Chief Financial Officer filed pursuant to Exchange Act Rules 13a-14(a) and 15d-14(a) of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2_1.htm">
              <w:r>
                <w:rPr>
                  <w:rStyle w:val="InternetLink"/>
                  <w:rFonts w:ascii="Times New Roman" w:hAnsi="Times New Roman"/>
                  <w:color w:val="0000FF"/>
                  <w:sz w:val="16"/>
                  <w:u w:val="single"/>
                </w:rPr>
                <w:t>Certification by Chief Executive Officer pursuant to 18 U.S.C. Section 1350, as adopted pursuant to Section 906 of the Sarbanes-Oxley Act of 2002</w:t>
              </w:r>
            </w:hyperlink>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pPr>
            <w:hyperlink w:anchor="rdvt-ex32_2.htm">
              <w:r>
                <w:rPr>
                  <w:rStyle w:val="InternetLink"/>
                  <w:rFonts w:ascii="Times New Roman" w:hAnsi="Times New Roman"/>
                  <w:color w:val="0000FF"/>
                  <w:sz w:val="16"/>
                  <w:u w:val="single"/>
                </w:rPr>
                <w:t>Certification by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830" w:type="dxa"/>
        <w:jc w:val="left"/>
        <w:tblInd w:w="0" w:type="dxa"/>
        <w:tblLayout w:type="fixed"/>
        <w:tblCellMar>
          <w:top w:w="28" w:type="dxa"/>
          <w:left w:w="28" w:type="dxa"/>
          <w:bottom w:w="28" w:type="dxa"/>
          <w:right w:w="28" w:type="dxa"/>
        </w:tblCellMar>
      </w:tblPr>
      <w:tblGrid>
        <w:gridCol w:w="1366"/>
        <w:gridCol w:w="146"/>
        <w:gridCol w:w="406"/>
        <w:gridCol w:w="146"/>
        <w:gridCol w:w="376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August 7,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ind w:left="0" w:right="0" w:firstLine="108"/>
              <w:jc w:val="left"/>
              <w:rPr>
                <w:rFonts w:ascii="Times New Roman" w:hAnsi="Times New Roman"/>
                <w:b/>
                <w:color w:val="000000"/>
                <w:sz w:val="20"/>
              </w:rPr>
            </w:pPr>
            <w:r>
              <w:rPr>
                <w:rFonts w:ascii="Times New Roman" w:hAnsi="Times New Roman"/>
                <w:b/>
                <w:color w:val="000000"/>
                <w:sz w:val="20"/>
              </w:rPr>
              <w:t>Red Violet, Inc.</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bookmarkStart w:id="22" w:name="rdvt-ex31_1.htm"/>
      <w:bookmarkStart w:id="23" w:name="ksrdvt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Derek Dubner,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Red Violet,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94" w:type="dxa"/>
        <w:jc w:val="left"/>
        <w:tblInd w:w="0" w:type="dxa"/>
        <w:tblLayout w:type="fixed"/>
        <w:tblCellMar>
          <w:top w:w="28" w:type="dxa"/>
          <w:left w:w="28" w:type="dxa"/>
          <w:bottom w:w="28" w:type="dxa"/>
          <w:right w:w="28" w:type="dxa"/>
        </w:tblCellMar>
      </w:tblPr>
      <w:tblGrid>
        <w:gridCol w:w="1366"/>
        <w:gridCol w:w="406"/>
        <w:gridCol w:w="146"/>
        <w:gridCol w:w="2476"/>
      </w:tblGrid>
      <w:tr>
        <w:trPr/>
        <w:tc>
          <w:tcPr>
            <w:tcW w:w="13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Derek Dubner</w:t>
            </w:r>
          </w:p>
        </w:tc>
      </w:tr>
      <w:tr>
        <w:trPr/>
        <w:tc>
          <w:tcPr>
            <w:tcW w:w="136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36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rdvt-ex31_2.htm"/>
      <w:bookmarkStart w:id="25" w:name="ksrdvt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Daniel MacLachlan,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Red Violet,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84" w:type="dxa"/>
        <w:jc w:val="left"/>
        <w:tblInd w:w="0" w:type="dxa"/>
        <w:tblLayout w:type="fixed"/>
        <w:tblCellMar>
          <w:top w:w="28" w:type="dxa"/>
          <w:left w:w="28" w:type="dxa"/>
          <w:bottom w:w="28" w:type="dxa"/>
          <w:right w:w="28" w:type="dxa"/>
        </w:tblCellMar>
      </w:tblPr>
      <w:tblGrid>
        <w:gridCol w:w="1366"/>
        <w:gridCol w:w="406"/>
        <w:gridCol w:w="146"/>
        <w:gridCol w:w="3766"/>
      </w:tblGrid>
      <w:tr>
        <w:trPr/>
        <w:tc>
          <w:tcPr>
            <w:tcW w:w="13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36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36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rdvt-ex32_1.htm"/>
      <w:bookmarkStart w:id="27" w:name="ksrdvt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Red Violet, Inc. for the quarter ended June 30, 2024 (the “Report”), the undersigned hereby certifies pursuant to 18 U.S.C. Section 1350, as adopted pursuant to Section 906 of the Sarbanes-Oxley Act of 2002, to my knowledge and belief,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Red Violet, Inc.</w:t>
      </w:r>
    </w:p>
    <w:p>
      <w:pPr>
        <w:pStyle w:val="TextBody"/>
        <w:bidi w:val="0"/>
        <w:jc w:val="left"/>
        <w:rPr/>
      </w:pPr>
      <w:r>
        <w:rPr/>
        <w:t> </w:t>
      </w:r>
    </w:p>
    <w:tbl>
      <w:tblPr>
        <w:tblW w:w="4394" w:type="dxa"/>
        <w:jc w:val="left"/>
        <w:tblInd w:w="0" w:type="dxa"/>
        <w:tblLayout w:type="fixed"/>
        <w:tblCellMar>
          <w:top w:w="28" w:type="dxa"/>
          <w:left w:w="28" w:type="dxa"/>
          <w:bottom w:w="28" w:type="dxa"/>
          <w:right w:w="28" w:type="dxa"/>
        </w:tblCellMar>
      </w:tblPr>
      <w:tblGrid>
        <w:gridCol w:w="1366"/>
        <w:gridCol w:w="406"/>
        <w:gridCol w:w="146"/>
        <w:gridCol w:w="2476"/>
      </w:tblGrid>
      <w:tr>
        <w:trPr/>
        <w:tc>
          <w:tcPr>
            <w:tcW w:w="13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Derek Dubner</w:t>
            </w:r>
          </w:p>
        </w:tc>
      </w:tr>
      <w:tr>
        <w:trPr/>
        <w:tc>
          <w:tcPr>
            <w:tcW w:w="136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36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36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rdvt-ex32_2.htm"/>
      <w:bookmarkStart w:id="29" w:name="ksrdvtex32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on Form 10-Q of Red Violet, Inc. for the quarter ended June 30, 2024 (the “Report”), the undersigned hereby certifies pursuant to 18 U.S.C. Section 1350, as adopted pursuant to Section 906 of the Sarbanes-Oxley Act of 2002, to my knowledge and belief,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Red Violet, Inc.</w:t>
      </w:r>
    </w:p>
    <w:p>
      <w:pPr>
        <w:pStyle w:val="TextBody"/>
        <w:bidi w:val="0"/>
        <w:jc w:val="left"/>
        <w:rPr/>
      </w:pPr>
      <w:r>
        <w:rPr/>
        <w:t> </w:t>
      </w:r>
    </w:p>
    <w:tbl>
      <w:tblPr>
        <w:tblW w:w="5684" w:type="dxa"/>
        <w:jc w:val="left"/>
        <w:tblInd w:w="0" w:type="dxa"/>
        <w:tblLayout w:type="fixed"/>
        <w:tblCellMar>
          <w:top w:w="28" w:type="dxa"/>
          <w:left w:w="28" w:type="dxa"/>
          <w:bottom w:w="28" w:type="dxa"/>
          <w:right w:w="28" w:type="dxa"/>
        </w:tblCellMar>
      </w:tblPr>
      <w:tblGrid>
        <w:gridCol w:w="1366"/>
        <w:gridCol w:w="406"/>
        <w:gridCol w:w="146"/>
        <w:gridCol w:w="3766"/>
      </w:tblGrid>
      <w:tr>
        <w:trPr/>
        <w:tc>
          <w:tcPr>
            <w:tcW w:w="13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MacLachlan</w:t>
            </w:r>
          </w:p>
        </w:tc>
      </w:tr>
      <w:tr>
        <w:trPr/>
        <w:tc>
          <w:tcPr>
            <w:tcW w:w="136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r>
      <w:tr>
        <w:trPr/>
        <w:tc>
          <w:tcPr>
            <w:tcW w:w="136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36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14152</Words>
  <Characters>75828</Characters>
  <CharactersWithSpaces>90731</CharactersWithSpaces>
  <Paragraphs>4145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