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50331.htm"/>
      <w:bookmarkStart w:id="1" w:name="ksrdvt20250331"/>
      <w:bookmarkEnd w:id="0"/>
      <w:bookmarkEnd w:id="1"/>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001-38407</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7588" w:type="dxa"/>
        <w:jc w:val="left"/>
        <w:tblInd w:w="0" w:type="dxa"/>
        <w:tblLayout w:type="fixed"/>
        <w:tblCellMar>
          <w:top w:w="28" w:type="dxa"/>
          <w:left w:w="28" w:type="dxa"/>
          <w:bottom w:w="28" w:type="dxa"/>
          <w:right w:w="28" w:type="dxa"/>
        </w:tblCellMar>
      </w:tblPr>
      <w:tblGrid>
        <w:gridCol w:w="4696"/>
        <w:gridCol w:w="14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82-2408531</w:t>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2650 North Military Trail, Suite 300, Boca Raton, Florida</w:t>
      </w:r>
      <w:r>
        <w:rPr>
          <w:rFonts w:ascii="Times New Roman" w:hAnsi="Times New Roman"/>
          <w:color w:val="000000"/>
          <w:sz w:val="20"/>
        </w:rPr>
        <w:t xml:space="preserve"> </w:t>
      </w:r>
      <w:r>
        <w:rPr>
          <w:rFonts w:ascii="Times New Roman" w:hAnsi="Times New Roman"/>
          <w:b/>
          <w:color w:val="000000"/>
          <w:sz w:val="20"/>
        </w:rPr>
        <w:t>33431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(561) 757-4000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None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6" w:type="dxa"/>
        <w:jc w:val="left"/>
        <w:tblInd w:w="0" w:type="dxa"/>
        <w:tblLayout w:type="fixed"/>
        <w:tblCellMar>
          <w:top w:w="28" w:type="dxa"/>
          <w:left w:w="28" w:type="dxa"/>
          <w:bottom w:w="28" w:type="dxa"/>
          <w:right w:w="28" w:type="dxa"/>
        </w:tblCellMar>
      </w:tblPr>
      <w:tblGrid>
        <w:gridCol w:w="1921"/>
        <w:gridCol w:w="701"/>
        <w:gridCol w:w="391"/>
        <w:gridCol w:w="2386"/>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May 5, 2025, the registrant had 13,955,918 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 FOR FORM 10-Q</w:t>
      </w:r>
    </w:p>
    <w:tbl>
      <w:tblPr>
        <w:tblW w:w="10205" w:type="dxa"/>
        <w:jc w:val="left"/>
        <w:tblInd w:w="0" w:type="dxa"/>
        <w:tblLayout w:type="fixed"/>
        <w:tblCellMar>
          <w:top w:w="28" w:type="dxa"/>
          <w:left w:w="28" w:type="dxa"/>
          <w:bottom w:w="28" w:type="dxa"/>
          <w:right w:w="28" w:type="dxa"/>
        </w:tblCellMar>
      </w:tblPr>
      <w:tblGrid>
        <w:gridCol w:w="744"/>
        <w:gridCol w:w="161"/>
        <w:gridCol w:w="8368"/>
        <w:gridCol w:w="283"/>
        <w:gridCol w:w="649"/>
      </w:tblGrid>
      <w:tr>
        <w:trPr/>
        <w:tc>
          <w:tcPr>
            <w:tcW w:w="7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3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color w:val="000000"/>
                <w:sz w:val="16"/>
              </w:rPr>
            </w:pPr>
            <w:r>
              <w:rPr>
                <w:rFonts w:ascii="Times New Roman" w:hAnsi="Times New Roman"/>
                <w:b/>
                <w:color w:val="000000"/>
                <w:sz w:val="16"/>
              </w:rPr>
              <w:t>Page</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2025 and December 31, 2024</w:t>
              </w:r>
            </w:hyperlink>
            <w:hyperlink w:anchor="condensed_consolidated_balance_sheets">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months ended March 31, 2025 and 2024</w:t>
              </w:r>
            </w:hyperlink>
            <w:hyperlink w:anchor="condensed_consolidated_statements_operat">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changes">
              <w:r>
                <w:rPr>
                  <w:rStyle w:val="InternetLink"/>
                  <w:rFonts w:ascii="Times New Roman" w:hAnsi="Times New Roman"/>
                  <w:color w:val="0000FF"/>
                  <w:sz w:val="20"/>
                  <w:u w:val="single"/>
                </w:rPr>
                <w:t>Condensed consolidated statements of changes in shareholders' equity for the three months ended March 31, 2025 and 2024</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2025 and 2024</w:t>
              </w:r>
            </w:hyperlink>
            <w:hyperlink w:anchor="condensed_consolidated_statements_cash_f">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80"/>
                  <w:sz w:val="20"/>
                  <w:u w:val="single"/>
                </w:rPr>
                <w:t>Mine Safety Disclosure</w:t>
              </w:r>
            </w:hyperlink>
            <w:r>
              <w:rPr>
                <w:rFonts w:ascii="Times New Roman" w:hAnsi="Times New Roman"/>
                <w:color w:val="0000FF"/>
                <w:sz w:val="20"/>
                <w:u w:val="single"/>
              </w:rPr>
              <w: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indicated or required by the context, all references in this Quarterly Report on Form 10-Q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0"/>
        <w:gridCol w:w="146"/>
        <w:gridCol w:w="297"/>
        <w:gridCol w:w="956"/>
        <w:gridCol w:w="146"/>
        <w:gridCol w:w="146"/>
        <w:gridCol w:w="354"/>
        <w:gridCol w:w="1136"/>
        <w:gridCol w:w="214"/>
      </w:tblGrid>
      <w:tr>
        <w:trPr/>
        <w:tc>
          <w:tcPr>
            <w:tcW w:w="6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$166 and $188 as of</w:t>
              <w:br/>
              <w: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13,950,797 and</w:t>
              <w:br/>
              <w:t>  13,936,329 shares issued and outstanding, as of March 31, 2025 and</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164" w:type="dxa"/>
        <w:jc w:val="left"/>
        <w:tblInd w:w="0" w:type="dxa"/>
        <w:tblLayout w:type="fixed"/>
        <w:tblCellMar>
          <w:top w:w="28" w:type="dxa"/>
          <w:left w:w="28" w:type="dxa"/>
          <w:bottom w:w="28" w:type="dxa"/>
          <w:right w:w="28" w:type="dxa"/>
        </w:tblCellMar>
      </w:tblPr>
      <w:tblGrid>
        <w:gridCol w:w="5041"/>
        <w:gridCol w:w="146"/>
        <w:gridCol w:w="211"/>
        <w:gridCol w:w="1036"/>
        <w:gridCol w:w="146"/>
        <w:gridCol w:w="146"/>
        <w:gridCol w:w="211"/>
        <w:gridCol w:w="1036"/>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14,491,713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380"/>
        <w:gridCol w:w="146"/>
        <w:gridCol w:w="146"/>
        <w:gridCol w:w="1036"/>
        <w:gridCol w:w="166"/>
        <w:gridCol w:w="146"/>
        <w:gridCol w:w="276"/>
        <w:gridCol w:w="415"/>
        <w:gridCol w:w="146"/>
        <w:gridCol w:w="146"/>
        <w:gridCol w:w="146"/>
        <w:gridCol w:w="841"/>
        <w:gridCol w:w="166"/>
        <w:gridCol w:w="146"/>
        <w:gridCol w:w="211"/>
        <w:gridCol w:w="631"/>
        <w:gridCol w:w="166"/>
        <w:gridCol w:w="146"/>
        <w:gridCol w:w="215"/>
        <w:gridCol w:w="690"/>
        <w:gridCol w:w="166"/>
        <w:gridCol w:w="146"/>
        <w:gridCol w:w="357"/>
        <w:gridCol w:w="763"/>
        <w:gridCol w:w="166"/>
        <w:gridCol w:w="146"/>
        <w:gridCol w:w="211"/>
        <w:gridCol w:w="676"/>
        <w:gridCol w:w="213"/>
      </w:tblGrid>
      <w:tr>
        <w:trPr/>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13,980,274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13,950,797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77" w:type="dxa"/>
        <w:jc w:val="left"/>
        <w:tblInd w:w="0" w:type="dxa"/>
        <w:tblLayout w:type="fixed"/>
        <w:tblCellMar>
          <w:top w:w="28" w:type="dxa"/>
          <w:left w:w="28" w:type="dxa"/>
          <w:bottom w:w="28" w:type="dxa"/>
          <w:right w:w="28" w:type="dxa"/>
        </w:tblCellMar>
      </w:tblPr>
      <w:tblGrid>
        <w:gridCol w:w="6721"/>
        <w:gridCol w:w="146"/>
        <w:gridCol w:w="242"/>
        <w:gridCol w:w="778"/>
        <w:gridCol w:w="191"/>
        <w:gridCol w:w="168"/>
        <w:gridCol w:w="242"/>
        <w:gridCol w:w="778"/>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Basis of preparation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in this quarterly report on Form 10-Q should be read in conjunction with the consolidated financial statements and accompanying notes included in the Company’s Annual Report on Form 10-K for the year ended December 31, 2024 filed with the SEC on February 27, 2025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balance sheet as of December 31, 2024 included herein was derived from the audited financial statements as of that date included in the Form 10-K, but does not include all disclosures required by US GAAP.</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Principles of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include the financial statements of the Company and its subsidiaries. All significant transactions among the Company and its subsidiaries have been eliminated upon consolidation.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 Recently issued accounting standards</w:t>
      </w:r>
    </w:p>
    <w:p>
      <w:pPr>
        <w:pStyle w:val="TextBody"/>
        <w:bidi w:val="0"/>
        <w:spacing w:before="160" w:after="283"/>
        <w:jc w:val="left"/>
        <w:rPr>
          <w:rFonts w:ascii="Times New Roman" w:hAnsi="Times New Roman"/>
          <w:sz w:val="20"/>
        </w:rPr>
      </w:pPr>
      <w:r>
        <w:rPr>
          <w:rFonts w:ascii="Times New Roman" w:hAnsi="Times New Roman"/>
          <w:color w:val="231F20"/>
          <w:sz w:val="20"/>
        </w:rPr>
        <w:t>In December 2023, the Financial Accounting Standard Board (the “FASB”) issued Accounting Standard Updates (“ASU”) No. 2023-09, "</w:t>
      </w:r>
      <w:r>
        <w:rPr>
          <w:rFonts w:ascii="Times New Roman" w:hAnsi="Times New Roman"/>
          <w:i/>
          <w:color w:val="231F20"/>
          <w:sz w:val="20"/>
        </w:rPr>
        <w:t>Income Taxes (Topic 740): Improvements to Income Tax Disclosures (ASU 2023-09)</w:t>
      </w:r>
      <w:r>
        <w:rPr>
          <w:rFonts w:ascii="Times New Roman" w:hAnsi="Times New Roman"/>
          <w:color w:val="231F2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the impact on its condensed consolidated financial statements and related disclosures.</w:t>
      </w:r>
    </w:p>
    <w:p>
      <w:pPr>
        <w:pStyle w:val="TextBody"/>
        <w:bidi w:val="0"/>
        <w:spacing w:before="160" w:after="283"/>
        <w:jc w:val="left"/>
        <w:rPr>
          <w:rFonts w:ascii="Times New Roman" w:hAnsi="Times New Roman"/>
          <w:sz w:val="20"/>
        </w:rPr>
      </w:pPr>
      <w:r>
        <w:rPr>
          <w:rFonts w:ascii="Times New Roman" w:hAnsi="Times New Roman"/>
          <w:color w:val="231F20"/>
          <w:sz w:val="20"/>
        </w:rPr>
        <w:t>In November, 2024, the FASB issued ASU No. 2024-03, "</w:t>
      </w:r>
      <w:r>
        <w:rPr>
          <w:rFonts w:ascii="Times New Roman" w:hAnsi="Times New Roman"/>
          <w:i/>
          <w:color w:val="231F20"/>
          <w:sz w:val="20"/>
        </w:rPr>
        <w:t>Income Statement - Reporting Comprehensive Income - Expense Disaggregation Disclosures (Subtopic 220-04), Disaggregation of Income Statement Expenses (ASU 2024-03),</w:t>
      </w:r>
      <w:r>
        <w:rPr>
          <w:rFonts w:ascii="Times New Roman" w:hAnsi="Times New Roman"/>
          <w:color w:val="231F20"/>
          <w:sz w:val="20"/>
        </w:rPr>
        <w:t>" which requires disclosure within the notes to financial statements of specific 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assessing the impact adopting this ASU will have on its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469" w:type="dxa"/>
        <w:jc w:val="left"/>
        <w:tblInd w:w="0" w:type="dxa"/>
        <w:tblLayout w:type="fixed"/>
        <w:tblCellMar>
          <w:top w:w="28" w:type="dxa"/>
          <w:left w:w="28" w:type="dxa"/>
          <w:bottom w:w="28" w:type="dxa"/>
          <w:right w:w="28" w:type="dxa"/>
        </w:tblCellMar>
      </w:tblPr>
      <w:tblGrid>
        <w:gridCol w:w="3346"/>
        <w:gridCol w:w="146"/>
        <w:gridCol w:w="211"/>
        <w:gridCol w:w="1036"/>
        <w:gridCol w:w="146"/>
        <w:gridCol w:w="146"/>
        <w:gridCol w:w="211"/>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2025 and 2024, diluted weighted average shares outstanding are calculated by the inclusion of unvested restricted stock units ("RSUs").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other than goodwill consist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9"/>
        <w:gridCol w:w="146"/>
        <w:gridCol w:w="946"/>
        <w:gridCol w:w="146"/>
        <w:gridCol w:w="217"/>
        <w:gridCol w:w="697"/>
        <w:gridCol w:w="146"/>
        <w:gridCol w:w="146"/>
        <w:gridCol w:w="251"/>
        <w:gridCol w:w="878"/>
        <w:gridCol w:w="166"/>
        <w:gridCol w:w="146"/>
        <w:gridCol w:w="211"/>
        <w:gridCol w:w="676"/>
        <w:gridCol w:w="146"/>
        <w:gridCol w:w="146"/>
        <w:gridCol w:w="217"/>
        <w:gridCol w:w="697"/>
        <w:gridCol w:w="146"/>
        <w:gridCol w:w="146"/>
        <w:gridCol w:w="251"/>
        <w:gridCol w:w="878"/>
        <w:gridCol w:w="166"/>
        <w:gridCol w:w="146"/>
        <w:gridCol w:w="211"/>
        <w:gridCol w:w="676"/>
        <w:gridCol w:w="198"/>
      </w:tblGrid>
      <w:tr>
        <w:trPr/>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Amortization</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gross carrying amount of software developed for internal use includes capitalized costs related to the design, development, and testing of internal-use software. These costs primarily consist of eligible personnel-related expenses, share-based compensation, travel expenses, and other directly attributable costs incurred during the application development stage. The gross carrying amount of acquired intangible assets reflects the acquisition cost of certain data assets for which the Company has obtained perpetual usage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expenses of $2,500 and $2,214 for the three months ended March 31, 2025 and 2024, respectively, were included in depreciation and amortization expense. As of March 31, 2025, intangible assets of $6,692, included in the gross carrying amounts of software developed for internal use, have not started amortization, as they are not ready for their intended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capitalized costs of intangible assets of $3,991 and $2,773 during the three months ended March 31, 2025 and 2024,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estimated amortization expense related to the Company’s intangible assets for the remainder of 2025 through 2030 and thereafter are as follows:</w:t>
      </w:r>
    </w:p>
    <w:p>
      <w:pPr>
        <w:pStyle w:val="TextBody"/>
        <w:bidi w:val="0"/>
        <w:jc w:val="left"/>
        <w:rPr/>
      </w:pPr>
      <w:r>
        <w:rPr/>
        <w:t> </w:t>
      </w:r>
    </w:p>
    <w:tbl>
      <w:tblPr>
        <w:tblW w:w="3293" w:type="dxa"/>
        <w:jc w:val="left"/>
        <w:tblInd w:w="0" w:type="dxa"/>
        <w:tblLayout w:type="fixed"/>
        <w:tblCellMar>
          <w:top w:w="28" w:type="dxa"/>
          <w:left w:w="28" w:type="dxa"/>
          <w:bottom w:w="28" w:type="dxa"/>
          <w:right w:w="28" w:type="dxa"/>
        </w:tblCellMar>
      </w:tblPr>
      <w:tblGrid>
        <w:gridCol w:w="1696"/>
        <w:gridCol w:w="146"/>
        <w:gridCol w:w="299"/>
        <w:gridCol w:w="96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Goodwill represents the cost in excess of the fair value of the net assets acquired in a business combination. As of March 31, 2025 and December 31, 2024, the balance of goodwill of $5,227 was as a result of the acquisition of Interactive Data, LLC, a wholly-owned subsidiary of red violet, effective on October 2, 2014.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In accordance with ASC 350, “</w:t>
      </w:r>
      <w:r>
        <w:rPr>
          <w:rFonts w:ascii="Times New Roman" w:hAnsi="Times New Roman"/>
          <w:i/>
          <w:color w:val="000000"/>
          <w:sz w:val="20"/>
        </w:rPr>
        <w:t>Intangibles - Goodwill and Other,”</w:t>
      </w:r>
      <w:r>
        <w:rPr>
          <w:rFonts w:ascii="Times New Roman" w:hAnsi="Times New Roman"/>
          <w:color w:val="000000"/>
          <w:sz w:val="20"/>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record a goodwill impairment loss during the three months ended March 31, 2025 and 2024, and there was no accumulated goodwill impairment loss as of March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The Company recognized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(“Topic 606”). Under this standard, revenue is recognized when control of goods or services is transferred to the Company’s customers, in an amount that reﬂects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March 31, 2025, the current and noncurrent portion unbilled accounts receivable of $1,334 and $1,484, respectively, were included within accounts receivable and other noncurrent assets, respectively, on the condensed consolidated balance sheets. As of December 31, 2024, the current and noncurrent portion unbilled accounts receivable of $937 and $1,080, respectively, were included within accounts receivable and other noncurrent assets, respectively, on the consolidated balance sheets. The Company's revenue arrangements do not contain significant financing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and 2024, 74% and 78% of total revenue was attributable to customers with pricing contracts, respectively, versus 26% and 22% attributable to transactional customers, respectively. Pricing contracts are generally annual contracts or longer, with auto renewal.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customer pays consideration before the Company transfers services to the customer, those amounts are classified as deferred revenue. As of March 31, 2025 and December 31, 2024, the balance of deferred revenue was $754 and $712, respectively, all of which is expected to be realized in the next 12 months. In relation to the deferred revenue balance as of December 31, 2024, $311 was recognized into revenue during the three months ended March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$22,035 of revenue is expected to be recognized in the future for performance obligations that are unsatisfied or partially unsatisfied, related to pricing contracts that have a term of more than 12 months, of which, $8,888 of revenue will be recognized in the remainder of 2025, $7,800 in 2026, $4,322 in 2027, $875 in 2028, $145 in 2029, and $5 in 2030.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commissions are incurred and recorded on an ongoing basis over the term of the customer relationship. These costs are recorded in 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During the third quarter of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March 31, 2025 was more likely than not.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effective income tax rate was 24% for the three months ended March 31, 2025 and 2024, differing from the U.S. corporate statutory federal income tax rate of 21%. The differences for the three months ended March 31, 2025 and 2024 were primarily the effect of state income taxes and certain nondeductible permanent differences, partially offset by the utilization of research and development tax credits.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does not have any material unrecognized tax benefits as of March 31, 2025 and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Shareholders' equity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Common stock and treasury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and December 31, 2024, the number of issued shares of common stock was 13,950,797 and 13,936,329, respectively. The Company held no shares of treasury stock as of either date. The changes in the number of issued shares of common stock and treasury stock were due to the following factor: an aggregate of 19,500 shares of common stock were issued as a result of the vesting of RSUs, of which, 5,032 shares of common stock were withheld to pay withholding taxes upon such vesting, which were reflected in treasury stock, with a cost of $202. All 5,032 shares of treasury stock were retired during the period.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Dividend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 2024, the Company declared a special cash dividend on its common stock of $0.30 per share (the “Dividend”) to shareholders of record as of January 31, 2025, and the aggregate amount of approximately $4.2 million was paid on February 14,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Subsequently on June 3, 2020 and May 25, 2022, the Company’s stockholders approved amendments to the 2018 Plan to increase the number of shares of common stock authorized for issuance under the 2018 Plan to 4,500,000 shares and 6,500,000 shares, respectively. On April 17, 2025, the Board of Directors of the Company approved, subject to stockholder approval at the Company's 2025 Annual Meeting, an amendment and restatement to the 2018 Plan to, among other things, further increase the number of shares of common stock authorized for issuance under the 2018 Plan from 6,500,000 shares to 7,500,000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there were 1,655,452 shares of common stock available for future issuance under the 2018 Plan, as amended.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date, all stock incentives issued under the 2018 Plan, as amended, have been in the form of RSUs. RSUs granted under the 2018 Plan, as amended, vest and settle upon the satisfaction of a time-based condition or with both time- and performance-based conditions. The time-based condition for these awards is generally satisfied over three or four years with annual vesting. Details of unvested RSU activity during the three months ended March 31, 2025 were as follows: </w:t>
      </w:r>
    </w:p>
    <w:tbl>
      <w:tblPr>
        <w:tblW w:w="6485" w:type="dxa"/>
        <w:jc w:val="left"/>
        <w:tblInd w:w="0" w:type="dxa"/>
        <w:tblLayout w:type="fixed"/>
        <w:tblCellMar>
          <w:top w:w="28" w:type="dxa"/>
          <w:left w:w="28" w:type="dxa"/>
          <w:bottom w:w="28" w:type="dxa"/>
          <w:right w:w="28" w:type="dxa"/>
        </w:tblCellMar>
      </w:tblPr>
      <w:tblGrid>
        <w:gridCol w:w="2926"/>
        <w:gridCol w:w="146"/>
        <w:gridCol w:w="200"/>
        <w:gridCol w:w="1075"/>
        <w:gridCol w:w="166"/>
        <w:gridCol w:w="146"/>
        <w:gridCol w:w="441"/>
        <w:gridCol w:w="1194"/>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Withheld as treasury stock</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three months ended March 31, 2025, the Company granted an aggregate of 95,650 RSUs to certain employees and directors at grant date fair values ranging from $34.18 to $38.72 per share, with a vesting period ranging from three to four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Withheld as treasury stock represents shares withheld to pay statutory taxes upon the vesting of RSUs. Refer to Note 7 for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unrecognized share-based compensation expense associated with the granted RSUs amounted to $17,364, which is expected to be recognized over a remaining weighted average period of 2.7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Share-based compensation was allocated to the following accounts in the condensed consolidated financial statements for the three months ended March 31, 2025 and 2024:</w:t>
      </w:r>
    </w:p>
    <w:p>
      <w:pPr>
        <w:pStyle w:val="TextBody"/>
        <w:bidi w:val="0"/>
        <w:jc w:val="left"/>
        <w:rPr/>
      </w:pPr>
      <w:r>
        <w:rPr/>
        <w:t> </w:t>
      </w:r>
    </w:p>
    <w:tbl>
      <w:tblPr>
        <w:tblW w:w="5824" w:type="dxa"/>
        <w:jc w:val="left"/>
        <w:tblInd w:w="0" w:type="dxa"/>
        <w:tblLayout w:type="fixed"/>
        <w:tblCellMar>
          <w:top w:w="28" w:type="dxa"/>
          <w:left w:w="28" w:type="dxa"/>
          <w:bottom w:w="28" w:type="dxa"/>
          <w:right w:w="28" w:type="dxa"/>
        </w:tblCellMar>
      </w:tblPr>
      <w:tblGrid>
        <w:gridCol w:w="3091"/>
        <w:gridCol w:w="146"/>
        <w:gridCol w:w="272"/>
        <w:gridCol w:w="738"/>
        <w:gridCol w:w="188"/>
        <w:gridCol w:w="188"/>
        <w:gridCol w:w="272"/>
        <w:gridCol w:w="73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leases an additional office space of 6,003 rentable square feet in accordance with a non-cancellable operating lease agreement entered into in April 2017, which expired in March 2025. The extension options of such agreements were not included in the determination of the lease terms.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20, 2024, the Company entered into a non-cancellable 80-month operating lease agreement for its new Seattle office space of 6,709 rentable square feet (the "New Seattle Lease Agreement"), with the lease term preliminarily set to commence on May 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and 2024, a summary of the Company’s lease information is shown below:</w:t>
      </w:r>
    </w:p>
    <w:p>
      <w:pPr>
        <w:pStyle w:val="TextBody"/>
        <w:bidi w:val="0"/>
        <w:jc w:val="left"/>
        <w:rPr/>
      </w:pPr>
      <w:r>
        <w:rPr/>
        <w:t> </w:t>
      </w:r>
    </w:p>
    <w:tbl>
      <w:tblPr>
        <w:tblW w:w="5286" w:type="dxa"/>
        <w:jc w:val="left"/>
        <w:tblInd w:w="0" w:type="dxa"/>
        <w:tblLayout w:type="fixed"/>
        <w:tblCellMar>
          <w:top w:w="28" w:type="dxa"/>
          <w:left w:w="28" w:type="dxa"/>
          <w:bottom w:w="28" w:type="dxa"/>
          <w:right w:w="28" w:type="dxa"/>
        </w:tblCellMar>
      </w:tblPr>
      <w:tblGrid>
        <w:gridCol w:w="2551"/>
        <w:gridCol w:w="146"/>
        <w:gridCol w:w="325"/>
        <w:gridCol w:w="649"/>
        <w:gridCol w:w="225"/>
        <w:gridCol w:w="225"/>
        <w:gridCol w:w="325"/>
        <w:gridCol w:w="649"/>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the weighted average remaining operating lease term was 4.2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scheduled future maturities and present value of the operating lease liabilities are as follows:</w:t>
      </w:r>
    </w:p>
    <w:p>
      <w:pPr>
        <w:pStyle w:val="TextBody"/>
        <w:bidi w:val="0"/>
        <w:jc w:val="left"/>
        <w:rPr/>
      </w:pPr>
      <w:r>
        <w:rPr/>
        <w:t> </w:t>
      </w:r>
    </w:p>
    <w:tbl>
      <w:tblPr>
        <w:tblW w:w="7868" w:type="dxa"/>
        <w:jc w:val="left"/>
        <w:tblInd w:w="0" w:type="dxa"/>
        <w:tblLayout w:type="fixed"/>
        <w:tblCellMar>
          <w:top w:w="28" w:type="dxa"/>
          <w:left w:w="28" w:type="dxa"/>
          <w:bottom w:w="28" w:type="dxa"/>
          <w:right w:w="28" w:type="dxa"/>
        </w:tblCellMar>
      </w:tblPr>
      <w:tblGrid>
        <w:gridCol w:w="6271"/>
        <w:gridCol w:w="146"/>
        <w:gridCol w:w="340"/>
        <w:gridCol w:w="920"/>
        <w:gridCol w:w="19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Lease not yet commenced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 excluding lease not yet commenced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included in consolidated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Difference between the maturities, excluding lease not yet commenced, and </w:t>
              <w:br/>
              <w:t>   related 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On December 20, 2024, the Company entered into the New Seattle Lease Agreement, with the lease term preliminarily set to commence on May 1, 2025, at which point the Company will recognize a right-of-use asset and a corresponding lease liability on its consolidated balance sheet under ASC 842. The right-of-use asset and lease liability will be determined based on the pertinent information available as of the commencement date. As of March 31, 2025, the total undiscounted future lease payments for this lease are included into total maturities as presented in the table above, but its lease liability has not been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Segment information</w:t>
      </w:r>
    </w:p>
    <w:p>
      <w:pPr>
        <w:pStyle w:val="TextBody"/>
        <w:bidi w:val="0"/>
        <w:jc w:val="left"/>
        <w:rPr>
          <w:rFonts w:ascii="Times New Roman" w:hAnsi="Times New Roman"/>
          <w:color w:val="000000"/>
          <w:sz w:val="20"/>
        </w:rPr>
      </w:pPr>
      <w:r>
        <w:rPr>
          <w:rFonts w:ascii="Times New Roman" w:hAnsi="Times New Roman"/>
          <w:color w:val="000000"/>
          <w:sz w:val="20"/>
        </w:rPr>
        <w:t>The Company currently has one single operating and reporting segment, identity and information solutions, as defined by ASC 280, “Segment Reporting.” The Company adopted ASU 2023-07 as of December 31, 2024. There have been no significant changes in the basis of segmentation or in the basis of measurement of segment profit since the last annual report.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(the “CODM”) assesses performance for the identity and information solutions segment and decides how to allocate resources based on net income that also is reported on the condensed consolidated statements of operations as net income. The measure of segment assets is reported on the condensed consolidated balance sheet as total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about reported segment revenue, segment net income, and significant segment expenses is shown as follows:</w:t>
      </w:r>
    </w:p>
    <w:p>
      <w:pPr>
        <w:pStyle w:val="TextBody"/>
        <w:bidi w:val="0"/>
        <w:jc w:val="left"/>
        <w:rPr/>
      </w:pPr>
      <w:r>
        <w:rPr/>
        <w:t> </w:t>
      </w:r>
    </w:p>
    <w:tbl>
      <w:tblPr>
        <w:tblW w:w="7797" w:type="dxa"/>
        <w:jc w:val="left"/>
        <w:tblInd w:w="0" w:type="dxa"/>
        <w:tblLayout w:type="fixed"/>
        <w:tblCellMar>
          <w:top w:w="28" w:type="dxa"/>
          <w:left w:w="28" w:type="dxa"/>
          <w:bottom w:w="28" w:type="dxa"/>
          <w:right w:w="28" w:type="dxa"/>
        </w:tblCellMar>
      </w:tblPr>
      <w:tblGrid>
        <w:gridCol w:w="5041"/>
        <w:gridCol w:w="146"/>
        <w:gridCol w:w="242"/>
        <w:gridCol w:w="778"/>
        <w:gridCol w:w="191"/>
        <w:gridCol w:w="168"/>
        <w:gridCol w:w="242"/>
        <w:gridCol w:w="778"/>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marketing and agency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Other segment items included in segment net income includes primarily travel and entertainments, acquisition costs, write-off of long-lived assets, and other selling, general and administrative expenses.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Capital commitment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incurred data costs of $2,542 and $2,434 for the three months ended March 31, 2025 and 2024, respectively, under certain data licensing agreements. As of March 31, 2025, material capital commitments under certain data licensing agreements were $11,533, shown as follows:</w:t>
      </w:r>
    </w:p>
    <w:p>
      <w:pPr>
        <w:pStyle w:val="TextBody"/>
        <w:bidi w:val="0"/>
        <w:jc w:val="left"/>
        <w:rPr/>
      </w:pPr>
      <w:r>
        <w:rPr/>
        <w:t> </w:t>
      </w:r>
    </w:p>
    <w:tbl>
      <w:tblPr>
        <w:tblW w:w="3478" w:type="dxa"/>
        <w:jc w:val="left"/>
        <w:tblInd w:w="0" w:type="dxa"/>
        <w:tblLayout w:type="fixed"/>
        <w:tblCellMar>
          <w:top w:w="28" w:type="dxa"/>
          <w:left w:w="28" w:type="dxa"/>
          <w:bottom w:w="28" w:type="dxa"/>
          <w:right w:w="28" w:type="dxa"/>
        </w:tblCellMar>
      </w:tblPr>
      <w:tblGrid>
        <w:gridCol w:w="1781"/>
        <w:gridCol w:w="246"/>
        <w:gridCol w:w="299"/>
        <w:gridCol w:w="961"/>
        <w:gridCol w:w="191"/>
      </w:tblGrid>
      <w:tr>
        <w:trPr/>
        <w:tc>
          <w:tcPr>
            <w:tcW w:w="1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 (ii) capitalized as internal-use software costs within intangible assets when consumed in the development or enhancement of the Company’s internal-use software.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the matter was remanded back to the Superior Court of New Jersey, Law Division, Monmouth County by order dated November 21, 2024, where the Action is pending.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2024 filed on February 27, 2025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References in this discussion and analysis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sz w:val="20"/>
        </w:rPr>
      </w:pPr>
      <w:r>
        <w:rPr>
          <w:rFonts w:ascii="Times New Roman" w:hAnsi="Times New Roman"/>
          <w:color w:val="000000"/>
          <w:sz w:val="2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hAnsi="Times New Roman"/>
          <w:color w:val="000000"/>
          <w:sz w:val="13"/>
        </w:rPr>
        <w:t>TM</w:t>
      </w:r>
      <w:r>
        <w:rPr>
          <w:rFonts w:ascii="Times New Roman" w:hAnsi="Times New Roman"/>
          <w:color w:val="000000"/>
          <w:sz w:val="2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Organizations are challenged by the structure, volume,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 </w:t>
      </w:r>
    </w:p>
    <w:p>
      <w:pPr>
        <w:pStyle w:val="TextBody"/>
        <w:bidi w:val="0"/>
        <w:spacing w:before="200" w:after="283"/>
        <w:jc w:val="left"/>
        <w:rPr>
          <w:rFonts w:ascii="Times New Roman" w:hAnsi="Times New Roman"/>
          <w:sz w:val="20"/>
        </w:rPr>
      </w:pPr>
      <w:r>
        <w:rPr>
          <w:rFonts w:ascii="Times New Roman" w:hAnsi="Times New Roman"/>
          <w:color w:val="000000"/>
          <w:sz w:val="20"/>
        </w:rPr>
        <w:t>While our platform powers a vast array of solutions for our customers, we presently market our solutions primarily through two brands, IDI</w:t>
      </w:r>
      <w:r>
        <w:rPr>
          <w:rFonts w:ascii="Times New Roman" w:hAnsi="Times New Roman"/>
          <w:color w:val="000000"/>
          <w:sz w:val="13"/>
        </w:rPr>
        <w:t xml:space="preserve"> </w:t>
      </w:r>
      <w:r>
        <w:rPr>
          <w:rFonts w:ascii="Times New Roman" w:hAnsi="Times New Roman"/>
          <w:color w:val="000000"/>
          <w:sz w:val="20"/>
        </w:rPr>
        <w:t>and FOREWARN</w:t>
      </w:r>
      <w:r>
        <w:rPr>
          <w:rFonts w:ascii="Times New Roman" w:hAnsi="Times New Roman"/>
          <w:color w:val="000000"/>
          <w:sz w:val="13"/>
        </w:rPr>
        <w:t>®</w:t>
      </w:r>
      <w:r>
        <w:rPr>
          <w:rFonts w:ascii="Times New Roman" w:hAnsi="Times New Roman"/>
          <w:color w:val="000000"/>
          <w:sz w:val="20"/>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hAnsi="Times New Roman"/>
          <w:color w:val="000000"/>
          <w:sz w:val="13"/>
        </w:rPr>
        <w:t></w:t>
      </w:r>
      <w:r>
        <w:rPr>
          <w:rFonts w:ascii="Times New Roman" w:hAnsi="Times New Roman"/>
          <w:color w:val="000000"/>
          <w:sz w:val="20"/>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2025 and 2024, IDI had 9,241 and 8,241 billable customers, respectively, and FOREWARN had 325,336 and 236,639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March 31, 2025 and 2024, 74% and 78% of total revenue was attributable to customers with pricing contracts, respectively, versus 26% and 22% attributable to transactional customers,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please refer to our Form 10-K. There have been no material changes to Critical Accounting Policies and Estimates disclosed in our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00" w:after="283"/>
        <w:jc w:val="left"/>
        <w:rPr>
          <w:rFonts w:ascii="Times New Roman" w:hAnsi="Times New Roman"/>
          <w:sz w:val="20"/>
        </w:rPr>
      </w:pPr>
      <w:r>
        <w:rPr>
          <w:rFonts w:ascii="Times New Roman" w:hAnsi="Times New Roman"/>
          <w:color w:val="000000"/>
          <w:sz w:val="20"/>
        </w:rPr>
        <w:t>See Note 1(b), “</w:t>
      </w:r>
      <w:r>
        <w:rPr>
          <w:rFonts w:ascii="Times New Roman" w:hAnsi="Times New Roman"/>
          <w:i/>
          <w:color w:val="000000"/>
          <w:sz w:val="20"/>
        </w:rPr>
        <w:t>Recently issued accounting standards,”</w:t>
      </w:r>
      <w:r>
        <w:rPr>
          <w:rFonts w:ascii="Times New Roman" w:hAnsi="Times New Roman"/>
          <w:color w:val="000000"/>
          <w:sz w:val="20"/>
        </w:rPr>
        <w:t xml:space="preserve"> in “Notes to Condensed Consolidated Financial Statements.”</w:t>
      </w:r>
    </w:p>
    <w:p>
      <w:pPr>
        <w:pStyle w:val="TextBody"/>
        <w:bidi w:val="0"/>
        <w:spacing w:before="200" w:after="283"/>
        <w:jc w:val="left"/>
        <w:rPr>
          <w:rFonts w:ascii="Times New Roman" w:hAnsi="Times New Roman"/>
          <w:b/>
          <w:color w:val="000000"/>
          <w:sz w:val="20"/>
        </w:rPr>
      </w:pPr>
      <w:bookmarkStart w:id="10" w:name="gmnh874a1a8db3fe4af2a262b7d6093c0e4f"/>
      <w:bookmarkEnd w:id="10"/>
      <w:r>
        <w:rPr>
          <w:rFonts w:ascii="Times New Roman" w:hAnsi="Times New Roman"/>
          <w:b/>
          <w:color w:val="000000"/>
          <w:sz w:val="20"/>
        </w:rPr>
        <w:t>First Quarter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as compared to the three months ended March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26% to $22.0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37% to $15.8 million. Gross margin increased to 72% from 66%.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33% to $18.3 million. Adjusted gross margin increased to 83% from 79%.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93% to $3.4 million, which resulted in earnings of $0.25 and $0.24 per basic and diluted share, respectively. Net income margin increased to 16% from 10%.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47% to $8.4 million. Adjusted EBITDA margin increased to 38% from 32%.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53% to $4.8 million, which resulted in adjusted earnings of $0.35 and $0.33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16% to $5.0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$34.6 million as of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First Quarter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Added 315 customers to IDI during the first quarter, ending the quarter with 9,241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21,918 users to FOREWARN during the first quarter, ending the quarter with 325,336 users. Over 545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Paid out a special cash dividend of $0.30 per share on our common stock to shareholders of record as of January 31, 2025. The dividend, totaling $4.2 million, was paid on February 14,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6220" w:type="dxa"/>
        <w:jc w:val="left"/>
        <w:tblInd w:w="0" w:type="dxa"/>
        <w:tblLayout w:type="fixed"/>
        <w:tblCellMar>
          <w:top w:w="28" w:type="dxa"/>
          <w:left w:w="28" w:type="dxa"/>
          <w:bottom w:w="28" w:type="dxa"/>
          <w:right w:w="28" w:type="dxa"/>
        </w:tblCellMar>
      </w:tblPr>
      <w:tblGrid>
        <w:gridCol w:w="3361"/>
        <w:gridCol w:w="146"/>
        <w:gridCol w:w="231"/>
        <w:gridCol w:w="740"/>
        <w:gridCol w:w="296"/>
        <w:gridCol w:w="159"/>
        <w:gridCol w:w="231"/>
        <w:gridCol w:w="740"/>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 and 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6794"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tax effect of adjustments is calculated using the expected federal and state statutory tax rate. The expected federal and state income tax rate was approximately 26.00% and 25.75% for the three months ended March 31, 2025 and 2024, respectively.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tbl>
      <w:tblPr>
        <w:tblW w:w="7900" w:type="dxa"/>
        <w:jc w:val="left"/>
        <w:tblInd w:w="0" w:type="dxa"/>
        <w:tblLayout w:type="fixed"/>
        <w:tblCellMar>
          <w:top w:w="28" w:type="dxa"/>
          <w:left w:w="28" w:type="dxa"/>
          <w:bottom w:w="28" w:type="dxa"/>
          <w:right w:w="28" w:type="dxa"/>
        </w:tblCellMar>
      </w:tblPr>
      <w:tblGrid>
        <w:gridCol w:w="5041"/>
        <w:gridCol w:w="146"/>
        <w:gridCol w:w="231"/>
        <w:gridCol w:w="740"/>
        <w:gridCol w:w="296"/>
        <w:gridCol w:w="159"/>
        <w:gridCol w:w="231"/>
        <w:gridCol w:w="740"/>
        <w:gridCol w:w="31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related to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 of certain intangible 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Depreciation and amortization of certain intangible assets primarily consists of the amortization of capitalized internal-use software development costs, which are included within intangible assets and amortized over their estimated useful lives.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6641" w:type="dxa"/>
        <w:jc w:val="left"/>
        <w:tblInd w:w="0" w:type="dxa"/>
        <w:tblLayout w:type="fixed"/>
        <w:tblCellMar>
          <w:top w:w="28" w:type="dxa"/>
          <w:left w:w="28" w:type="dxa"/>
          <w:bottom w:w="28" w:type="dxa"/>
          <w:right w:w="28" w:type="dxa"/>
        </w:tblCellMar>
      </w:tblPr>
      <w:tblGrid>
        <w:gridCol w:w="3886"/>
        <w:gridCol w:w="146"/>
        <w:gridCol w:w="253"/>
        <w:gridCol w:w="759"/>
        <w:gridCol w:w="199"/>
        <w:gridCol w:w="175"/>
        <w:gridCol w:w="253"/>
        <w:gridCol w:w="759"/>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Three months ended March 31, 2025 compared to three months ended March 31, 2024</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$4.5 million, or 26%, to $22.0 million for the three months ended March 31, 2025, compared to $17.5 million for the same period in 2024. The increase was driven by strong onboarding of new customers and stable recurring revenue from our existing customer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new customers increased $1.3 million, or 80%.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existing customers increased $3.2 million, or 20%.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the first quarter of 2025, we consolidated our prior base revenue and growth revenue categories into a single revenue from existing customers metric to provide a more streamlined and meaningful view of ongoing customer contribution.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2025, our IDI billable customer base increased to 9,241 customers, up from 8,241 customers a year earlier. Our FOREWARN user base increased to 325,336 users, up from 236,639 users a year earlier.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 (exclusive of 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revenue (exclusive of depreciation and amortization) decreased $0.1 million, or 3%, to $3.7 million for the three months ended March 31, 2025, compared to $3.8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cost of revenue primarily consists of data acquisition costs, which includes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43% and 41% of our total data acquisition costs for the three months ended March 31, 2025 and 2024,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components of our cost of revenue include cloud infrastructure fees and pertinent personnel-related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Due to the fixed-cost nature of our primary data licensing structure, cost of revenue as a percentage of revenue decreased to 17% for the three months ended March 31, 2025, compared to 21% for the same period in 2024. We expect this percentage to continue to decline over time as our revenue increases.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increased $1.7 million, or 46%, to $5.4 million for the three months ended March 31, 2025, compared to $3.7 million for the same period in 2024. The increase reflects our continued investment in expanding our go-to-market capabilities to support long-term revenue growth.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include personnel-related expenses, advertising, marketing and agency expenses, travel expenses, and share-based compensation expense incurred by our sales team, and provision for bad debts.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$1.6 million in personnel-related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$0.1 million in share-based compensation expense.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$0.4 million, or 7%, to $6.2 million for the three months ended March 31, 2025, compared to $5.8 million for the same period in 2024. The increase reflects higher personnel-related expenses and share-based compensation expense to support the continued growth of the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and 2024, general and administrative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$3.1 million and $2.7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$1.4 million and $1.3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of $1.1 million and $1.2 million,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Depreciation and amortization expenses increased $0.3 million, or 12%, to $2.6 million for the three months ended March 31, 2025, compared to $2.3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 the amortization of intangible assets that became ready for their intended use after March 31,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decreased $0.1 million, or 16%, to $0.3 million for the three months ended March 31, 2025, compared to $0.4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was primarily attributable to lower yields on money market fund investments during the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before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before income taxes increased $2.2 million, or 92%, to $4.5 million for the three months ended March 31, 2025, compared to $2.3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$4.5 million in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$0.1 million in cost of revenue (exclusive of 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$2.0 million in personnel-related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$0.3 million in depreciation and amortization expense;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$0.2 million in share-based compensation expense.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was $1.1 million for the three months ended March 31, 2025, compared to $0.6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income tax expense was primarily attributable to higher pre-tax income, as the Company’s effective tax rate remained consistent at 24% in both periods.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refer to Note 6, “Income taxes,” in the “Notes to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income increased $1.6 million, or 93%, to $3.4 million for the three months ended March 31, 2025, compared to $1.8 million for the same period in 2024, as a result of the foregoing.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Effect of Inflation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persistent inflationary pressures throughout 2024 and into the first quarter of 2025 have contributed to a more challenging macroeconomic environment, increasing recessionary concerns and prompting some businesses to moderate discretionary spending. These conditions have resulted in — and may continue to contribute to — fluctuations in transaction volumes, pricing dynamics, and operating margins across our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elevated interest rates implemented to curb inflation may reduce the demand for credit, which could in turn lead to lower usage of our services by customers in the banking, financial services, and adjacent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net cash provided by operating activities was $5.0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$3.4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adjustments totaling $5.3 million, including share-based compensation expense, depreciation and amortization, write-off of long-lived assets, provision for bad debts, noncash lease expenses, and deferred 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assets and liabilities, which resulted in a net use of cash of $3.7 million, primarily due to an increase in accounts receivable and other noncurrent assets, and a decrease in accrued expenses and other current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2024, net cash provided by operating activities was $4.3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$1.8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adjustments totaling $4.3 million, including share-based compensation expense, depreciation and amortization, provision for bad debts, noncash lease expenses, and deferred 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assets and liabilities, which resulted in a net use of cash of $1.8 million, primarily due to an increase in accounts receivable and prepaid expenses and other noncurrent assets, and a decrease in accrued expenses and other current liabilities, partially offset by the increase in accounts payable.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and 2024, net cash used in investing activities was $2.5 million and $2.4 million, respectively, primarily as a result of capitalized costs included in intangible assets.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used in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2025, net cash used in financing activities was $4.4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payment of a special cash dividend totaling $4.2 million;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paid in connection with the net share settlement of vesting RSUs totaling $0.2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 2024, we declared a special cash dividend of $0.30 per share on our common stock to shareholders of record as of January 31, 2025. The dividend, totaling $4.2 million, was paid on February 14,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three months ended March 31, 2024, net cash used in financing activities was $1.8 million. This was primarily driven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repurchases totaling $1.4 million, conducted pursuant to the Company’s Stock Repurchase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paid in connection with the net share settlement of vesting RSUs totaling $0.4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Stock Repurchase Program was originally authorized by the Board of Directors on May 2, 2022, permitting repurchases of up to $5.0 million of the Company’s common stock. On December 19, 2023, and again on March 28, 2024, the Board approved additional authorizations of $5.0 million each, expanding the total program size.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2025, we had material commitments under certain data licensing agreements totaling $11.5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fund these commitments, as well as our ongoing operating and capital requirements, using available cash on hand and cash flows generated from operations over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reported net income of $3.4 million and $1.8 million for the three months ended March 31, 2025 and 2024, respectively. As of March 31, 2025, we had total shareholders’ equity of $91.8 million and cash and cash equivalents of $34.6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our projected growth in revenue and operating results over the next twelve months, and the available cash on hand, we believe that our existing resources will be sufficient to fund operations and expected capital expenditures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anticipate continuing to fund our business through internally generated cash flows, future capital needs may arise based on the pace of revenue growth, investment in technology, or strategic initiatives. In such cases, we may seek to raise additional capital through the issuance of equity and/or debt securities. However, any such financing, if available, could result in dilution to existing stockholders and may involve terms that are not favorable to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we did not have any off-balance sheet arrangements, as defined in Item 303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include information required by this item.</w:t>
      </w:r>
    </w:p>
    <w:p>
      <w:pPr>
        <w:pStyle w:val="TextBody"/>
        <w:bidi w:val="0"/>
        <w:spacing w:before="20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the Company’s Chief Executive Officer and Chief Financial Officer, evaluated the effectiveness of the Company’s disclosure controls and procedures (as defined in Rules 13a-15(e) and 15d–15(e) of the Exchange Act) as of March 31, 2025.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identified in connection with management's evaluation pursuant to Rules 13a-15(d) or 15d-15(d) of the Exchange Act during the quarter ended March 31, 2025 that materially affected, or are reasonably likely to materially affect, our internal control over financial reporting.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Limitations on Effectiveness of Controls and Procedures and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with respect to certain legal proceedings is included in Note 11, “Commitments and contingencies,” included in “Notes to Condensed Consolidated Financial Statements” contained in Part I, Item 1 of this Form 10-Q, and is incorporated herein by reference.</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disclosed in the Company’s Annual Report on Form 10-K for the year ended December 31, 2024 filed with the SEC on February 27, 2025.</w:t>
      </w:r>
    </w:p>
    <w:p>
      <w:pPr>
        <w:pStyle w:val="TextBody"/>
        <w:bidi w:val="0"/>
        <w:spacing w:before="20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Board of Directors of the Company authorized the Stock Repurchase Program to repurchase the Company's common stock from time to time,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repurchase any common stock during the three months ended March 31, 2025 pursuant to the Stock Repurchase Program, and the approximate dollar value of shares that may yet be purchased under the Stock Repurchase Program is $4.6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pStyle w:val="TextBody"/>
        <w:bidi w:val="0"/>
        <w:spacing w:before="20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
        <w:gridCol w:w="146"/>
        <w:gridCol w:w="6031"/>
        <w:gridCol w:w="146"/>
        <w:gridCol w:w="421"/>
        <w:gridCol w:w="146"/>
        <w:gridCol w:w="409"/>
        <w:gridCol w:w="146"/>
        <w:gridCol w:w="556"/>
        <w:gridCol w:w="146"/>
        <w:gridCol w:w="570"/>
        <w:gridCol w:w="146"/>
        <w:gridCol w:w="693"/>
      </w:tblGrid>
      <w:tr>
        <w:trPr/>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w:t>
            </w:r>
          </w:p>
        </w:tc>
      </w:tr>
      <w:tr>
        <w:trPr/>
        <w:tc>
          <w:tcPr>
            <w:tcW w:w="6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Herewith</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1.htm">
              <w:r>
                <w:rPr>
                  <w:rStyle w:val="InternetLink"/>
                  <w:rFonts w:ascii="Times New Roman" w:hAnsi="Times New Roman"/>
                  <w:color w:val="0000FF"/>
                  <w:sz w:val="16"/>
                  <w:u w:val="single"/>
                </w:rPr>
                <w:t>Certification of Chief Executive Officer filed pursuant to Exchange Act Rules 13a-14(a) and 15d-14(a) of the Securities Exchange Act of 1934 as adopted pursuant to Section 302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2.htm">
              <w:r>
                <w:rPr>
                  <w:rStyle w:val="InternetLink"/>
                  <w:rFonts w:ascii="Times New Roman" w:hAnsi="Times New Roman"/>
                  <w:color w:val="0000FF"/>
                  <w:sz w:val="16"/>
                  <w:u w:val="single"/>
                </w:rPr>
                <w:t>Certification of Chief Financial Officer filed pursuant to Exchange Act Rules 13a-14(a) and 15d-14(a)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1.htm">
              <w:r>
                <w:rPr>
                  <w:rStyle w:val="InternetLink"/>
                  <w:rFonts w:ascii="Times New Roman" w:hAnsi="Times New Roman"/>
                  <w:color w:val="0000FF"/>
                  <w:sz w:val="16"/>
                  <w:u w:val="single"/>
                </w:rPr>
                <w:t>Certification by Chief Executive Officer pursuant to 18 U.S.C. Section 1350, as adopted pursuant to Section 906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2.htm">
              <w:r>
                <w:rPr>
                  <w:rStyle w:val="InternetLink"/>
                  <w:rFonts w:ascii="Times New Roman" w:hAnsi="Times New Roman"/>
                  <w:color w:val="0000FF"/>
                  <w:sz w:val="16"/>
                  <w:u w:val="single"/>
                </w:rPr>
                <w:t>Certification by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20" w:type="dxa"/>
        <w:jc w:val="left"/>
        <w:tblInd w:w="0" w:type="dxa"/>
        <w:tblLayout w:type="fixed"/>
        <w:tblCellMar>
          <w:top w:w="28" w:type="dxa"/>
          <w:left w:w="28" w:type="dxa"/>
          <w:bottom w:w="28" w:type="dxa"/>
          <w:right w:w="28" w:type="dxa"/>
        </w:tblCellMar>
      </w:tblPr>
      <w:tblGrid>
        <w:gridCol w:w="1156"/>
        <w:gridCol w:w="146"/>
        <w:gridCol w:w="406"/>
        <w:gridCol w:w="146"/>
        <w:gridCol w:w="376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May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bookmarkStart w:id="22" w:name="rdvt-ex31_1.htm"/>
      <w:bookmarkStart w:id="23" w:name="ksrdvt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Derek Dubner,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84" w:type="dxa"/>
        <w:jc w:val="left"/>
        <w:tblInd w:w="0" w:type="dxa"/>
        <w:tblLayout w:type="fixed"/>
        <w:tblCellMar>
          <w:top w:w="28" w:type="dxa"/>
          <w:left w:w="28" w:type="dxa"/>
          <w:bottom w:w="28" w:type="dxa"/>
          <w:right w:w="28" w:type="dxa"/>
        </w:tblCellMar>
      </w:tblPr>
      <w:tblGrid>
        <w:gridCol w:w="1156"/>
        <w:gridCol w:w="406"/>
        <w:gridCol w:w="146"/>
        <w:gridCol w:w="247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rdvt-ex31_2.htm"/>
      <w:bookmarkStart w:id="25" w:name="ksrdv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Daniel MacLachlan,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156"/>
        <w:gridCol w:w="406"/>
        <w:gridCol w:w="146"/>
        <w:gridCol w:w="376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dvt-ex32_1.htm"/>
      <w:bookmarkStart w:id="27" w:name="ksrdvt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March 31, 2025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4184" w:type="dxa"/>
        <w:jc w:val="left"/>
        <w:tblInd w:w="0" w:type="dxa"/>
        <w:tblLayout w:type="fixed"/>
        <w:tblCellMar>
          <w:top w:w="28" w:type="dxa"/>
          <w:left w:w="28" w:type="dxa"/>
          <w:bottom w:w="28" w:type="dxa"/>
          <w:right w:w="28" w:type="dxa"/>
        </w:tblCellMar>
      </w:tblPr>
      <w:tblGrid>
        <w:gridCol w:w="1156"/>
        <w:gridCol w:w="406"/>
        <w:gridCol w:w="146"/>
        <w:gridCol w:w="247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dvt-ex32_2.htm"/>
      <w:bookmarkStart w:id="29" w:name="ksrdvt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March 31, 2025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156"/>
        <w:gridCol w:w="406"/>
        <w:gridCol w:w="146"/>
        <w:gridCol w:w="3766"/>
      </w:tblGrid>
      <w:tr>
        <w:trPr/>
        <w:tc>
          <w:tcPr>
            <w:tcW w:w="11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12986</Words>
  <Characters>71687</Characters>
  <CharactersWithSpaces>85016</CharactersWithSpaces>
  <Paragraphs>3152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