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 (d) OF THE SECURITIES EXCHANGE ACT OF 1934</w:t>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2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3720" w:type="dxa"/>
            <w:vAlign w:val="bottom"/>
            <w:gridSpan w:val="2"/>
          </w:tcPr>
          <w:p>
            <w:pPr>
              <w:jc w:val="right"/>
              <w:ind w:right="2739"/>
              <w:spacing w:after="0"/>
              <w:rPr>
                <w:sz w:val="20"/>
                <w:szCs w:val="20"/>
                <w:color w:val="auto"/>
              </w:rPr>
            </w:pPr>
            <w:r>
              <w:rPr>
                <w:rFonts w:ascii="Arial" w:cs="Arial" w:eastAsia="Arial" w:hAnsi="Arial"/>
                <w:sz w:val="16"/>
                <w:szCs w:val="16"/>
                <w:b w:val="1"/>
                <w:bCs w:val="1"/>
                <w:color w:val="FFFFFF"/>
              </w:rPr>
              <w:t>.</w:t>
            </w:r>
          </w:p>
        </w:tc>
      </w:tr>
      <w:tr>
        <w:trPr>
          <w:trHeight w:val="244"/>
        </w:trPr>
        <w:tc>
          <w:tcPr>
            <w:tcW w:w="214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6"/>
                <w:szCs w:val="16"/>
                <w:b w:val="1"/>
                <w:bCs w:val="1"/>
                <w:color w:val="auto"/>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123825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378"/>
        </w:trPr>
        <w:tc>
          <w:tcPr>
            <w:tcW w:w="3840" w:type="dxa"/>
            <w:vAlign w:val="bottom"/>
          </w:tcPr>
          <w:p>
            <w:pPr>
              <w:spacing w:after="0"/>
              <w:rPr>
                <w:sz w:val="24"/>
                <w:szCs w:val="24"/>
                <w:color w:val="auto"/>
              </w:rPr>
            </w:pPr>
          </w:p>
        </w:tc>
        <w:tc>
          <w:tcPr>
            <w:tcW w:w="3920" w:type="dxa"/>
            <w:vAlign w:val="bottom"/>
            <w:gridSpan w:val="4"/>
          </w:tcPr>
          <w:p>
            <w:pPr>
              <w:jc w:val="center"/>
              <w:ind w:right="360"/>
              <w:spacing w:after="0"/>
              <w:rPr>
                <w:sz w:val="20"/>
                <w:szCs w:val="20"/>
                <w:color w:val="auto"/>
              </w:rPr>
            </w:pPr>
            <w:r>
              <w:rPr>
                <w:rFonts w:ascii="Arial" w:cs="Arial" w:eastAsia="Arial" w:hAnsi="Arial"/>
                <w:sz w:val="32"/>
                <w:szCs w:val="32"/>
                <w:b w:val="1"/>
                <w:bCs w:val="1"/>
                <w:color w:val="auto"/>
              </w:rPr>
              <w:t>RED VIOLET, INC.</w:t>
            </w:r>
          </w:p>
        </w:tc>
        <w:tc>
          <w:tcPr>
            <w:tcW w:w="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39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4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40" w:type="dxa"/>
            <w:vAlign w:val="bottom"/>
            <w:vMerge w:val="restart"/>
          </w:tcPr>
          <w:p>
            <w:pPr>
              <w:jc w:val="center"/>
              <w:ind w:left="1726"/>
              <w:spacing w:after="0"/>
              <w:rPr>
                <w:sz w:val="20"/>
                <w:szCs w:val="20"/>
                <w:color w:val="auto"/>
              </w:rPr>
            </w:pPr>
            <w:r>
              <w:rPr>
                <w:rFonts w:ascii="Arial" w:cs="Arial" w:eastAsia="Arial" w:hAnsi="Arial"/>
                <w:sz w:val="16"/>
                <w:szCs w:val="16"/>
                <w:b w:val="1"/>
                <w:bCs w:val="1"/>
                <w:color w:val="auto"/>
                <w:w w:val="91"/>
              </w:rPr>
              <w:t>Delaware</w:t>
            </w:r>
          </w:p>
        </w:tc>
        <w:tc>
          <w:tcPr>
            <w:tcW w:w="66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gridSpan w:val="2"/>
            <w:vMerge w:val="restart"/>
          </w:tcPr>
          <w:p>
            <w:pPr>
              <w:jc w:val="center"/>
              <w:ind w:right="1945"/>
              <w:spacing w:after="0"/>
              <w:rPr>
                <w:sz w:val="20"/>
                <w:szCs w:val="20"/>
                <w:color w:val="auto"/>
              </w:rPr>
            </w:pPr>
            <w:r>
              <w:rPr>
                <w:rFonts w:ascii="Arial" w:cs="Arial" w:eastAsia="Arial" w:hAnsi="Arial"/>
                <w:sz w:val="16"/>
                <w:szCs w:val="16"/>
                <w:b w:val="1"/>
                <w:bCs w:val="1"/>
                <w:color w:val="auto"/>
                <w:w w:val="91"/>
              </w:rPr>
              <w:t>82-2408531</w:t>
            </w:r>
          </w:p>
        </w:tc>
        <w:tc>
          <w:tcPr>
            <w:tcW w:w="0" w:type="dxa"/>
            <w:vAlign w:val="bottom"/>
          </w:tcPr>
          <w:p>
            <w:pPr>
              <w:spacing w:after="0"/>
              <w:rPr>
                <w:sz w:val="1"/>
                <w:szCs w:val="1"/>
                <w:color w:val="auto"/>
              </w:rPr>
            </w:pPr>
          </w:p>
        </w:tc>
      </w:tr>
      <w:tr>
        <w:trPr>
          <w:trHeight w:val="367"/>
        </w:trPr>
        <w:tc>
          <w:tcPr>
            <w:tcW w:w="38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840" w:type="dxa"/>
            <w:vAlign w:val="bottom"/>
          </w:tcPr>
          <w:p>
            <w:pPr>
              <w:jc w:val="center"/>
              <w:ind w:left="1726"/>
              <w:spacing w:after="0" w:line="126" w:lineRule="exact"/>
              <w:rPr>
                <w:sz w:val="20"/>
                <w:szCs w:val="20"/>
                <w:color w:val="auto"/>
              </w:rPr>
            </w:pPr>
            <w:r>
              <w:rPr>
                <w:rFonts w:ascii="Arial" w:cs="Arial" w:eastAsia="Arial" w:hAnsi="Arial"/>
                <w:sz w:val="13"/>
                <w:szCs w:val="13"/>
                <w:b w:val="1"/>
                <w:bCs w:val="1"/>
                <w:color w:val="auto"/>
                <w:w w:val="87"/>
              </w:rPr>
              <w:t>(State or other jurisdiction of</w:t>
            </w:r>
          </w:p>
        </w:tc>
        <w:tc>
          <w:tcPr>
            <w:tcW w:w="6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80" w:type="dxa"/>
            <w:vAlign w:val="bottom"/>
            <w:gridSpan w:val="2"/>
          </w:tcPr>
          <w:p>
            <w:pPr>
              <w:jc w:val="center"/>
              <w:ind w:right="1945"/>
              <w:spacing w:after="0" w:line="126"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3840" w:type="dxa"/>
            <w:vAlign w:val="bottom"/>
          </w:tcPr>
          <w:p>
            <w:pPr>
              <w:jc w:val="center"/>
              <w:ind w:left="1726"/>
              <w:spacing w:after="0"/>
              <w:rPr>
                <w:sz w:val="20"/>
                <w:szCs w:val="20"/>
                <w:color w:val="auto"/>
              </w:rPr>
            </w:pPr>
            <w:r>
              <w:rPr>
                <w:rFonts w:ascii="Arial" w:cs="Arial" w:eastAsia="Arial" w:hAnsi="Arial"/>
                <w:sz w:val="13"/>
                <w:szCs w:val="13"/>
                <w:b w:val="1"/>
                <w:bCs w:val="1"/>
                <w:color w:val="auto"/>
                <w:w w:val="88"/>
              </w:rPr>
              <w:t>incorporation or organization)</w:t>
            </w:r>
          </w:p>
        </w:tc>
        <w:tc>
          <w:tcPr>
            <w:tcW w:w="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2"/>
          </w:tcPr>
          <w:p>
            <w:pPr>
              <w:jc w:val="center"/>
              <w:ind w:right="1945"/>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00"/>
        </w:trPr>
        <w:tc>
          <w:tcPr>
            <w:tcW w:w="3840" w:type="dxa"/>
            <w:vAlign w:val="bottom"/>
          </w:tcPr>
          <w:p>
            <w:pPr>
              <w:spacing w:after="0"/>
              <w:rPr>
                <w:sz w:val="17"/>
                <w:szCs w:val="17"/>
                <w:color w:val="auto"/>
              </w:rPr>
            </w:pPr>
          </w:p>
        </w:tc>
        <w:tc>
          <w:tcPr>
            <w:tcW w:w="392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5"/>
              </w:rPr>
              <w:t>2650 North Military Trail, Suite 300,</w:t>
            </w:r>
          </w:p>
        </w:tc>
        <w:tc>
          <w:tcPr>
            <w:tcW w:w="4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6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91"/>
              </w:rPr>
              <w:t>Boca Raton, Florida 33431</w:t>
            </w:r>
          </w:p>
        </w:tc>
        <w:tc>
          <w:tcPr>
            <w:tcW w:w="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840" w:type="dxa"/>
            <w:vAlign w:val="bottom"/>
          </w:tcPr>
          <w:p>
            <w:pPr>
              <w:spacing w:after="0"/>
              <w:rPr>
                <w:sz w:val="14"/>
                <w:szCs w:val="14"/>
                <w:color w:val="auto"/>
              </w:rPr>
            </w:pPr>
          </w:p>
        </w:tc>
        <w:tc>
          <w:tcPr>
            <w:tcW w:w="39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39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6"/>
              </w:rPr>
              <w:t>Registrant’s telephone number, including area code: (561) 757-4000</w:t>
            </w:r>
          </w:p>
        </w:tc>
        <w:tc>
          <w:tcPr>
            <w:tcW w:w="4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840" w:type="dxa"/>
            <w:vAlign w:val="bottom"/>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6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8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40" w:type="dxa"/>
            <w:vAlign w:val="bottom"/>
            <w:tcBorders>
              <w:left w:val="single" w:sz="8" w:color="auto"/>
              <w:bottom w:val="single" w:sz="8" w:color="auto"/>
              <w:right w:val="single" w:sz="8" w:color="auto"/>
            </w:tcBorders>
          </w:tcPr>
          <w:p>
            <w:pPr>
              <w:jc w:val="center"/>
              <w:spacing w:after="0" w:line="109" w:lineRule="exact"/>
              <w:rPr>
                <w:sz w:val="20"/>
                <w:szCs w:val="20"/>
                <w:color w:val="auto"/>
              </w:rPr>
            </w:pPr>
            <w:r>
              <w:rPr>
                <w:rFonts w:ascii="Arial" w:cs="Arial" w:eastAsia="Arial" w:hAnsi="Arial"/>
                <w:sz w:val="12"/>
                <w:szCs w:val="12"/>
                <w:color w:val="auto"/>
                <w:w w:val="95"/>
              </w:rPr>
              <w:t>Title of each class</w:t>
            </w:r>
          </w:p>
        </w:tc>
        <w:tc>
          <w:tcPr>
            <w:tcW w:w="660" w:type="dxa"/>
            <w:vAlign w:val="bottom"/>
            <w:tcBorders>
              <w:bottom w:val="single" w:sz="8" w:color="auto"/>
            </w:tcBorders>
          </w:tcPr>
          <w:p>
            <w:pPr>
              <w:spacing w:after="0"/>
              <w:rPr>
                <w:sz w:val="11"/>
                <w:szCs w:val="11"/>
                <w:color w:val="auto"/>
              </w:rPr>
            </w:pPr>
          </w:p>
        </w:tc>
        <w:tc>
          <w:tcPr>
            <w:tcW w:w="3160" w:type="dxa"/>
            <w:vAlign w:val="bottom"/>
            <w:tcBorders>
              <w:bottom w:val="single" w:sz="8" w:color="auto"/>
              <w:right w:val="single" w:sz="8" w:color="auto"/>
            </w:tcBorders>
            <w:gridSpan w:val="2"/>
          </w:tcPr>
          <w:p>
            <w:pPr>
              <w:jc w:val="center"/>
              <w:ind w:right="700"/>
              <w:spacing w:after="0" w:line="109" w:lineRule="exact"/>
              <w:rPr>
                <w:sz w:val="20"/>
                <w:szCs w:val="20"/>
                <w:color w:val="auto"/>
              </w:rPr>
            </w:pPr>
            <w:r>
              <w:rPr>
                <w:rFonts w:ascii="Arial" w:cs="Arial" w:eastAsia="Arial" w:hAnsi="Arial"/>
                <w:sz w:val="12"/>
                <w:szCs w:val="12"/>
                <w:color w:val="auto"/>
                <w:w w:val="96"/>
              </w:rPr>
              <w:t>Trading Symbol (s)</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0" w:type="dxa"/>
            <w:vAlign w:val="bottom"/>
            <w:tcBorders>
              <w:bottom w:val="single" w:sz="8" w:color="auto"/>
              <w:right w:val="single" w:sz="8" w:color="auto"/>
            </w:tcBorders>
          </w:tcPr>
          <w:p>
            <w:pPr>
              <w:ind w:left="80"/>
              <w:spacing w:after="0" w:line="109" w:lineRule="exact"/>
              <w:rPr>
                <w:sz w:val="20"/>
                <w:szCs w:val="20"/>
                <w:color w:val="auto"/>
              </w:rPr>
            </w:pPr>
            <w:r>
              <w:rPr>
                <w:rFonts w:ascii="Arial" w:cs="Arial" w:eastAsia="Arial" w:hAnsi="Arial"/>
                <w:sz w:val="12"/>
                <w:szCs w:val="12"/>
                <w:color w:val="auto"/>
              </w:rPr>
              <w:t>Name of each exchange on which registered</w:t>
            </w:r>
          </w:p>
        </w:tc>
        <w:tc>
          <w:tcPr>
            <w:tcW w:w="0" w:type="dxa"/>
            <w:vAlign w:val="bottom"/>
          </w:tcPr>
          <w:p>
            <w:pPr>
              <w:spacing w:after="0"/>
              <w:rPr>
                <w:sz w:val="1"/>
                <w:szCs w:val="1"/>
                <w:color w:val="auto"/>
              </w:rPr>
            </w:pPr>
          </w:p>
        </w:tc>
      </w:tr>
      <w:tr>
        <w:trPr>
          <w:trHeight w:val="179"/>
        </w:trPr>
        <w:tc>
          <w:tcPr>
            <w:tcW w:w="384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90"/>
              </w:rPr>
              <w:t>Common Stock, $0.001 par value per share</w:t>
            </w:r>
          </w:p>
        </w:tc>
        <w:tc>
          <w:tcPr>
            <w:tcW w:w="660" w:type="dxa"/>
            <w:vAlign w:val="bottom"/>
            <w:tcBorders>
              <w:bottom w:val="single" w:sz="8" w:color="auto"/>
            </w:tcBorders>
          </w:tcPr>
          <w:p>
            <w:pPr>
              <w:spacing w:after="0"/>
              <w:rPr>
                <w:sz w:val="15"/>
                <w:szCs w:val="15"/>
                <w:color w:val="auto"/>
              </w:rPr>
            </w:pPr>
          </w:p>
        </w:tc>
        <w:tc>
          <w:tcPr>
            <w:tcW w:w="3160" w:type="dxa"/>
            <w:vAlign w:val="bottom"/>
            <w:tcBorders>
              <w:bottom w:val="single" w:sz="8" w:color="auto"/>
              <w:right w:val="single" w:sz="8" w:color="auto"/>
            </w:tcBorders>
            <w:gridSpan w:val="2"/>
          </w:tcPr>
          <w:p>
            <w:pPr>
              <w:jc w:val="center"/>
              <w:ind w:right="680"/>
              <w:spacing w:after="0" w:line="179" w:lineRule="exact"/>
              <w:rPr>
                <w:sz w:val="20"/>
                <w:szCs w:val="20"/>
                <w:color w:val="auto"/>
              </w:rPr>
            </w:pPr>
            <w:r>
              <w:rPr>
                <w:rFonts w:ascii="Arial" w:cs="Arial" w:eastAsia="Arial" w:hAnsi="Arial"/>
                <w:sz w:val="16"/>
                <w:szCs w:val="16"/>
                <w:color w:val="auto"/>
              </w:rPr>
              <w:t>RDVT</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0" w:type="dxa"/>
            <w:vAlign w:val="bottom"/>
            <w:tcBorders>
              <w:bottom w:val="single" w:sz="8" w:color="auto"/>
              <w:right w:val="single" w:sz="8" w:color="auto"/>
            </w:tcBorders>
          </w:tcPr>
          <w:p>
            <w:pPr>
              <w:ind w:left="80"/>
              <w:spacing w:after="0" w:line="179" w:lineRule="exact"/>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30"/>
        </w:trPr>
        <w:tc>
          <w:tcPr>
            <w:tcW w:w="7760" w:type="dxa"/>
            <w:vAlign w:val="bottom"/>
            <w:gridSpan w:val="5"/>
          </w:tcPr>
          <w:p>
            <w:pPr>
              <w:jc w:val="center"/>
              <w:ind w:left="3406"/>
              <w:spacing w:after="0"/>
              <w:rPr>
                <w:sz w:val="20"/>
                <w:szCs w:val="20"/>
                <w:color w:val="auto"/>
              </w:rPr>
            </w:pPr>
            <w:r>
              <w:rPr>
                <w:rFonts w:ascii="Arial" w:cs="Arial" w:eastAsia="Arial" w:hAnsi="Arial"/>
                <w:sz w:val="16"/>
                <w:szCs w:val="16"/>
                <w:color w:val="auto"/>
                <w:w w:val="91"/>
              </w:rPr>
              <w:t>Securities registered pursuant to Section 12(g) of the Act: None</w:t>
            </w:r>
          </w:p>
        </w:tc>
        <w:tc>
          <w:tcPr>
            <w:tcW w:w="4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00" w:type="dxa"/>
            <w:vAlign w:val="bottom"/>
            <w:gridSpan w:val="2"/>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020" w:type="dxa"/>
            <w:vAlign w:val="bottom"/>
            <w:gridSpan w:val="2"/>
          </w:tcPr>
          <w:p>
            <w:pPr>
              <w:spacing w:after="0"/>
              <w:rPr>
                <w:sz w:val="16"/>
                <w:szCs w:val="16"/>
                <w:color w:val="auto"/>
              </w:rPr>
            </w:pPr>
          </w:p>
        </w:tc>
        <w:tc>
          <w:tcPr>
            <w:tcW w:w="480" w:type="dxa"/>
            <w:vAlign w:val="bottom"/>
            <w:vMerge w:val="restart"/>
          </w:tcPr>
          <w:p>
            <w:pPr>
              <w:ind w:left="2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3000" w:type="dxa"/>
            <w:vAlign w:val="bottom"/>
            <w:vMerge w:val="restart"/>
          </w:tcPr>
          <w:p>
            <w:pPr>
              <w:jc w:val="center"/>
              <w:ind w:right="2185"/>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97"/>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80" w:type="dxa"/>
            <w:vAlign w:val="bottom"/>
            <w:vMerge w:val="continue"/>
          </w:tcPr>
          <w:p>
            <w:pPr>
              <w:spacing w:after="0"/>
              <w:rPr>
                <w:sz w:val="17"/>
                <w:szCs w:val="17"/>
                <w:color w:val="auto"/>
              </w:rPr>
            </w:pP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6"/>
                <w:szCs w:val="16"/>
                <w:color w:val="auto"/>
              </w:rPr>
              <w:t>Yes</w:t>
            </w:r>
          </w:p>
        </w:tc>
        <w:tc>
          <w:tcPr>
            <w:tcW w:w="3000" w:type="dxa"/>
            <w:vAlign w:val="bottom"/>
          </w:tcPr>
          <w:p>
            <w:pPr>
              <w:jc w:val="center"/>
              <w:ind w:right="2185"/>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spacing w:after="0" w:line="18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ind w:right="400"/>
        <w:spacing w:after="0" w:line="19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120"/>
        <w:spacing w:after="0" w:line="23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00"/>
              <w:spacing w:after="0"/>
              <w:rPr>
                <w:sz w:val="20"/>
                <w:szCs w:val="20"/>
                <w:color w:val="auto"/>
              </w:rPr>
            </w:pPr>
            <w:r>
              <w:rPr>
                <w:rFonts w:ascii="Arial" w:cs="Arial" w:eastAsia="Arial" w:hAnsi="Arial"/>
                <w:sz w:val="16"/>
                <w:szCs w:val="16"/>
                <w:color w:val="auto"/>
              </w:rPr>
              <w:t>Accelerated filer</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200"/>
              <w:spacing w:after="0"/>
              <w:rPr>
                <w:sz w:val="20"/>
                <w:szCs w:val="20"/>
                <w:color w:val="auto"/>
              </w:rPr>
            </w:pPr>
            <w:r>
              <w:rPr>
                <w:rFonts w:ascii="Arial" w:cs="Arial" w:eastAsia="Arial" w:hAnsi="Arial"/>
                <w:sz w:val="16"/>
                <w:szCs w:val="16"/>
                <w:color w:val="auto"/>
              </w:rPr>
              <w:t>Smaller reporting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34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740" w:type="dxa"/>
            <w:vAlign w:val="bottom"/>
          </w:tcPr>
          <w:p>
            <w:pPr>
              <w:ind w:left="2200"/>
              <w:spacing w:after="0"/>
              <w:rPr>
                <w:sz w:val="20"/>
                <w:szCs w:val="20"/>
                <w:color w:val="auto"/>
              </w:rPr>
            </w:pPr>
            <w:r>
              <w:rPr>
                <w:rFonts w:ascii="Arial" w:cs="Arial" w:eastAsia="Arial" w:hAnsi="Arial"/>
                <w:sz w:val="16"/>
                <w:szCs w:val="16"/>
                <w:color w:val="auto"/>
              </w:rPr>
              <w:t>Emerging growth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580"/>
        <w:spacing w:after="0" w:line="19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20"/>
        <w:spacing w:after="0" w:line="18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ind w:right="280"/>
        <w:spacing w:after="0" w:line="239" w:lineRule="auto"/>
        <w:rPr>
          <w:sz w:val="20"/>
          <w:szCs w:val="20"/>
          <w:color w:val="auto"/>
        </w:rPr>
      </w:pPr>
      <w:r>
        <w:rPr>
          <w:rFonts w:ascii="Arial" w:cs="Arial" w:eastAsia="Arial" w:hAnsi="Arial"/>
          <w:sz w:val="16"/>
          <w:szCs w:val="16"/>
          <w:color w:val="auto"/>
        </w:rPr>
        <w:t>On June 30, 2021, the last business day of the registrant’s most recently completed second fiscal quarter, the aggregate market value (based on the closing per share sales price of its common stock on that date) of the voting stock held by non-affiliates of the registrant was $191.7 million.</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as of March 4, 2022, was 13,522,567.</w:t>
      </w:r>
    </w:p>
    <w:p>
      <w:pPr>
        <w:spacing w:after="0" w:line="28"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 w:lineRule="exact"/>
        <w:rPr>
          <w:sz w:val="24"/>
          <w:szCs w:val="24"/>
          <w:color w:val="auto"/>
        </w:rPr>
      </w:pPr>
    </w:p>
    <w:p>
      <w:pPr>
        <w:ind w:right="320"/>
        <w:spacing w:after="0" w:line="253" w:lineRule="auto"/>
        <w:rPr>
          <w:sz w:val="20"/>
          <w:szCs w:val="20"/>
          <w:color w:val="auto"/>
        </w:rPr>
      </w:pPr>
      <w:r>
        <w:rPr>
          <w:rFonts w:ascii="Arial" w:cs="Arial" w:eastAsia="Arial" w:hAnsi="Arial"/>
          <w:sz w:val="16"/>
          <w:szCs w:val="16"/>
          <w:color w:val="auto"/>
        </w:rPr>
        <w:t>Portions of the registrant’s Proxy Statement relating to its 2022 Annual Meeting of Stockholders to be filed with the SEC within 120 days after the end of the fiscal year ended December 31, 2021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40" w:type="dxa"/>
            <w:vAlign w:val="bottom"/>
            <w:gridSpan w:val="10"/>
          </w:tcPr>
          <w:p>
            <w:pPr>
              <w:jc w:val="center"/>
              <w:ind w:right="3640"/>
              <w:spacing w:after="0"/>
              <w:rPr>
                <w:sz w:val="20"/>
                <w:szCs w:val="20"/>
                <w:color w:val="auto"/>
              </w:rPr>
            </w:pPr>
            <w:r>
              <w:rPr>
                <w:rFonts w:ascii="Arial" w:cs="Arial" w:eastAsia="Arial" w:hAnsi="Arial"/>
                <w:sz w:val="18"/>
                <w:szCs w:val="18"/>
                <w:b w:val="1"/>
                <w:bCs w:val="1"/>
                <w:color w:val="auto"/>
              </w:rPr>
              <w:t>RED VIOLET, INC.</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60" w:type="dxa"/>
            <w:vAlign w:val="bottom"/>
            <w:gridSpan w:val="12"/>
          </w:tcPr>
          <w:p>
            <w:pPr>
              <w:jc w:val="center"/>
              <w:ind w:right="2540"/>
              <w:spacing w:after="0"/>
              <w:rPr>
                <w:sz w:val="20"/>
                <w:szCs w:val="20"/>
                <w:color w:val="auto"/>
              </w:rPr>
            </w:pPr>
            <w:r>
              <w:rPr>
                <w:rFonts w:ascii="Arial" w:cs="Arial" w:eastAsia="Arial" w:hAnsi="Arial"/>
                <w:sz w:val="18"/>
                <w:szCs w:val="18"/>
                <w:b w:val="1"/>
                <w:bCs w:val="1"/>
                <w:color w:val="auto"/>
                <w:w w:val="99"/>
              </w:rPr>
              <w:t>TABLE OF CONTENTS FOR FORM 10-K</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1500" w:type="dxa"/>
            <w:vAlign w:val="bottom"/>
            <w:gridSpan w:val="6"/>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80" w:type="dxa"/>
            <w:vAlign w:val="bottom"/>
            <w:tcBorders>
              <w:top w:val="single" w:sz="8" w:color="0000EE"/>
            </w:tcBorders>
          </w:tcPr>
          <w:p>
            <w:pPr>
              <w:ind w:left="20"/>
              <w:spacing w:after="0"/>
              <w:rPr>
                <w:sz w:val="20"/>
                <w:szCs w:val="20"/>
                <w:color w:val="auto"/>
              </w:rPr>
            </w:pPr>
            <w:r>
              <w:rPr>
                <w:rFonts w:ascii="Arial" w:cs="Arial" w:eastAsia="Arial" w:hAnsi="Arial"/>
                <w:sz w:val="18"/>
                <w:szCs w:val="18"/>
                <w:color w:val="auto"/>
                <w:w w:val="98"/>
              </w:rPr>
              <w:t>Item 1.</w:t>
            </w:r>
          </w:p>
        </w:tc>
        <w:tc>
          <w:tcPr>
            <w:tcW w:w="920" w:type="dxa"/>
            <w:vAlign w:val="bottom"/>
            <w:gridSpan w:val="5"/>
          </w:tcPr>
          <w:p>
            <w:pPr>
              <w:spacing w:after="0"/>
              <w:rPr>
                <w:sz w:val="24"/>
                <w:szCs w:val="24"/>
                <w:color w:val="auto"/>
              </w:rPr>
            </w:pPr>
          </w:p>
        </w:tc>
        <w:tc>
          <w:tcPr>
            <w:tcW w:w="640" w:type="dxa"/>
            <w:vAlign w:val="bottom"/>
            <w:tcBorders>
              <w:bottom w:val="single" w:sz="8" w:color="auto"/>
            </w:tcBorders>
          </w:tcPr>
          <w:p>
            <w:pPr>
              <w:spacing w:after="0"/>
              <w:rPr>
                <w:rFonts w:ascii="Arial" w:cs="Arial" w:eastAsia="Arial" w:hAnsi="Arial"/>
                <w:sz w:val="18"/>
                <w:szCs w:val="18"/>
                <w:color w:val="auto"/>
                <w:w w:val="84"/>
              </w:rPr>
            </w:pPr>
            <w:hyperlink w:anchor="page3">
              <w:r>
                <w:rPr>
                  <w:rFonts w:ascii="Arial" w:cs="Arial" w:eastAsia="Arial" w:hAnsi="Arial"/>
                  <w:sz w:val="18"/>
                  <w:szCs w:val="18"/>
                  <w:color w:val="auto"/>
                  <w:w w:val="84"/>
                </w:rPr>
                <w:t>Business</w:t>
              </w:r>
            </w:hyperlink>
          </w:p>
        </w:tc>
        <w:tc>
          <w:tcPr>
            <w:tcW w:w="8060" w:type="dxa"/>
            <w:vAlign w:val="bottom"/>
            <w:gridSpan w:val="21"/>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1A.</w:t>
            </w:r>
          </w:p>
        </w:tc>
        <w:tc>
          <w:tcPr>
            <w:tcW w:w="8700" w:type="dxa"/>
            <w:vAlign w:val="bottom"/>
            <w:gridSpan w:val="22"/>
          </w:tcPr>
          <w:p>
            <w:pPr>
              <w:spacing w:after="0" w:line="169" w:lineRule="exact"/>
              <w:rPr>
                <w:rFonts w:ascii="Arial" w:cs="Arial" w:eastAsia="Arial" w:hAnsi="Arial"/>
                <w:sz w:val="18"/>
                <w:szCs w:val="18"/>
                <w:color w:val="auto"/>
              </w:rPr>
            </w:pPr>
            <w:hyperlink w:anchor="page9">
              <w:r>
                <w:rPr>
                  <w:rFonts w:ascii="Arial" w:cs="Arial" w:eastAsia="Arial" w:hAnsi="Arial"/>
                  <w:sz w:val="18"/>
                  <w:szCs w:val="18"/>
                  <w:color w:val="auto"/>
                </w:rPr>
                <w:t>Risk Factors</w:t>
              </w:r>
            </w:hyperlink>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1B.</w:t>
            </w:r>
          </w:p>
        </w:tc>
        <w:tc>
          <w:tcPr>
            <w:tcW w:w="900" w:type="dxa"/>
            <w:vAlign w:val="bottom"/>
            <w:tcBorders>
              <w:top w:val="single" w:sz="8" w:color="auto"/>
            </w:tcBorders>
            <w:gridSpan w:val="4"/>
          </w:tcPr>
          <w:p>
            <w:pPr>
              <w:spacing w:after="0" w:line="169" w:lineRule="exact"/>
              <w:rPr>
                <w:rFonts w:ascii="Arial" w:cs="Arial" w:eastAsia="Arial" w:hAnsi="Arial"/>
                <w:sz w:val="18"/>
                <w:szCs w:val="18"/>
                <w:color w:val="auto"/>
                <w:w w:val="96"/>
              </w:rPr>
            </w:pPr>
            <w:hyperlink w:anchor="page21">
              <w:r>
                <w:rPr>
                  <w:rFonts w:ascii="Arial" w:cs="Arial" w:eastAsia="Arial" w:hAnsi="Arial"/>
                  <w:sz w:val="18"/>
                  <w:szCs w:val="18"/>
                  <w:color w:val="auto"/>
                  <w:w w:val="96"/>
                </w:rPr>
                <w:t>Unresolved</w:t>
              </w:r>
            </w:hyperlink>
          </w:p>
        </w:tc>
        <w:tc>
          <w:tcPr>
            <w:tcW w:w="7800" w:type="dxa"/>
            <w:vAlign w:val="bottom"/>
            <w:gridSpan w:val="18"/>
          </w:tcPr>
          <w:p>
            <w:pPr>
              <w:spacing w:after="0" w:line="169" w:lineRule="exact"/>
              <w:rPr>
                <w:rFonts w:ascii="Arial" w:cs="Arial" w:eastAsia="Arial" w:hAnsi="Arial"/>
                <w:sz w:val="18"/>
                <w:szCs w:val="18"/>
                <w:color w:val="auto"/>
              </w:rPr>
            </w:pPr>
            <w:hyperlink w:anchor="page21">
              <w:r>
                <w:rPr>
                  <w:rFonts w:ascii="Arial" w:cs="Arial" w:eastAsia="Arial" w:hAnsi="Arial"/>
                  <w:sz w:val="18"/>
                  <w:szCs w:val="18"/>
                  <w:color w:val="auto"/>
                </w:rPr>
                <w:t>Staff Comments</w:t>
              </w:r>
            </w:hyperlink>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auto"/>
            </w:tcBorders>
            <w:gridSpan w:val="10"/>
          </w:tcPr>
          <w:p>
            <w:pPr>
              <w:spacing w:after="0" w:line="169" w:lineRule="exact"/>
              <w:rPr>
                <w:rFonts w:ascii="Arial" w:cs="Arial" w:eastAsia="Arial" w:hAnsi="Arial"/>
                <w:sz w:val="18"/>
                <w:szCs w:val="18"/>
                <w:color w:val="auto"/>
              </w:rPr>
            </w:pPr>
            <w:hyperlink w:anchor="page21">
              <w:r>
                <w:rPr>
                  <w:rFonts w:ascii="Arial" w:cs="Arial" w:eastAsia="Arial" w:hAnsi="Arial"/>
                  <w:sz w:val="18"/>
                  <w:szCs w:val="18"/>
                  <w:color w:val="auto"/>
                </w:rPr>
                <w:t>Properties</w:t>
              </w:r>
            </w:hyperlink>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gridSpan w:val="6"/>
            <w:vMerge w:val="restart"/>
          </w:tcPr>
          <w:p>
            <w:pPr>
              <w:ind w:left="20"/>
              <w:spacing w:after="0" w:line="189" w:lineRule="exact"/>
              <w:rPr>
                <w:sz w:val="20"/>
                <w:szCs w:val="20"/>
                <w:color w:val="auto"/>
              </w:rPr>
            </w:pPr>
            <w:r>
              <w:rPr>
                <w:rFonts w:ascii="Arial" w:cs="Arial" w:eastAsia="Arial" w:hAnsi="Arial"/>
                <w:sz w:val="18"/>
                <w:szCs w:val="18"/>
                <w:color w:val="auto"/>
              </w:rPr>
              <w:t>Item 3.</w:t>
            </w:r>
          </w:p>
        </w:tc>
        <w:tc>
          <w:tcPr>
            <w:tcW w:w="7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vMerge w:val="continue"/>
          </w:tcPr>
          <w:p>
            <w:pPr>
              <w:spacing w:after="0"/>
              <w:rPr>
                <w:sz w:val="14"/>
                <w:szCs w:val="14"/>
                <w:color w:val="auto"/>
              </w:rPr>
            </w:pPr>
          </w:p>
        </w:tc>
        <w:tc>
          <w:tcPr>
            <w:tcW w:w="1340" w:type="dxa"/>
            <w:vAlign w:val="bottom"/>
            <w:tcBorders>
              <w:bottom w:val="single" w:sz="8" w:color="auto"/>
            </w:tcBorders>
            <w:gridSpan w:val="6"/>
          </w:tcPr>
          <w:p>
            <w:pPr>
              <w:spacing w:after="0" w:line="169" w:lineRule="exact"/>
              <w:rPr>
                <w:rFonts w:ascii="Arial" w:cs="Arial" w:eastAsia="Arial" w:hAnsi="Arial"/>
                <w:sz w:val="18"/>
                <w:szCs w:val="18"/>
                <w:color w:val="auto"/>
                <w:w w:val="88"/>
              </w:rPr>
            </w:pPr>
            <w:hyperlink w:anchor="page21">
              <w:r>
                <w:rPr>
                  <w:rFonts w:ascii="Arial" w:cs="Arial" w:eastAsia="Arial" w:hAnsi="Arial"/>
                  <w:sz w:val="18"/>
                  <w:szCs w:val="18"/>
                  <w:color w:val="auto"/>
                  <w:w w:val="88"/>
                </w:rPr>
                <w:t>Legal Proceedings</w:t>
              </w:r>
            </w:hyperlink>
          </w:p>
        </w:tc>
        <w:tc>
          <w:tcPr>
            <w:tcW w:w="7360" w:type="dxa"/>
            <w:vAlign w:val="bottom"/>
            <w:gridSpan w:val="16"/>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4.</w:t>
            </w:r>
          </w:p>
        </w:tc>
        <w:tc>
          <w:tcPr>
            <w:tcW w:w="8700" w:type="dxa"/>
            <w:vAlign w:val="bottom"/>
            <w:gridSpan w:val="22"/>
          </w:tcPr>
          <w:p>
            <w:pPr>
              <w:spacing w:after="0" w:line="169" w:lineRule="exact"/>
              <w:rPr>
                <w:rFonts w:ascii="Arial" w:cs="Arial" w:eastAsia="Arial" w:hAnsi="Arial"/>
                <w:sz w:val="18"/>
                <w:szCs w:val="18"/>
                <w:color w:val="auto"/>
              </w:rPr>
            </w:pPr>
            <w:hyperlink w:anchor="page21">
              <w:r>
                <w:rPr>
                  <w:rFonts w:ascii="Arial" w:cs="Arial" w:eastAsia="Arial" w:hAnsi="Arial"/>
                  <w:sz w:val="18"/>
                  <w:szCs w:val="18"/>
                  <w:color w:val="auto"/>
                </w:rPr>
                <w:t>Mine Safety Disclosures</w:t>
              </w:r>
            </w:hyperlink>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60" w:type="dxa"/>
            <w:vAlign w:val="bottom"/>
            <w:tcBorders>
              <w:bottom w:val="single" w:sz="8" w:color="0000EE"/>
            </w:tcBorders>
            <w:gridSpan w:val="2"/>
          </w:tcPr>
          <w:p>
            <w:pPr>
              <w:spacing w:after="0"/>
              <w:rPr>
                <w:rFonts w:ascii="Arial" w:cs="Arial" w:eastAsia="Arial" w:hAnsi="Arial"/>
                <w:sz w:val="18"/>
                <w:szCs w:val="18"/>
                <w:b w:val="1"/>
                <w:bCs w:val="1"/>
                <w:color w:val="auto"/>
                <w:w w:val="99"/>
              </w:rPr>
            </w:pPr>
            <w:hyperlink w:anchor="page22">
              <w:r>
                <w:rPr>
                  <w:rFonts w:ascii="Arial" w:cs="Arial" w:eastAsia="Arial" w:hAnsi="Arial"/>
                  <w:sz w:val="18"/>
                  <w:szCs w:val="18"/>
                  <w:b w:val="1"/>
                  <w:bCs w:val="1"/>
                  <w:color w:val="auto"/>
                  <w:w w:val="99"/>
                </w:rPr>
                <w:t>PART II</w:t>
              </w:r>
            </w:hyperlink>
          </w:p>
        </w:tc>
        <w:tc>
          <w:tcPr>
            <w:tcW w:w="840" w:type="dxa"/>
            <w:vAlign w:val="bottom"/>
            <w:gridSpan w:val="4"/>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5.</w:t>
            </w:r>
          </w:p>
        </w:tc>
        <w:tc>
          <w:tcPr>
            <w:tcW w:w="8700" w:type="dxa"/>
            <w:vAlign w:val="bottom"/>
            <w:gridSpan w:val="22"/>
          </w:tcPr>
          <w:p>
            <w:pPr>
              <w:spacing w:after="0"/>
              <w:rPr>
                <w:rFonts w:ascii="Arial" w:cs="Arial" w:eastAsia="Arial" w:hAnsi="Arial"/>
                <w:sz w:val="18"/>
                <w:szCs w:val="18"/>
                <w:color w:val="auto"/>
                <w:w w:val="97"/>
              </w:rPr>
            </w:pPr>
            <w:hyperlink w:anchor="page22">
              <w:r>
                <w:rPr>
                  <w:rFonts w:ascii="Arial" w:cs="Arial" w:eastAsia="Arial" w:hAnsi="Arial"/>
                  <w:sz w:val="18"/>
                  <w:szCs w:val="18"/>
                  <w:color w:val="auto"/>
                  <w:w w:val="97"/>
                </w:rPr>
                <w:t>Market for Registrant’s Common Equity, Related Stockholder Matters and Issuer Purchases of Equity Securities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6.</w:t>
            </w:r>
          </w:p>
        </w:tc>
        <w:tc>
          <w:tcPr>
            <w:tcW w:w="8080" w:type="dxa"/>
            <w:vAlign w:val="bottom"/>
            <w:tcBorders>
              <w:top w:val="single" w:sz="8" w:color="auto"/>
            </w:tcBorders>
            <w:gridSpan w:val="21"/>
          </w:tcPr>
          <w:p>
            <w:pPr>
              <w:spacing w:after="0" w:line="169" w:lineRule="exact"/>
              <w:rPr>
                <w:rFonts w:ascii="Arial" w:cs="Arial" w:eastAsia="Arial" w:hAnsi="Arial"/>
                <w:sz w:val="18"/>
                <w:szCs w:val="18"/>
                <w:color w:val="auto"/>
              </w:rPr>
            </w:pPr>
            <w:hyperlink w:anchor="page22">
              <w:r>
                <w:rPr>
                  <w:rFonts w:ascii="Arial" w:cs="Arial" w:eastAsia="Arial" w:hAnsi="Arial"/>
                  <w:sz w:val="18"/>
                  <w:szCs w:val="18"/>
                  <w:color w:val="auto"/>
                </w:rPr>
                <w:t>[Reserved]</w:t>
              </w:r>
            </w:hyperlink>
          </w:p>
        </w:tc>
        <w:tc>
          <w:tcPr>
            <w:tcW w:w="62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gridSpan w:val="6"/>
            <w:vMerge w:val="restart"/>
          </w:tcPr>
          <w:p>
            <w:pPr>
              <w:ind w:left="20"/>
              <w:spacing w:after="0" w:line="189" w:lineRule="exact"/>
              <w:rPr>
                <w:sz w:val="20"/>
                <w:szCs w:val="20"/>
                <w:color w:val="auto"/>
              </w:rPr>
            </w:pPr>
            <w:r>
              <w:rPr>
                <w:rFonts w:ascii="Arial" w:cs="Arial" w:eastAsia="Arial" w:hAnsi="Arial"/>
                <w:sz w:val="18"/>
                <w:szCs w:val="18"/>
                <w:color w:val="auto"/>
              </w:rPr>
              <w:t>Item 7.</w:t>
            </w:r>
          </w:p>
        </w:tc>
        <w:tc>
          <w:tcPr>
            <w:tcW w:w="780" w:type="dxa"/>
            <w:vAlign w:val="bottom"/>
            <w:gridSpan w:val="3"/>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vMerge w:val="continue"/>
          </w:tcPr>
          <w:p>
            <w:pPr>
              <w:spacing w:after="0"/>
              <w:rPr>
                <w:sz w:val="14"/>
                <w:szCs w:val="14"/>
                <w:color w:val="auto"/>
              </w:rPr>
            </w:pPr>
          </w:p>
        </w:tc>
        <w:tc>
          <w:tcPr>
            <w:tcW w:w="8700" w:type="dxa"/>
            <w:vAlign w:val="bottom"/>
            <w:gridSpan w:val="22"/>
          </w:tcPr>
          <w:p>
            <w:pPr>
              <w:spacing w:after="0" w:line="169" w:lineRule="exact"/>
              <w:rPr>
                <w:rFonts w:ascii="Arial" w:cs="Arial" w:eastAsia="Arial" w:hAnsi="Arial"/>
                <w:sz w:val="18"/>
                <w:szCs w:val="18"/>
                <w:color w:val="auto"/>
              </w:rPr>
            </w:pPr>
            <w:hyperlink w:anchor="page23">
              <w:r>
                <w:rPr>
                  <w:rFonts w:ascii="Arial" w:cs="Arial" w:eastAsia="Arial" w:hAnsi="Arial"/>
                  <w:sz w:val="18"/>
                  <w:szCs w:val="18"/>
                  <w:color w:val="auto"/>
                </w:rPr>
                <w:t>Management’s Discussion and Analysis of Financial Condition and Results of Operations</w:t>
              </w:r>
            </w:hyperlink>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auto"/>
            </w:tcBorders>
            <w:gridSpan w:val="18"/>
          </w:tcPr>
          <w:p>
            <w:pPr>
              <w:spacing w:after="0" w:line="169" w:lineRule="exact"/>
              <w:rPr>
                <w:rFonts w:ascii="Arial" w:cs="Arial" w:eastAsia="Arial" w:hAnsi="Arial"/>
                <w:sz w:val="18"/>
                <w:szCs w:val="18"/>
                <w:color w:val="auto"/>
              </w:rPr>
            </w:pPr>
            <w:hyperlink w:anchor="page36">
              <w:r>
                <w:rPr>
                  <w:rFonts w:ascii="Arial" w:cs="Arial" w:eastAsia="Arial" w:hAnsi="Arial"/>
                  <w:sz w:val="18"/>
                  <w:szCs w:val="18"/>
                  <w:color w:val="auto"/>
                </w:rPr>
                <w:t>Quantitative and Qualitative Disclosures About Market Risk</w:t>
              </w:r>
            </w:hyperlink>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auto"/>
            </w:tcBorders>
            <w:gridSpan w:val="15"/>
          </w:tcPr>
          <w:p>
            <w:pPr>
              <w:spacing w:after="0" w:line="169" w:lineRule="exact"/>
              <w:rPr>
                <w:rFonts w:ascii="Arial" w:cs="Arial" w:eastAsia="Arial" w:hAnsi="Arial"/>
                <w:sz w:val="18"/>
                <w:szCs w:val="18"/>
                <w:color w:val="auto"/>
              </w:rPr>
            </w:pPr>
            <w:hyperlink w:anchor="page36">
              <w:r>
                <w:rPr>
                  <w:rFonts w:ascii="Arial" w:cs="Arial" w:eastAsia="Arial" w:hAnsi="Arial"/>
                  <w:sz w:val="18"/>
                  <w:szCs w:val="18"/>
                  <w:color w:val="auto"/>
                </w:rPr>
                <w:t>Financial Statements and Supplementary Data</w:t>
              </w:r>
            </w:hyperlink>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9.</w:t>
            </w:r>
          </w:p>
        </w:tc>
        <w:tc>
          <w:tcPr>
            <w:tcW w:w="3320" w:type="dxa"/>
            <w:vAlign w:val="bottom"/>
            <w:tcBorders>
              <w:top w:val="single" w:sz="8" w:color="auto"/>
            </w:tcBorders>
            <w:gridSpan w:val="13"/>
          </w:tcPr>
          <w:p>
            <w:pPr>
              <w:spacing w:after="0" w:line="169" w:lineRule="exact"/>
              <w:rPr>
                <w:rFonts w:ascii="Arial" w:cs="Arial" w:eastAsia="Arial" w:hAnsi="Arial"/>
                <w:sz w:val="18"/>
                <w:szCs w:val="18"/>
                <w:color w:val="auto"/>
                <w:w w:val="83"/>
              </w:rPr>
            </w:pPr>
            <w:hyperlink w:anchor="page36">
              <w:r>
                <w:rPr>
                  <w:rFonts w:ascii="Arial" w:cs="Arial" w:eastAsia="Arial" w:hAnsi="Arial"/>
                  <w:sz w:val="18"/>
                  <w:szCs w:val="18"/>
                  <w:color w:val="auto"/>
                  <w:w w:val="83"/>
                </w:rPr>
                <w:t>Changes in and Disagreements with Accountants</w:t>
              </w:r>
            </w:hyperlink>
          </w:p>
        </w:tc>
        <w:tc>
          <w:tcPr>
            <w:tcW w:w="5380" w:type="dxa"/>
            <w:vAlign w:val="bottom"/>
            <w:gridSpan w:val="9"/>
          </w:tcPr>
          <w:p>
            <w:pPr>
              <w:ind w:left="260"/>
              <w:spacing w:after="0" w:line="169" w:lineRule="exact"/>
              <w:rPr>
                <w:rFonts w:ascii="Arial" w:cs="Arial" w:eastAsia="Arial" w:hAnsi="Arial"/>
                <w:sz w:val="18"/>
                <w:szCs w:val="18"/>
                <w:color w:val="auto"/>
              </w:rPr>
            </w:pPr>
            <w:hyperlink w:anchor="page36">
              <w:r>
                <w:rPr>
                  <w:rFonts w:ascii="Arial" w:cs="Arial" w:eastAsia="Arial" w:hAnsi="Arial"/>
                  <w:sz w:val="18"/>
                  <w:szCs w:val="18"/>
                  <w:color w:val="auto"/>
                </w:rPr>
                <w:t>on Accounting and Financial Disclosure</w:t>
              </w:r>
            </w:hyperlink>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auto"/>
            </w:tcBorders>
            <w:gridSpan w:val="19"/>
          </w:tcPr>
          <w:p>
            <w:pPr>
              <w:spacing w:after="0" w:line="169" w:lineRule="exact"/>
              <w:rPr>
                <w:rFonts w:ascii="Arial" w:cs="Arial" w:eastAsia="Arial" w:hAnsi="Arial"/>
                <w:sz w:val="18"/>
                <w:szCs w:val="18"/>
                <w:color w:val="auto"/>
              </w:rPr>
            </w:pPr>
            <w:hyperlink w:anchor="page36">
              <w:r>
                <w:rPr>
                  <w:rFonts w:ascii="Arial" w:cs="Arial" w:eastAsia="Arial" w:hAnsi="Arial"/>
                  <w:sz w:val="18"/>
                  <w:szCs w:val="18"/>
                  <w:color w:val="auto"/>
                </w:rPr>
                <w:t>Controls and Procedures</w:t>
              </w:r>
            </w:hyperlink>
          </w:p>
        </w:tc>
        <w:tc>
          <w:tcPr>
            <w:tcW w:w="800" w:type="dxa"/>
            <w:vAlign w:val="bottom"/>
          </w:tcPr>
          <w:p>
            <w:pPr>
              <w:spacing w:after="0"/>
              <w:rPr>
                <w:sz w:val="14"/>
                <w:szCs w:val="14"/>
                <w:color w:val="auto"/>
              </w:rPr>
            </w:pPr>
          </w:p>
        </w:tc>
        <w:tc>
          <w:tcPr>
            <w:tcW w:w="1420" w:type="dxa"/>
            <w:vAlign w:val="bottom"/>
            <w:gridSpan w:val="2"/>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auto"/>
              <w:bottom w:val="single" w:sz="8" w:color="auto"/>
            </w:tcBorders>
            <w:gridSpan w:val="5"/>
          </w:tcPr>
          <w:p>
            <w:pPr>
              <w:spacing w:after="0" w:line="169" w:lineRule="exact"/>
              <w:rPr>
                <w:rFonts w:ascii="Arial" w:cs="Arial" w:eastAsia="Arial" w:hAnsi="Arial"/>
                <w:sz w:val="18"/>
                <w:szCs w:val="18"/>
                <w:color w:val="auto"/>
                <w:w w:val="92"/>
              </w:rPr>
            </w:pPr>
            <w:hyperlink w:anchor="page36">
              <w:r>
                <w:rPr>
                  <w:rFonts w:ascii="Arial" w:cs="Arial" w:eastAsia="Arial" w:hAnsi="Arial"/>
                  <w:sz w:val="18"/>
                  <w:szCs w:val="18"/>
                  <w:color w:val="auto"/>
                  <w:w w:val="92"/>
                </w:rPr>
                <w:t>Other Information</w:t>
              </w:r>
            </w:hyperlink>
          </w:p>
        </w:tc>
        <w:tc>
          <w:tcPr>
            <w:tcW w:w="440" w:type="dxa"/>
            <w:vAlign w:val="bottom"/>
            <w:tcBorders>
              <w:top w:val="single" w:sz="8" w:color="auto"/>
            </w:tcBorders>
            <w:gridSpan w:val="3"/>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1420" w:type="dxa"/>
            <w:vAlign w:val="bottom"/>
            <w:gridSpan w:val="2"/>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69"/>
        </w:trPr>
        <w:tc>
          <w:tcPr>
            <w:tcW w:w="1520" w:type="dxa"/>
            <w:vAlign w:val="bottom"/>
            <w:gridSpan w:val="7"/>
          </w:tcPr>
          <w:p>
            <w:pPr>
              <w:ind w:left="20"/>
              <w:spacing w:after="0" w:line="169" w:lineRule="exact"/>
              <w:rPr>
                <w:sz w:val="20"/>
                <w:szCs w:val="20"/>
                <w:color w:val="auto"/>
              </w:rPr>
            </w:pPr>
            <w:r>
              <w:rPr>
                <w:rFonts w:ascii="Arial" w:cs="Arial" w:eastAsia="Arial" w:hAnsi="Arial"/>
                <w:sz w:val="18"/>
                <w:szCs w:val="18"/>
                <w:color w:val="auto"/>
              </w:rPr>
              <w:t>Item 9C.</w:t>
            </w:r>
          </w:p>
        </w:tc>
        <w:tc>
          <w:tcPr>
            <w:tcW w:w="8700" w:type="dxa"/>
            <w:vAlign w:val="bottom"/>
            <w:gridSpan w:val="22"/>
          </w:tcPr>
          <w:p>
            <w:pPr>
              <w:spacing w:after="0" w:line="169" w:lineRule="exact"/>
              <w:rPr>
                <w:rFonts w:ascii="Arial" w:cs="Arial" w:eastAsia="Arial" w:hAnsi="Arial"/>
                <w:sz w:val="18"/>
                <w:szCs w:val="18"/>
                <w:color w:val="auto"/>
              </w:rPr>
            </w:pPr>
            <w:hyperlink w:anchor="page37">
              <w:r>
                <w:rPr>
                  <w:rFonts w:ascii="Arial" w:cs="Arial" w:eastAsia="Arial" w:hAnsi="Arial"/>
                  <w:sz w:val="18"/>
                  <w:szCs w:val="18"/>
                  <w:color w:val="auto"/>
                </w:rPr>
                <w:t>Disclosure Regarding Foreign Jurisdictions that Prevent Inspections</w:t>
              </w:r>
            </w:hyperlink>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40" w:type="dxa"/>
            <w:vAlign w:val="bottom"/>
            <w:tcBorders>
              <w:bottom w:val="single" w:sz="8" w:color="0000EE"/>
            </w:tcBorders>
            <w:gridSpan w:val="4"/>
          </w:tcPr>
          <w:p>
            <w:pPr>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PART III</w:t>
              </w:r>
            </w:hyperlink>
          </w:p>
        </w:tc>
        <w:tc>
          <w:tcPr>
            <w:tcW w:w="760" w:type="dxa"/>
            <w:vAlign w:val="bottom"/>
            <w:gridSpan w:val="2"/>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10.</w:t>
            </w:r>
          </w:p>
        </w:tc>
        <w:tc>
          <w:tcPr>
            <w:tcW w:w="8700" w:type="dxa"/>
            <w:vAlign w:val="bottom"/>
            <w:gridSpan w:val="22"/>
          </w:tcPr>
          <w:p>
            <w:pPr>
              <w:spacing w:after="0"/>
              <w:rPr>
                <w:rFonts w:ascii="Arial" w:cs="Arial" w:eastAsia="Arial" w:hAnsi="Arial"/>
                <w:sz w:val="18"/>
                <w:szCs w:val="18"/>
                <w:color w:val="auto"/>
              </w:rPr>
            </w:pPr>
            <w:hyperlink w:anchor="page38">
              <w:r>
                <w:rPr>
                  <w:rFonts w:ascii="Arial" w:cs="Arial" w:eastAsia="Arial" w:hAnsi="Arial"/>
                  <w:sz w:val="18"/>
                  <w:szCs w:val="18"/>
                  <w:color w:val="auto"/>
                </w:rPr>
                <w:t>Directors, Executive Officers and Corporate Governance</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auto"/>
            </w:tcBorders>
            <w:gridSpan w:val="14"/>
          </w:tcPr>
          <w:p>
            <w:pPr>
              <w:spacing w:after="0" w:line="169" w:lineRule="exact"/>
              <w:rPr>
                <w:rFonts w:ascii="Arial" w:cs="Arial" w:eastAsia="Arial" w:hAnsi="Arial"/>
                <w:sz w:val="18"/>
                <w:szCs w:val="18"/>
                <w:color w:val="auto"/>
              </w:rPr>
            </w:pPr>
            <w:hyperlink w:anchor="page38">
              <w:r>
                <w:rPr>
                  <w:rFonts w:ascii="Arial" w:cs="Arial" w:eastAsia="Arial" w:hAnsi="Arial"/>
                  <w:sz w:val="18"/>
                  <w:szCs w:val="18"/>
                  <w:color w:val="auto"/>
                </w:rPr>
                <w:t>Executive Compensation</w:t>
              </w:r>
            </w:hyperlink>
          </w:p>
        </w:tc>
        <w:tc>
          <w:tcPr>
            <w:tcW w:w="134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1420" w:type="dxa"/>
            <w:vAlign w:val="bottom"/>
            <w:gridSpan w:val="2"/>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12.</w:t>
            </w:r>
          </w:p>
        </w:tc>
        <w:tc>
          <w:tcPr>
            <w:tcW w:w="1800" w:type="dxa"/>
            <w:vAlign w:val="bottom"/>
            <w:tcBorders>
              <w:top w:val="single" w:sz="8" w:color="auto"/>
            </w:tcBorders>
            <w:gridSpan w:val="9"/>
          </w:tcPr>
          <w:p>
            <w:pPr>
              <w:spacing w:after="0" w:line="169" w:lineRule="exact"/>
              <w:rPr>
                <w:rFonts w:ascii="Arial" w:cs="Arial" w:eastAsia="Arial" w:hAnsi="Arial"/>
                <w:sz w:val="18"/>
                <w:szCs w:val="18"/>
                <w:color w:val="auto"/>
              </w:rPr>
            </w:pPr>
            <w:hyperlink w:anchor="page38">
              <w:r>
                <w:rPr>
                  <w:rFonts w:ascii="Arial" w:cs="Arial" w:eastAsia="Arial" w:hAnsi="Arial"/>
                  <w:sz w:val="18"/>
                  <w:szCs w:val="18"/>
                  <w:color w:val="auto"/>
                </w:rPr>
                <w:t>Security Ownership of</w:t>
              </w:r>
            </w:hyperlink>
          </w:p>
        </w:tc>
        <w:tc>
          <w:tcPr>
            <w:tcW w:w="6900" w:type="dxa"/>
            <w:vAlign w:val="bottom"/>
            <w:gridSpan w:val="13"/>
          </w:tcPr>
          <w:p>
            <w:pPr>
              <w:spacing w:after="0" w:line="169" w:lineRule="exact"/>
              <w:rPr>
                <w:rFonts w:ascii="Arial" w:cs="Arial" w:eastAsia="Arial" w:hAnsi="Arial"/>
                <w:sz w:val="18"/>
                <w:szCs w:val="18"/>
                <w:color w:val="auto"/>
              </w:rPr>
            </w:pPr>
            <w:hyperlink w:anchor="page38">
              <w:r>
                <w:rPr>
                  <w:rFonts w:ascii="Arial" w:cs="Arial" w:eastAsia="Arial" w:hAnsi="Arial"/>
                  <w:sz w:val="18"/>
                  <w:szCs w:val="18"/>
                  <w:color w:val="auto"/>
                </w:rPr>
                <w:t>Certain Beneficial Owners and Management and Related Stockholder Matters</w:t>
              </w:r>
            </w:hyperlink>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auto"/>
            </w:tcBorders>
            <w:gridSpan w:val="20"/>
          </w:tcPr>
          <w:p>
            <w:pPr>
              <w:spacing w:after="0" w:line="169" w:lineRule="exact"/>
              <w:rPr>
                <w:rFonts w:ascii="Arial" w:cs="Arial" w:eastAsia="Arial" w:hAnsi="Arial"/>
                <w:sz w:val="18"/>
                <w:szCs w:val="18"/>
                <w:color w:val="auto"/>
              </w:rPr>
            </w:pPr>
            <w:hyperlink w:anchor="page38">
              <w:r>
                <w:rPr>
                  <w:rFonts w:ascii="Arial" w:cs="Arial" w:eastAsia="Arial" w:hAnsi="Arial"/>
                  <w:sz w:val="18"/>
                  <w:szCs w:val="18"/>
                  <w:color w:val="auto"/>
                </w:rPr>
                <w:t>Certain Relationships and Related Transactions, and Director Independence</w:t>
              </w:r>
            </w:hyperlink>
          </w:p>
        </w:tc>
        <w:tc>
          <w:tcPr>
            <w:tcW w:w="1420" w:type="dxa"/>
            <w:vAlign w:val="bottom"/>
            <w:gridSpan w:val="2"/>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auto"/>
            </w:tcBorders>
            <w:gridSpan w:val="17"/>
          </w:tcPr>
          <w:p>
            <w:pPr>
              <w:spacing w:after="0" w:line="169" w:lineRule="exact"/>
              <w:rPr>
                <w:rFonts w:ascii="Arial" w:cs="Arial" w:eastAsia="Arial" w:hAnsi="Arial"/>
                <w:sz w:val="18"/>
                <w:szCs w:val="18"/>
                <w:color w:val="auto"/>
              </w:rPr>
            </w:pPr>
            <w:hyperlink w:anchor="page38">
              <w:r>
                <w:rPr>
                  <w:rFonts w:ascii="Arial" w:cs="Arial" w:eastAsia="Arial" w:hAnsi="Arial"/>
                  <w:sz w:val="18"/>
                  <w:szCs w:val="18"/>
                  <w:color w:val="auto"/>
                </w:rPr>
                <w:t>Principal Accountant Fees and Services</w:t>
              </w:r>
            </w:hyperlink>
          </w:p>
        </w:tc>
        <w:tc>
          <w:tcPr>
            <w:tcW w:w="3260" w:type="dxa"/>
            <w:vAlign w:val="bottom"/>
            <w:gridSpan w:val="5"/>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b w:val="1"/>
                <w:bCs w:val="1"/>
                <w:color w:val="auto"/>
                <w:w w:val="98"/>
              </w:rPr>
            </w:pPr>
            <w:hyperlink w:anchor="page39">
              <w:r>
                <w:rPr>
                  <w:rFonts w:ascii="Arial" w:cs="Arial" w:eastAsia="Arial" w:hAnsi="Arial"/>
                  <w:sz w:val="18"/>
                  <w:szCs w:val="18"/>
                  <w:b w:val="1"/>
                  <w:bCs w:val="1"/>
                  <w:color w:val="auto"/>
                  <w:w w:val="98"/>
                </w:rPr>
                <w:t>PART IV</w:t>
              </w:r>
            </w:hyperlink>
          </w:p>
        </w:tc>
        <w:tc>
          <w:tcPr>
            <w:tcW w:w="780" w:type="dxa"/>
            <w:vAlign w:val="bottom"/>
            <w:gridSpan w:val="3"/>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Arial" w:cs="Arial" w:eastAsia="Arial" w:hAnsi="Arial"/>
                <w:sz w:val="18"/>
                <w:szCs w:val="18"/>
                <w:color w:val="auto"/>
              </w:rPr>
              <w:t>Item 15.</w:t>
            </w:r>
          </w:p>
        </w:tc>
        <w:tc>
          <w:tcPr>
            <w:tcW w:w="8700" w:type="dxa"/>
            <w:vAlign w:val="bottom"/>
            <w:gridSpan w:val="2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Exhibits and Financial Statement Schedules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00" w:type="dxa"/>
            <w:vAlign w:val="bottom"/>
            <w:gridSpan w:val="6"/>
          </w:tcPr>
          <w:p>
            <w:pPr>
              <w:ind w:left="20"/>
              <w:spacing w:after="0" w:line="169" w:lineRule="exact"/>
              <w:rPr>
                <w:sz w:val="20"/>
                <w:szCs w:val="20"/>
                <w:color w:val="auto"/>
              </w:rPr>
            </w:pPr>
            <w:r>
              <w:rPr>
                <w:rFonts w:ascii="Arial" w:cs="Arial" w:eastAsia="Arial" w:hAnsi="Arial"/>
                <w:sz w:val="18"/>
                <w:szCs w:val="18"/>
                <w:color w:val="auto"/>
              </w:rPr>
              <w:t>Item 16.</w:t>
            </w:r>
          </w:p>
        </w:tc>
        <w:tc>
          <w:tcPr>
            <w:tcW w:w="3160" w:type="dxa"/>
            <w:vAlign w:val="bottom"/>
            <w:tcBorders>
              <w:top w:val="single" w:sz="8" w:color="auto"/>
            </w:tcBorders>
            <w:gridSpan w:val="12"/>
          </w:tcPr>
          <w:p>
            <w:pPr>
              <w:spacing w:after="0" w:line="169" w:lineRule="exact"/>
              <w:rPr>
                <w:rFonts w:ascii="Arial" w:cs="Arial" w:eastAsia="Arial" w:hAnsi="Arial"/>
                <w:sz w:val="18"/>
                <w:szCs w:val="18"/>
                <w:color w:val="auto"/>
              </w:rPr>
            </w:pPr>
            <w:hyperlink w:anchor="page40">
              <w:r>
                <w:rPr>
                  <w:rFonts w:ascii="Arial" w:cs="Arial" w:eastAsia="Arial" w:hAnsi="Arial"/>
                  <w:sz w:val="18"/>
                  <w:szCs w:val="18"/>
                  <w:color w:val="auto"/>
                </w:rPr>
                <w:t>Form 10-K Summary</w:t>
              </w:r>
            </w:hyperlink>
          </w:p>
        </w:tc>
        <w:tc>
          <w:tcPr>
            <w:tcW w:w="5540" w:type="dxa"/>
            <w:vAlign w:val="bottom"/>
            <w:gridSpan w:val="10"/>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0"/>
        </w:trPr>
        <w:tc>
          <w:tcPr>
            <w:tcW w:w="1520" w:type="dxa"/>
            <w:vAlign w:val="bottom"/>
            <w:gridSpan w:val="7"/>
          </w:tcPr>
          <w:p>
            <w:pPr>
              <w:ind w:left="20"/>
              <w:spacing w:after="0"/>
              <w:rPr>
                <w:rFonts w:ascii="Arial" w:cs="Arial" w:eastAsia="Arial" w:hAnsi="Arial"/>
                <w:sz w:val="18"/>
                <w:szCs w:val="18"/>
                <w:color w:val="auto"/>
              </w:rPr>
            </w:pPr>
            <w:hyperlink w:anchor="page41">
              <w:r>
                <w:rPr>
                  <w:rFonts w:ascii="Arial" w:cs="Arial" w:eastAsia="Arial" w:hAnsi="Arial"/>
                  <w:sz w:val="18"/>
                  <w:szCs w:val="18"/>
                  <w:color w:val="auto"/>
                </w:rPr>
                <w:t>SIGNATURES</w:t>
              </w:r>
            </w:hyperlink>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5"/>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360" w:type="dxa"/>
            <w:vAlign w:val="bottom"/>
            <w:tcBorders>
              <w:top w:val="single" w:sz="8" w:color="auto"/>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i w:val="1"/>
          <w:iCs w:val="1"/>
          <w:color w:val="auto"/>
        </w:rPr>
        <w:t>This business description should be read in conjunction with our audited consolidated financial statements and accompanying notes thereto appearing elsewhere in this Annual Report on Form 10-K for the year ended December 31, 2021 (the “2021 Form 10-K”), which are incorporated herein by this reference.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Arial" w:cs="Arial" w:eastAsia="Arial" w:hAnsi="Arial"/>
          <w:sz w:val="24"/>
          <w:szCs w:val="24"/>
          <w:color w:val="auto"/>
          <w:vertAlign w:val="superscript"/>
        </w:rPr>
        <w:t>TM</w:t>
      </w:r>
      <w:r>
        <w:rPr>
          <w:rFonts w:ascii="Arial" w:cs="Arial" w:eastAsia="Arial" w:hAnsi="Arial"/>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5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6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While our platform powers many diverse solutions for our customers, we presently market our solutions primarily through two brands, IDI</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FOREWARN</w:t>
      </w:r>
      <w:r>
        <w:rPr>
          <w:rFonts w:ascii="Arial" w:cs="Arial" w:eastAsia="Arial" w:hAnsi="Arial"/>
          <w:sz w:val="23"/>
          <w:szCs w:val="23"/>
          <w:color w:val="auto"/>
          <w:vertAlign w:val="superscript"/>
        </w:rPr>
        <w:t>®</w:t>
      </w:r>
      <w:r>
        <w:rPr>
          <w:rFonts w:ascii="Arial" w:cs="Arial" w:eastAsia="Arial" w:hAnsi="Arial"/>
          <w:sz w:val="17"/>
          <w:szCs w:val="17"/>
          <w:color w:val="auto"/>
        </w:rPr>
        <w:t>. IDI is a leading-edge, analytics and information solutions provider delivering actionable intelligence to the risk management industry in support of use cases such as the verification and authentication of consumer identities, due diligence, prevention of fraud and abuse, legislative compliance, and debt recovery. idiCORE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is IDI's flagship product.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2021 and 2020, IDI had 6,548 and 5,726 billable customers and FOREWARN had 82,419 and 48,377 users, respectively. The Company defines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5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years ended December 31, 2021 and 2020, 80% and 73% of total revenue was attributable to customers with pricing contracts, respectively, versus 20% and 27% attributable to transactional customers, respectively.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 w:name="page4"/>
    <w:bookmarkEnd w:id="3"/>
    <w:p>
      <w:pPr>
        <w:ind w:right="40"/>
        <w:spacing w:after="0" w:line="272" w:lineRule="auto"/>
        <w:rPr>
          <w:sz w:val="20"/>
          <w:szCs w:val="20"/>
          <w:color w:val="auto"/>
        </w:rPr>
      </w:pPr>
      <w:r>
        <w:rPr>
          <w:rFonts w:ascii="Arial" w:cs="Arial" w:eastAsia="Arial" w:hAnsi="Arial"/>
          <w:sz w:val="16"/>
          <w:szCs w:val="16"/>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4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For the years ended December 31, 2021 and 2020, we had revenue of $44.0 million and $34.6 million, net income of $0.7 million and a net loss of $6.8 million, and adjusted EBITDA of $10.9 million and $5.9 million, respectively. Adjusted EBITDA is a non-GAAP financial measure equal to net income (loss), the most directly comparable financial measure based on accounting principles generally accepted in the United States (“US GAAP”), excluding interest expense (income), net, income tax expense, depreciation and amortization, share-based compensation expense, gain on extinguishment of debt, litigation costs, and write-off of long-lived assets and others, as noted in the tables included in “Use and Reconciliation of Non-GAAP Financial Measures” of Item 7,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17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target market for our solutions today consists of public and private sector organizations where cloud-driven identity intelligence is primary to their daily workflow.</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data and analytics sector continues to grow at an accelerated pace due to the proliferation of data generated over the past two decades from both traditional and emerging sources, including e-commerce, mobile and social media. International Data Corporation, a global provider of market intelligence and advisory services, estimates that worldwide revenue for data and business analytics services was $215.7 billion in the year 2021, and a compound annual growth rate (“CAGR”) from 2021 through 2025 will be 12.8%. Continued, rapid innovation and adoption of new technologies presents enormous challenges for organizations of all types to sort through this sea of data to glean actionable intelligence and address their mission-critical functions. These challenges serve as key drivers of the sector’s growth. Our industry-agnostic platform, solutions, and analytical capabilities are designed to solve the myriad of complex problems that organizations face on a daily basis.</w:t>
      </w:r>
    </w:p>
    <w:p>
      <w:pPr>
        <w:spacing w:after="0" w:line="139"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Risk and fraud analytics has become increasingly important not only in the banking and financial services sectors but across multiple other industries and use cases. According to the market research company MarketsAndMarkets, the risk analytics market is projected to grow to $64.7 billion by 2026, representing CAGR of 14.7% from 2021 through 2026, with North America estimated to hold the largest market share in the risk analytics market. Risk and fraud analytics and the information derived therefrom is now the primary service product for risk management associated with key purchasers such as banking and financial services companies, insurance companies, healthcare companies, law enforcement and government, collection agencies, law firms, retail, telecommunications companies and investigative firms. Primary use cases include, but are not limited to, obtaining information on consumers, businesses and assets (and their interrelationships) to facilitate the location of individuals and assets, identity verification, legislative compliance and to support criminal, legal, financial, insurance, and corporate investigations, due diligence and the assessment and mitigation of counterparty risk.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Challenges Facing our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solutions address the challenges that the industry faces today, which include:</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i w:val="1"/>
          <w:iCs w:val="1"/>
          <w:color w:val="auto"/>
        </w:rPr>
        <w:t>Actionable Insights Through A Single, Cloud-Native Platform</w:t>
      </w:r>
      <w:r>
        <w:rPr>
          <w:rFonts w:ascii="Arial" w:cs="Arial" w:eastAsia="Arial" w:hAnsi="Arial"/>
          <w:sz w:val="16"/>
          <w:szCs w:val="16"/>
          <w:color w:val="auto"/>
        </w:rPr>
        <w:t>— As the velocity and volume of data continues to grow exponentially, organizations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become overwhelmed with data and their inability to glean actionable insights from such data to derive successful decisions in real-time. Customers demand full-suite, turn-key solutions that are agile, flexible, and available on-demand in order to gain the speed, scale and insight necessary to drive decisioning. As the breadth and depth of data increases, organizations will need to deploy new technologies that enable both the ingestion of data at massive scale in real-time, irrespective of structure or form, and the analytics applications necessary to function across multiple channels. The accelerating digitization of human interactions, and the corresponding generation of the data resulting therefrom, is driving demand for data capture, management and analysis software. As a result, customers are looking for flexible and efficient solutions to unify disparate and often siloed sets of not only transactional data but also demographic, ethnographic and behavioral data as well, in order to provide insights that are truly actionable.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Cost and Performance Pressures</w:t>
      </w:r>
      <w:r>
        <w:rPr>
          <w:rFonts w:ascii="Arial" w:cs="Arial" w:eastAsia="Arial" w:hAnsi="Arial"/>
          <w:sz w:val="18"/>
          <w:szCs w:val="18"/>
          <w:color w:val="auto"/>
        </w:rPr>
        <w:t>—As customers face constant cost pressures, they are increasingly dependent upon extracting greater value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solutions. Whether it is identity verification, managing risk, or regulatory compliance, customers are increasingly more sophisticated, requiring enhanced performance that provides fast, accurate, and cost-effective solutions to satisfy their business objectives. Improving performance can mean delivering the right information at the right time at greater scale, or providing the most intuitive information as rapidly as possible to capitalize on opportunities or reduce risk. Superior analytics combined with unified data assets delivers competitive advantages to our customers as they cope with these pressures.</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b w:val="1"/>
          <w:bCs w:val="1"/>
          <w:i w:val="1"/>
          <w:iCs w:val="1"/>
          <w:color w:val="auto"/>
        </w:rPr>
        <w:t>Delivering Solutions for Complex Problems Using Scalable Analytics</w:t>
      </w:r>
      <w:r>
        <w:rPr>
          <w:rFonts w:ascii="Arial" w:cs="Arial" w:eastAsia="Arial" w:hAnsi="Arial"/>
          <w:sz w:val="17"/>
          <w:szCs w:val="17"/>
          <w:color w:val="auto"/>
        </w:rPr>
        <w:t>—The larger and more complex a data set, the more difficult it is to derive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sustained levels of performance and insight. The highly-fragmented nature of data across multiple mediums and often siloed within organizations, the historical proliferation of data augmented by the recent acceleration of the digital transformation, and lack of robust technology inhibits the ability to create a unified data asset. There is an inherent need for information solutions that allow organizations to leverage unified data assets for actionable intelligence in support of their operational workflows and in a more efficient manner.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believe our leading-edge technology platform, massive database, and dynamic and intuitive solutions deliver superior capabilities to our customers. Our solutions enable our customers to make more informed inquiries regarding their challenges and better decisions to solve their most complex problems. We believe the following competitive strengths will continue to deliver an unrivaled value proposition that further drives our differentiation:</w:t>
      </w:r>
    </w:p>
    <w:p>
      <w:pPr>
        <w:spacing w:after="0" w:line="39" w:lineRule="exact"/>
        <w:rPr>
          <w:sz w:val="20"/>
          <w:szCs w:val="20"/>
          <w:color w:val="auto"/>
        </w:rPr>
      </w:pPr>
    </w:p>
    <w:p>
      <w:pPr>
        <w:ind w:left="300" w:right="140" w:hanging="292"/>
        <w:spacing w:after="0" w:line="262" w:lineRule="auto"/>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Transformative and Innovative Cloud-Native Technology Platform</w:t>
      </w:r>
      <w:r>
        <w:rPr>
          <w:rFonts w:ascii="Arial" w:cs="Arial" w:eastAsia="Arial" w:hAnsi="Arial"/>
          <w:sz w:val="17"/>
          <w:szCs w:val="17"/>
          <w:color w:val="auto"/>
        </w:rPr>
        <w:t>—Through the power of our platform, CORE, we offer a comprehensive suite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solutions. Our cloud-native, data and industry agnostic platform enables us to assimilate, structure, and unify billions of disparate records to create comprehensive views that provide identity intelligence, and to present these insights in real-time via analytical interfaces. We believe our platform’s speed, power, extensibility and scalability are key differentiators in the marketplace.</w:t>
      </w:r>
    </w:p>
    <w:p>
      <w:pPr>
        <w:spacing w:after="0" w:line="64" w:lineRule="exact"/>
        <w:rPr>
          <w:rFonts w:ascii="Arial" w:cs="Arial" w:eastAsia="Arial" w:hAnsi="Arial"/>
          <w:sz w:val="17"/>
          <w:szCs w:val="17"/>
          <w:color w:val="auto"/>
        </w:rPr>
      </w:pPr>
    </w:p>
    <w:p>
      <w:pPr>
        <w:ind w:left="300" w:right="140" w:hanging="292"/>
        <w:spacing w:after="0" w:line="272" w:lineRule="auto"/>
        <w:tabs>
          <w:tab w:leader="none" w:pos="3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Massive Unified Data Asset</w:t>
      </w:r>
      <w:r>
        <w:rPr>
          <w:rFonts w:ascii="Arial" w:cs="Arial" w:eastAsia="Arial" w:hAnsi="Arial"/>
          <w:sz w:val="16"/>
          <w:szCs w:val="16"/>
          <w:color w:val="auto"/>
        </w:rPr>
        <w:t>—Data is the lifeblood of our technology platform, and of modern society. We leverage our CORE platform to build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massive proprietary datasets and apply analytics in real-time to provide actionable insights. Our data is compiled from a myriad of online and offline sources, both structured and unstructured, including public record, publicly-available, proprietary, and self-reported data. Public record data includes personal information, as well as property, identity, bankruptcy, lien, judgment, automotive, phone and other information aggregated from companies specializing in data aggregation, public record databases, and publicly-available sources. Proprietary data is internally generated data unified by proprietary algorithms and analytic processes. Through next-generation technology and proprietary algorithms, we efficiently ingest these datasets, structure them into normalized form, and unify the data to resolve unique identities so as to create an actionable, real-time view of the information for various use cases, delivering greater intelligence to our customers and enhancing their decision-making capabilities across all markets and industries.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and Solutions</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public-record, proprietary and publicly-available data, our differentiated information and innovative platform and solutions deliver intelligence relating to all things identity – entities, relationships, affiliations, interactions, and events. Our solutions are used today to enable frictionless commerce, to ensure safety, and to reduce fraud and the concomitant expense borne by society.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Distribution and Marketing</w:t>
      </w:r>
    </w:p>
    <w:p>
      <w:pPr>
        <w:spacing w:after="0" w:line="189"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b w:val="1"/>
          <w:bCs w:val="1"/>
          <w:i w:val="1"/>
          <w:iCs w:val="1"/>
          <w:color w:val="auto"/>
        </w:rPr>
        <w:t>Inside Sales</w:t>
      </w:r>
      <w:r>
        <w:rPr>
          <w:rFonts w:ascii="Arial" w:cs="Arial" w:eastAsia="Arial" w:hAnsi="Arial"/>
          <w:sz w:val="18"/>
          <w:szCs w:val="18"/>
          <w:i w:val="1"/>
          <w:iCs w:val="1"/>
          <w:color w:val="auto"/>
        </w:rPr>
        <w:t>—</w:t>
      </w:r>
      <w:r>
        <w:rPr>
          <w:rFonts w:ascii="Arial" w:cs="Arial" w:eastAsia="Arial" w:hAnsi="Arial"/>
          <w:sz w:val="18"/>
          <w:szCs w:val="18"/>
          <w:color w:val="auto"/>
        </w:rPr>
        <w:t>Our inside sales team cultivates relationships, and ultimately closes business, with their end-user markets. These professionals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relationship-based sellers with experience in identifying customers’ needs and clearly explaining and defining products that provide solutions to those needs.</w:t>
      </w:r>
    </w:p>
    <w:p>
      <w:pPr>
        <w:spacing w:after="0" w:line="141"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b w:val="1"/>
          <w:bCs w:val="1"/>
          <w:i w:val="1"/>
          <w:iCs w:val="1"/>
          <w:color w:val="auto"/>
        </w:rPr>
        <w:t>Strategic Sales</w:t>
      </w:r>
      <w:r>
        <w:rPr>
          <w:rFonts w:ascii="Arial" w:cs="Arial" w:eastAsia="Arial" w:hAnsi="Arial"/>
          <w:sz w:val="17"/>
          <w:szCs w:val="17"/>
          <w:i w:val="1"/>
          <w:iCs w:val="1"/>
          <w:color w:val="auto"/>
        </w:rPr>
        <w:t>—</w:t>
      </w:r>
      <w:r>
        <w:rPr>
          <w:rFonts w:ascii="Arial" w:cs="Arial" w:eastAsia="Arial" w:hAnsi="Arial"/>
          <w:sz w:val="17"/>
          <w:szCs w:val="17"/>
          <w:color w:val="auto"/>
        </w:rPr>
        <w:t>While the majority of our direct sales efforts are supported through professional inside sales staff, major accounts within certain industries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 a more personal, face-to-face strategic sales approach. We continue to expand this team to meet the demand of the markets.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5" w:name="page6"/>
    <w:bookmarkEnd w:id="5"/>
    <w:p>
      <w:pPr>
        <w:ind w:right="300"/>
        <w:spacing w:after="0" w:line="243" w:lineRule="auto"/>
        <w:rPr>
          <w:sz w:val="20"/>
          <w:szCs w:val="20"/>
          <w:color w:val="auto"/>
        </w:rPr>
      </w:pPr>
      <w:r>
        <w:rPr>
          <w:rFonts w:ascii="Arial" w:cs="Arial" w:eastAsia="Arial" w:hAnsi="Arial"/>
          <w:sz w:val="18"/>
          <w:szCs w:val="18"/>
          <w:b w:val="1"/>
          <w:bCs w:val="1"/>
          <w:i w:val="1"/>
          <w:iCs w:val="1"/>
          <w:color w:val="auto"/>
        </w:rPr>
        <w:t>Distributors, Resellers, and Strategic Partners</w:t>
      </w:r>
      <w:r>
        <w:rPr>
          <w:rFonts w:ascii="Arial" w:cs="Arial" w:eastAsia="Arial" w:hAnsi="Arial"/>
          <w:sz w:val="18"/>
          <w:szCs w:val="18"/>
          <w:i w:val="1"/>
          <w:iCs w:val="1"/>
          <w:color w:val="auto"/>
        </w:rPr>
        <w:t>—</w:t>
      </w:r>
      <w:r>
        <w:rPr>
          <w:rFonts w:ascii="Arial" w:cs="Arial" w:eastAsia="Arial" w:hAnsi="Arial"/>
          <w:sz w:val="18"/>
          <w:szCs w:val="18"/>
          <w:color w:val="auto"/>
        </w:rPr>
        <w:t>In conjunction with direct-to-customer sales efforts, we engage value-added distributors, resellers,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partners that have a significant foothold in many of the industries that we have not historically served, as well as to further penetrate those industries that we do serve. This allows us to rapidly penetrate these markets while also significantly reducing overhead associated with direct sales and support efforts.</w:t>
      </w:r>
    </w:p>
    <w:p>
      <w:pPr>
        <w:spacing w:after="0" w:line="16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Marketing</w:t>
      </w:r>
      <w:r>
        <w:rPr>
          <w:rFonts w:ascii="Arial" w:cs="Arial" w:eastAsia="Arial" w:hAnsi="Arial"/>
          <w:sz w:val="18"/>
          <w:szCs w:val="18"/>
          <w:i w:val="1"/>
          <w:iCs w:val="1"/>
          <w:color w:val="auto"/>
        </w:rPr>
        <w:t>—</w:t>
      </w:r>
      <w:r>
        <w:rPr>
          <w:rFonts w:ascii="Arial" w:cs="Arial" w:eastAsia="Arial" w:hAnsi="Arial"/>
          <w:sz w:val="18"/>
          <w:szCs w:val="18"/>
          <w:color w:val="auto"/>
        </w:rPr>
        <w:t>We have implemented several methods to market our products, including participation in trade shows and seminars, advertising,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 distribution of sales literature and product specifications and ongoing communication with prospective customers, distributors, resellers, strategic partners and our installed base of current customers.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are committed to developing innovative technology and using our analytical capabilities to deliver solutions that transform the way organizations interact with information. We are advancing our business through the following strategic approach:</w:t>
      </w:r>
    </w:p>
    <w:p>
      <w:pPr>
        <w:spacing w:after="0" w:line="144" w:lineRule="exact"/>
        <w:rPr>
          <w:sz w:val="20"/>
          <w:szCs w:val="20"/>
          <w:color w:val="auto"/>
        </w:rPr>
      </w:pPr>
    </w:p>
    <w:p>
      <w:pPr>
        <w:ind w:left="300" w:right="40" w:hanging="292"/>
        <w:spacing w:after="0" w:line="241"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Transform Data Into Intelligence</w:t>
      </w:r>
      <w:r>
        <w:rPr>
          <w:rFonts w:ascii="Arial" w:cs="Arial" w:eastAsia="Arial" w:hAnsi="Arial"/>
          <w:sz w:val="18"/>
          <w:szCs w:val="18"/>
          <w:color w:val="auto"/>
        </w:rPr>
        <w:t>—Our massive, unified data asset, integrated with our leading technology platform and solutions, delivers actionable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to organizations across diverse industries. As the digital transformation accelerates, the data generated therefrom increases rapidly. Derived semantic insight increases exponentially with each new data asset, creating compounded additional value that can be used by supervised and unsupervised machine learning algorithms. As we identify, assimilate and unify these new data assets, our solutions expand in applicability to larger-sized customers as well as additional industries and uses cases within.</w:t>
      </w:r>
    </w:p>
    <w:p>
      <w:pPr>
        <w:spacing w:after="0" w:line="148" w:lineRule="exact"/>
        <w:rPr>
          <w:rFonts w:ascii="Arial" w:cs="Arial" w:eastAsia="Arial" w:hAnsi="Arial"/>
          <w:sz w:val="18"/>
          <w:szCs w:val="18"/>
          <w:color w:val="auto"/>
        </w:rPr>
      </w:pPr>
    </w:p>
    <w:p>
      <w:pPr>
        <w:ind w:left="300" w:right="60" w:hanging="292"/>
        <w:spacing w:after="0" w:line="259"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Widen Our Technology Lead</w:t>
      </w:r>
      <w:r>
        <w:rPr>
          <w:rFonts w:ascii="Arial" w:cs="Arial" w:eastAsia="Arial" w:hAnsi="Arial"/>
          <w:sz w:val="17"/>
          <w:szCs w:val="17"/>
          <w:color w:val="auto"/>
        </w:rPr>
        <w:t>—Unlike legacy technologies, our platform was built in the cloud from the ground up. Due to its cloud-native construct,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CORE demonstrates increased speed and scalability as compared to legacy constructs. As competitors invest millions of dollars transitioning platforms from dated infrastructures to primarily hybrid-cloud environments, we are advancing and expanding our cloud-native technology and functionality to meet customer need, as customers increasingly rely on the speed, reliability, security, scalability and efficiencies that only the cloud delivers. We will continue to invest in our technology and people to widen our lead over competitive technologies.</w:t>
      </w:r>
    </w:p>
    <w:p>
      <w:pPr>
        <w:spacing w:after="0" w:line="133" w:lineRule="exact"/>
        <w:rPr>
          <w:rFonts w:ascii="Arial" w:cs="Arial" w:eastAsia="Arial" w:hAnsi="Arial"/>
          <w:sz w:val="17"/>
          <w:szCs w:val="17"/>
          <w:color w:val="auto"/>
        </w:rPr>
      </w:pPr>
    </w:p>
    <w:p>
      <w:pPr>
        <w:ind w:left="300" w:right="2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Enhance Functionality and Develop New Products</w:t>
      </w:r>
      <w:r>
        <w:rPr>
          <w:rFonts w:ascii="Arial" w:cs="Arial" w:eastAsia="Arial" w:hAnsi="Arial"/>
          <w:sz w:val="18"/>
          <w:szCs w:val="18"/>
          <w:color w:val="auto"/>
        </w:rPr>
        <w:t>—We operate with a relentless focus on innovation and the customer experience. Customers rely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solutions to solve complex problems, to make better data-driven decisions, and to produce greater efficiencies in their workflow. We are devoted to enhancing the functionality of our current solutions and to developing new products, to enable more intelligent interaction with information and to become further engrained in the daily workflows of our customers. As we introduce greater functionality and additional products, it will serve to expand the applications of our solutions, and increase the opportunities whereby our customers can solve for existing and evolving problems generated by disparate and siloed data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Competition in the data and analytics sector centers on innovation, product stability, pricing and customer service. The market for our products and services is highly competitive and is subject to constant change. We compete on the basis of innovative technology, differentiated solutions, analytical capabilities, integration with our customers’ technology, customer relationships, service stability, and price. We believe we are well-positioned to effectively compete on all fronts.</w:t>
      </w:r>
    </w:p>
    <w:p>
      <w:pPr>
        <w:spacing w:after="0" w:line="147"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Our competitors vary widely in size and nature of the products and services they offer. There are a large number of competitors who offer products and services in specialized areas, such as fraud prevention, risk management and decisioning solutions. We believe our innovative technology, analytical capabilities, robust and unified database, and the intelligent design of our cloud-native infrastructure will allow us to differentiate ourselves from our competition in flexibility, capability, service and price.</w:t>
      </w:r>
    </w:p>
    <w:p>
      <w:pPr>
        <w:spacing w:after="0" w:line="16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4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Certain companies in the data and analytics sector have expanded their product lines or technologies in recent years as a result of acquisitions. Further, more companies have developed products which conform to existing and emerging industry standards and have sought to compete on the basis of price. We anticipate increased competition from large data and analytics vendors. Increased competition in the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Concentration of Customers</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2021 and 2020, no individual customer accounted for more than 10% of total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no individual customer accounted for more than 10% of the Company’s accounts receivable.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products and services depend extensively upon continued access to and receipt of data from external sources, including data received from the major credit bureaus, including our largest data supplier. Our other data suppliers include strategic partners, as well as various government and public record databases. Our largest data supplier, with whom we have expanded our relationship while securing what we believe to be favorable business terms over the years, accounted for 49% of our total data acquisition costs for the year ended December 31, 2021 compared to 46% for the year ended December 31, 2020. The amended and renewed term of the agreement with this supplier ends June 30, 2026. We may elect to extend the term for an additional twelve months upon written notice to this supplier at least 30 days prior to the end of the amended and renewed term.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12 months’ advance written notice to us and we may terminate this agreement by providing not less than 24 months’ advance written notice to this supplier. As of December 31, 2021, the remaining minimum purchase commitments through the end of the amended and renewed term is $23.8 million. If we are unable to maintain our relationship with our largest data supplier, our ability to provide products and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We avail ourself of applicable trade secret and unfair competition laws to protect our proprietary technology, trademark law to protect our trademarks and domain names, and copyright laws to protect our content relating to, among other things, websites and marketing materials. Our intellectual property rights are embodied in confidential and proprietary technology and data, trademarked brands relating to our business units, products, services, and solutions, original content on our materials such as websites and marketing materials, and domain names. With respect to our trademarks, we maintain an extensive portfolio of perpetual common law and federally-registered trademark rights across several brands. We have also sought protection and registration of certain brands and trademarks internationally, such as in Europe and Canada. At present, we do not hold any issued patents.</w:t>
      </w:r>
    </w:p>
    <w:p>
      <w:pPr>
        <w:spacing w:after="0" w:line="1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use data acquired through licensing rights from approximately 20 providers. The loss of any one of these providers could have an immediate near-term impact on our financial position, results of operations, and liquidity. Also see “Concentration of Suppliers”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Our business is subject to various federal, state, and local laws, rules, and regulations, including, without limitation, the Gramm-Leach-Bliley Act (15 U.S.C. §§ 6801- 6809) (“GLBA”), the Driver’s Privacy Protection Act (18 U.S.C. §§ 2721- 2725) (“DPPA”) and the Federal Trade Commission Act (“FTC Act”). A change in any one of a number of the laws, rules, or regulations applicable to our business or the enactment of new or amended legislation or industry regulations pertaining to consumer or private sector privacy issues could have a material adverse impact on information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customers’ requirements and our profitability and cash flow targets.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results are subject to seasonal fluctuation. Historically, certain products experience seasonal pressure during the fourth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management team has a track record of strong performance and significant expertise in the markets we serve. We have built the leading companies in our industry, creating significant shareholder value. We continue to attract and retain experienced management talent for our business. Our team has deep knowledge of the data and analytics sector and expertise across the various industries that we serve. Our team has overseen the expansion of our proprietary technology platform while managing ongoing initiatives, including the transition from a development-focused company to a sales-driven company. As a result, we are well positioned to continue to successfully drive growth organically.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employ a total of 139 employees, all full-time, as of December 31, 2021. None of our employees are represented by a labor organization, and none are party to any collective bargaining agreement. We have not experienced any work stoppages and consider our relations with our employees to be good. Competition in the recruiting of personnel in the data and analytics sector is intense. We believe that our future success will depend in part on our continued ability to hire, motivate and retain qualified sales and marketing, executive and administrative and technical personnel. To date, we have not experienced significant difficulties in attracting or retaining qualified employees.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On March 26, 2018, Cogint, Inc. (“cogint”) (now known as Fluent, Inc.) spun off its risk management business by way of a distribution of all of the shares of common stock of its then wholly-owned subsidiary, red violet, to its stockholders as of the record date and certain warrant holders (the “Spin-off”).</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Our principal executive offices are located at 2650 North Military Trail, Suite 300, Boca Raton, Florida 33431 and our telephone number is (561) 757-4000. Our corporate website is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The website address provided in this 2021 Form 10-K is not intended to function as a hyperlink and information obtained on the website is not and should not be considered part of this 2021 Form 10-K and is not incorporated by reference in this 2021 Form 10-K or any filing with the Securities and Exchange Commission (the “SEC”). Our Annual Report on Form 10-K, Quarterly Reports on Form 10-Q, Current Reports on Form 8-K, and amendments to reports filed or furnished pursuant to Sections 13(a) and 15(d) of the Securities Exchange Act of 1934, as amended (the “Exchange Act”), are available, free of charge, under the “Investors” section of our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as soon as reasonably practicable after we electronically file such material with, or furnish it to, the SEC. The SEC maintains an internet website located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that contains the information we file or furnish electronically with the SEC.</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Information About Our Executive Officers</w:t>
            </w:r>
          </w:p>
        </w:tc>
        <w:tc>
          <w:tcPr>
            <w:tcW w:w="12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4700" w:type="dxa"/>
            <w:vAlign w:val="bottom"/>
            <w:gridSpan w:val="2"/>
          </w:tcPr>
          <w:p>
            <w:pPr>
              <w:spacing w:after="0"/>
              <w:rPr>
                <w:sz w:val="20"/>
                <w:szCs w:val="20"/>
                <w:color w:val="auto"/>
              </w:rPr>
            </w:pPr>
            <w:r>
              <w:rPr>
                <w:rFonts w:ascii="Arial" w:cs="Arial" w:eastAsia="Arial" w:hAnsi="Arial"/>
                <w:sz w:val="18"/>
                <w:szCs w:val="18"/>
                <w:color w:val="auto"/>
              </w:rPr>
              <w:t>Our executive officers are as follows:</w:t>
            </w:r>
          </w:p>
        </w:tc>
        <w:tc>
          <w:tcPr>
            <w:tcW w:w="12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520" w:type="dxa"/>
            <w:vAlign w:val="bottom"/>
            <w:gridSpan w:val="2"/>
          </w:tcPr>
          <w:p>
            <w:pPr>
              <w:ind w:left="1260"/>
              <w:spacing w:after="0"/>
              <w:rPr>
                <w:sz w:val="20"/>
                <w:szCs w:val="20"/>
                <w:color w:val="auto"/>
              </w:rPr>
            </w:pPr>
            <w:r>
              <w:rPr>
                <w:rFonts w:ascii="Arial" w:cs="Arial" w:eastAsia="Arial" w:hAnsi="Arial"/>
                <w:sz w:val="18"/>
                <w:szCs w:val="18"/>
                <w:b w:val="1"/>
                <w:bCs w:val="1"/>
                <w:color w:val="auto"/>
              </w:rPr>
              <w:t>Position</w:t>
            </w:r>
          </w:p>
        </w:tc>
        <w:tc>
          <w:tcPr>
            <w:tcW w:w="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6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Derek Dubner</w:t>
            </w:r>
          </w:p>
        </w:tc>
        <w:tc>
          <w:tcPr>
            <w:tcW w:w="1260" w:type="dxa"/>
            <w:vAlign w:val="bottom"/>
          </w:tcPr>
          <w:p>
            <w:pPr>
              <w:spacing w:after="0"/>
              <w:rPr>
                <w:sz w:val="14"/>
                <w:szCs w:val="14"/>
                <w:color w:val="auto"/>
              </w:rPr>
            </w:pPr>
          </w:p>
        </w:tc>
        <w:tc>
          <w:tcPr>
            <w:tcW w:w="52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Chief Executive Officer and Chairman</w:t>
            </w:r>
          </w:p>
        </w:tc>
        <w:tc>
          <w:tcPr>
            <w:tcW w:w="20" w:type="dxa"/>
            <w:vAlign w:val="bottom"/>
          </w:tcPr>
          <w:p>
            <w:pPr>
              <w:spacing w:after="0"/>
              <w:rPr>
                <w:sz w:val="14"/>
                <w:szCs w:val="14"/>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James Reilly</w:t>
            </w:r>
          </w:p>
        </w:tc>
        <w:tc>
          <w:tcPr>
            <w:tcW w:w="6520" w:type="dxa"/>
            <w:vAlign w:val="bottom"/>
            <w:gridSpan w:val="2"/>
          </w:tcPr>
          <w:p>
            <w:pPr>
              <w:ind w:left="1260"/>
              <w:spacing w:after="0" w:line="201" w:lineRule="exact"/>
              <w:rPr>
                <w:sz w:val="20"/>
                <w:szCs w:val="20"/>
                <w:color w:val="auto"/>
              </w:rPr>
            </w:pPr>
            <w:r>
              <w:rPr>
                <w:rFonts w:ascii="Arial" w:cs="Arial" w:eastAsia="Arial" w:hAnsi="Arial"/>
                <w:sz w:val="18"/>
                <w:szCs w:val="18"/>
                <w:color w:val="auto"/>
              </w:rPr>
              <w:t>President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Daniel MacLachlan</w:t>
            </w:r>
          </w:p>
        </w:tc>
        <w:tc>
          <w:tcPr>
            <w:tcW w:w="6520" w:type="dxa"/>
            <w:vAlign w:val="bottom"/>
            <w:gridSpan w:val="2"/>
          </w:tcPr>
          <w:p>
            <w:pPr>
              <w:ind w:left="1260"/>
              <w:spacing w:after="0" w:line="202" w:lineRule="exact"/>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Jeff Dell</w:t>
            </w:r>
          </w:p>
        </w:tc>
        <w:tc>
          <w:tcPr>
            <w:tcW w:w="6520" w:type="dxa"/>
            <w:vAlign w:val="bottom"/>
            <w:gridSpan w:val="2"/>
          </w:tcPr>
          <w:p>
            <w:pPr>
              <w:ind w:left="1260"/>
              <w:spacing w:after="0"/>
              <w:rPr>
                <w:sz w:val="20"/>
                <w:szCs w:val="20"/>
                <w:color w:val="auto"/>
              </w:rPr>
            </w:pPr>
            <w:r>
              <w:rPr>
                <w:rFonts w:ascii="Arial" w:cs="Arial" w:eastAsia="Arial" w:hAnsi="Arial"/>
                <w:sz w:val="18"/>
                <w:szCs w:val="18"/>
                <w:color w:val="auto"/>
              </w:rPr>
              <w:t>Chief Information Officer</w:t>
            </w:r>
          </w:p>
        </w:tc>
        <w:tc>
          <w:tcPr>
            <w:tcW w:w="20" w:type="dxa"/>
            <w:vAlign w:val="bottom"/>
          </w:tcPr>
          <w:p>
            <w:pPr>
              <w:spacing w:after="0"/>
              <w:rPr>
                <w:sz w:val="20"/>
                <w:szCs w:val="20"/>
                <w:color w:val="auto"/>
              </w:rPr>
            </w:pPr>
          </w:p>
        </w:tc>
      </w:tr>
      <w:tr>
        <w:trPr>
          <w:trHeight w:val="62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 w:name="page9"/>
    <w:bookmarkEnd w:id="8"/>
    <w:p>
      <w:pPr>
        <w:ind w:right="20"/>
        <w:spacing w:after="0" w:line="272" w:lineRule="auto"/>
        <w:rPr>
          <w:sz w:val="20"/>
          <w:szCs w:val="20"/>
          <w:color w:val="auto"/>
        </w:rPr>
      </w:pPr>
      <w:r>
        <w:rPr>
          <w:rFonts w:ascii="Arial" w:cs="Arial" w:eastAsia="Arial" w:hAnsi="Arial"/>
          <w:sz w:val="16"/>
          <w:szCs w:val="16"/>
          <w:b w:val="1"/>
          <w:bCs w:val="1"/>
          <w:color w:val="auto"/>
        </w:rPr>
        <w:t>Mr. Derek Dubner</w:t>
      </w:r>
      <w:r>
        <w:rPr>
          <w:rFonts w:ascii="Arial" w:cs="Arial" w:eastAsia="Arial" w:hAnsi="Arial"/>
          <w:sz w:val="16"/>
          <w:szCs w:val="16"/>
          <w:color w:val="auto"/>
        </w:rPr>
        <w:t>, 50, has served as the Chief Executive Officer and a director of the Company since its formation in August 2017 and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the Spin-off from cogint on March 26, 2018. Mr. Dubner was appointed as Interim Chairman of our board of directors in September 2018 and as Chairman of our board of directors in April 2020. Mr. Dubner served as the Chief Executive Officer and a director of cogint, from March 2016 until the Spin-off. Mr. Dubner served as cogint’s Co-Chief Executive Officer from March 2015 until March 2016. Mr. Dubner has over 20 years of experience in the data and analytics industry. Mr. Dubner has served as the Chief Executive Officer of our subsidiary The Best One, Inc. (“TBO”), now known as the IDI Holdings, LLC (“IDI Holdings”), a holding company engaged in the acquisition of operating businesses and the acquisition and development of technology assets across various industries, and its subsidiary, Interactive Data, LLC (“Interactive Data”), since October 2014. Prior to TBO, Mr. Dubner served as General Counsel of TransUnion Risk and Alternative Data Solutions, Inc. (“TRADS”) from December 2013 to June 2014. Mr. Dubner served as General Counsel and Secretary of TLO, LLC (“TLO”), an information solutions provider, from inception in 2009 to December 2013.</w:t>
      </w:r>
    </w:p>
    <w:p>
      <w:pPr>
        <w:spacing w:after="0" w:line="13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color w:val="auto"/>
        </w:rPr>
        <w:t>Mr. James Reilly</w:t>
      </w:r>
      <w:r>
        <w:rPr>
          <w:rFonts w:ascii="Arial" w:cs="Arial" w:eastAsia="Arial" w:hAnsi="Arial"/>
          <w:sz w:val="18"/>
          <w:szCs w:val="18"/>
          <w:color w:val="auto"/>
        </w:rPr>
        <w:t>, 47, has served as President of the Company since its formation in August 2017 and continuing through its Spin-off from cogint. Mr.</w:t>
      </w:r>
      <w:r>
        <w:rPr>
          <w:rFonts w:ascii="Arial" w:cs="Arial" w:eastAsia="Arial" w:hAnsi="Arial"/>
          <w:sz w:val="18"/>
          <w:szCs w:val="18"/>
          <w:b w:val="1"/>
          <w:bCs w:val="1"/>
          <w:color w:val="auto"/>
        </w:rPr>
        <w:t xml:space="preserve"> </w:t>
      </w:r>
      <w:r>
        <w:rPr>
          <w:rFonts w:ascii="Arial" w:cs="Arial" w:eastAsia="Arial" w:hAnsi="Arial"/>
          <w:sz w:val="18"/>
          <w:szCs w:val="18"/>
          <w:color w:val="auto"/>
        </w:rPr>
        <w:t>Reilly served as President of cogint from July 2017 until the Spin-off, and previously from June 2015 until June 2016 and as President and Chief Operating Officer of two of our subsidiaries, IDI Holdings and Interactive Data from October 2014 until June 2016. From July 2016 to June 2017, Mr. Reilly was enjoined from providing services for cogint or its subsidiaries. From January 2014 through September 2014, Mr. Reilly served as Vice President of Sales at TRADS. From August 2010 through its acquisition of substantially all of the assets by TRADS in December 2013, Mr. Reilly served as Senior Vice President of TLO.</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auto"/>
        </w:rPr>
        <w:t>Mr. Daniel MacLachlan</w:t>
      </w:r>
      <w:r>
        <w:rPr>
          <w:rFonts w:ascii="Arial" w:cs="Arial" w:eastAsia="Arial" w:hAnsi="Arial"/>
          <w:sz w:val="17"/>
          <w:szCs w:val="17"/>
          <w:color w:val="auto"/>
        </w:rPr>
        <w:t>, 43, has served as the Chief Financial Officer of the Company since its formation in August 2017 and continuing through its</w:t>
      </w:r>
      <w:r>
        <w:rPr>
          <w:rFonts w:ascii="Arial" w:cs="Arial" w:eastAsia="Arial" w:hAnsi="Arial"/>
          <w:sz w:val="17"/>
          <w:szCs w:val="17"/>
          <w:b w:val="1"/>
          <w:bCs w:val="1"/>
          <w:color w:val="auto"/>
        </w:rPr>
        <w:t xml:space="preserve"> </w:t>
      </w:r>
      <w:r>
        <w:rPr>
          <w:rFonts w:ascii="Arial" w:cs="Arial" w:eastAsia="Arial" w:hAnsi="Arial"/>
          <w:sz w:val="17"/>
          <w:szCs w:val="17"/>
          <w:color w:val="auto"/>
        </w:rPr>
        <w:t>Spin-off from cogint. Mr. MacLachlan served as Chief Financial Officer of cogint from March 2016 until the Spin-off and brings over fifteen years of experience as the chief financial officer of data-driven technology companies. Mr. MacLachlan served as an Independent Director, Audit and Compensation Committee Chairman for Vapor Corp., a U.S.-based distributor and retailer of vaporizers, e-liquids and electronic cigarettes, from April 2015 through April 2016. From October 2014 until February 2015, Mr. MacLachlan served as the Chief Financial Officer of TBO. Prior to TBO, Mr. MacLachlan served in the roles of Director of Finance and Chief Financial Officer for TRADS, after it acquired substantially all of the assets of TLO, through a 363 sale process in December 2013. Mr. MacLachlan was the Chief Financial Officer of TLO from 2009 to December 2013. From 2005 to 2009, Mr. MacLachlan served as the Chief Financial Officer of JARI Research Corporation (“JARI”), a partnership with the Mayo Clinic advancing proprietary cancer therapeutic technology using targeted radioactive therapy. Prior to JARI, Mr. MacLachlan served as a Special Agent in the Federal Bureau of Investigation (FBI) specializing in the criminal investigation of public corruption and civil rights violations.</w:t>
      </w:r>
    </w:p>
    <w:p>
      <w:pPr>
        <w:spacing w:after="0" w:line="14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color w:val="auto"/>
        </w:rPr>
        <w:t>Mr. Jeff Dell</w:t>
      </w:r>
      <w:r>
        <w:rPr>
          <w:rFonts w:ascii="Arial" w:cs="Arial" w:eastAsia="Arial" w:hAnsi="Arial"/>
          <w:sz w:val="18"/>
          <w:szCs w:val="18"/>
          <w:color w:val="auto"/>
        </w:rPr>
        <w:t>, 50, has served as the Chief Information Officer of the Company since its formation in August 2017 and continuing through its Spin-off from</w:t>
      </w:r>
      <w:r>
        <w:rPr>
          <w:rFonts w:ascii="Arial" w:cs="Arial" w:eastAsia="Arial" w:hAnsi="Arial"/>
          <w:sz w:val="18"/>
          <w:szCs w:val="18"/>
          <w:b w:val="1"/>
          <w:bCs w:val="1"/>
          <w:color w:val="auto"/>
        </w:rPr>
        <w:t xml:space="preserve"> </w:t>
      </w:r>
      <w:r>
        <w:rPr>
          <w:rFonts w:ascii="Arial" w:cs="Arial" w:eastAsia="Arial" w:hAnsi="Arial"/>
          <w:sz w:val="18"/>
          <w:szCs w:val="18"/>
          <w:color w:val="auto"/>
        </w:rPr>
        <w:t>cogint. Mr. Dell served as Chief Information Officer of cogint from September 2016 until the Spin-off and served as the Interim Chief Information Officer of cogint from June 2016 through September 2016. From July 2015 through May 2016, Mr. Dell served as the VP Information Security of cogint. From June 2012 to June 2015, Mr. Dell served as Founder and Chief Executive Officer of Endurance Tracker, Inc., a sports-based data analytics solution. From August 2009 to May 2012, Mr. Dell served as Lead Architect at Tripwire, Inc. From October 2008 to August 2009, Mr. Dell served as Chief Information Security Officer of TLO. From September 2003 to August 2009, Mr. Dell served as Founder and Chief Executive Officer of Activeworx, Inc., a leading information security data analytics company. From January 2001 to August 2003, Mr. Dell served as Chief Information Security Officer of Seisint, Inc., a leading provider in the data fusion industry.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420"/>
        <w:spacing w:after="0" w:line="248" w:lineRule="auto"/>
        <w:rPr>
          <w:sz w:val="20"/>
          <w:szCs w:val="20"/>
          <w:color w:val="auto"/>
        </w:rPr>
      </w:pPr>
      <w:r>
        <w:rPr>
          <w:rFonts w:ascii="Arial" w:cs="Arial" w:eastAsia="Arial" w:hAnsi="Arial"/>
          <w:sz w:val="18"/>
          <w:szCs w:val="18"/>
          <w:color w:val="auto"/>
        </w:rPr>
        <w:t>Our business, financial condition, operating results, and cash flows may be impacted by a number of factors, many of which are beyond our control, including those set forth below and elsewhere in this 2021 Form 10-K, the occurrence of any one of which could have a material adverse effect on our actual results.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Pandemic Risks</w:t>
      </w:r>
    </w:p>
    <w:p>
      <w:pPr>
        <w:spacing w:after="0" w:line="17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The ongoing and developing Covid-19 pandemic and the global response to it may adversely impact our business, our future results of operations and our overall financial performance.</w:t>
      </w:r>
    </w:p>
    <w:p>
      <w:pPr>
        <w:spacing w:after="0" w:line="13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global spread of a novel strain of coronavirus, known as Covid-19, and the various responses to it have created significant volatility, uncertainty and economic disruption. Covid-19 caused us, as well as many of our customers and vendors, to change certain aspects of operations and curtail travel at times. Governmental responses to Covid-19 may alter financial outlooks.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 w:name="page10"/>
    <w:bookmarkEnd w:id="9"/>
    <w:p>
      <w:pPr>
        <w:spacing w:after="0" w:line="254" w:lineRule="auto"/>
        <w:rPr>
          <w:sz w:val="20"/>
          <w:szCs w:val="20"/>
          <w:color w:val="auto"/>
        </w:rPr>
      </w:pPr>
      <w:r>
        <w:rPr>
          <w:rFonts w:ascii="Arial" w:cs="Arial" w:eastAsia="Arial" w:hAnsi="Arial"/>
          <w:sz w:val="17"/>
          <w:szCs w:val="17"/>
          <w:color w:val="auto"/>
        </w:rPr>
        <w:t>The Covid-19 pandemic and the various responses to it may continue to impact our business, operations and financial results, and the extent of any such impact will depend on numerous evolving factors that we may not be able to accurately predict, including: the duration and scope of the pandemic; the emergence and severity of new variants; governmental, business and individuals’ actions that have been and continue to be taken in response to the pandemic; vaccination rates and the effectiveness of vaccines against new variants; the availability and cost to access the capital markets; the effect on our customers and customer demand for and ability to pay for our services; and disruptions or restrictions on our employees’ ability to work and travel. If new variants cause severe illness or existing vaccines prove ineffective against new variants, resulting in renewed travel restrictions or stay-at-home orders, that may also interfere with the conduct of our business. Such results could have a material adverse effect on our operations, business, financial condition, results of operations, or cash flows.</w:t>
      </w:r>
    </w:p>
    <w:p>
      <w:pPr>
        <w:spacing w:after="0" w:line="154"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The Covid-19 pandemic or the perception of its effects could have a material adverse effect on our business, financial condition, results of operations, or cash flows. We are closely monitoring the ongoing and developing impact of the Covid-19 pandemic, continually assessing its potential effects on our business. The extent to which our results are affected by Covid-19 will largely depend on future developments, including the emergence of new variants, and the development, availability, distribution and effectiveness of vaccines in response to new variants, which cannot be accurately predicted and are uncertain.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and Technology Risks</w:t>
      </w:r>
    </w:p>
    <w:p>
      <w:pPr>
        <w:spacing w:after="0" w:line="175"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b w:val="1"/>
          <w:bCs w:val="1"/>
          <w:i w:val="1"/>
          <w:iCs w:val="1"/>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2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Our products and services are highly technical and complex. Our products and services have contained and may contain one or more undetected errors, defects or security vulnerabilities. Some errors in our products and services may only be discovered after a product or service has been used by end customers. Any errors or security vulnerabilities discovered in our products after commercial release could result in loss of revenue or delay in revenue recognition, or loss of customers, any of which could adversely affect our business and results of operations. In addition, we could face claims for product liability or breach of personal information. Defending a lawsuit, regardless of its merit, is costly and may divert management’s attention. In addition, if our business liability insurance coverage is inadequate or future coverage is unavailable on acceptable terms or at all, our financial condition could be harmed.</w:t>
      </w:r>
    </w:p>
    <w:p>
      <w:pPr>
        <w:spacing w:after="0" w:line="1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If we fail to respond to rapid technological changes in the data and analytics sector, we may lose customers and/or our products and/or services may become obsolete.</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data and analytics sector is characterized by rapidly changing technology, frequent product introductions, and continued evolution of new industry standards. As a result, our success depends upon our ability to develop and introduce in a timely manner new products and services and enhancements to existing products and services that meet changing customer requirements and evolving industry standards. The development of technologically advanced product solutions is a complex and uncertain process requiring high levels of innovation, rapid response and accurate anticipation of technological and market trends. We cannot assure you that we will be able to identify, develop, manufacture, market or support new or enhanced products and services successfully in a timely manner. Further, we or our competitors may introduce new products or services or product enhancements that shorten the life cycle of existing products or services or cause existing products or services to become obsolete.</w:t>
      </w:r>
    </w:p>
    <w:p>
      <w:pPr>
        <w:spacing w:after="0" w:line="153"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i w:val="1"/>
          <w:iCs w:val="1"/>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r>
        <w:rPr>
          <w:rFonts w:ascii="Arial" w:cs="Arial" w:eastAsia="Arial" w:hAnsi="Arial"/>
          <w:sz w:val="18"/>
          <w:szCs w:val="18"/>
          <w:b w:val="1"/>
          <w:bCs w:val="1"/>
          <w:color w:val="auto"/>
        </w:rPr>
        <w:t>.</w:t>
      </w:r>
    </w:p>
    <w:p>
      <w:pPr>
        <w:spacing w:after="0" w:line="141"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As our business is conducted largely online, it is dependent on our networks being accessible and secure. If an actual or perceived breach of network security occurs, regardless of whether the breach is attributable to our network security controls, the market perception of the effectiveness of our network security could be harmed resulting in loss of current and potential end user customers, data suppliers, or cause us to lose potential value-added resellers, distributors, or strategic partners. Our business is largely dependent on our customer-facing websites and our websites may be inaccessible because of service interruptions or subject to hacking or computer attacks. Because the techniques used by computer hackers to access or sabotage networks change frequently and generally are not recognized until launched against a target, we may be unable to anticipate these techniques. If an actual or perceived breach were to occur, we cannot assure you that we would not lose revenue or not sustain operating losses as a result.</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10" w:name="page11"/>
    <w:bookmarkEnd w:id="10"/>
    <w:p>
      <w:pPr>
        <w:ind w:right="120"/>
        <w:spacing w:after="0" w:line="238" w:lineRule="auto"/>
        <w:rPr>
          <w:sz w:val="20"/>
          <w:szCs w:val="20"/>
          <w:color w:val="auto"/>
        </w:rPr>
      </w:pPr>
      <w:r>
        <w:rPr>
          <w:rFonts w:ascii="Arial" w:cs="Arial" w:eastAsia="Arial" w:hAnsi="Arial"/>
          <w:sz w:val="18"/>
          <w:szCs w:val="18"/>
          <w:color w:val="auto"/>
        </w:rPr>
        <w:t>We also rely heavily on large information technology databases and the ability to provide services using that information from those databases. A party who is able to breach the security measures on our networks or who otherwise is able to access our system through unauthorized means could misappropriate either our proprietary information or the personal information of consumers that we collect, or otherwise cause interruptions or malfunctions to our operations. Hacking of computer data systems is a growing problem. Hackers may especially target concerns that are known to maintain large repositories of proprietary information or personal information, which can then be exploited for the hacker's personal gain. If we grow and obtain more visibility, we may be more vulnerable to hacking or other attempts to gain unauthorized access to our system. Moreover, the increased use of mobile devices also increases the risk of theft or the intentional and unintentional disclosure of data including proprietary information or personal information. We may be unable to anticipate all of these vulnerabilities and implement adequate preventative measures and, in some cases, we may not be able to immediately detect a security incident. Any security incident could result in legal, regulatory, and financial liability, as well as harm to our reputation.</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may be required to expend significant capital and other resources to protect against such threats or to alleviate problems caused by breaches in security. Additionally, any server interruptions, break-downs or system failures, including failures which may be attributable to events within or outside our control, could increase our future operating costs and cause us to lose business. We maintain insurance policies covering losses relating to our network systems or other assets. However, these policies may not cover the entire cost of a claim. Any future disruptions in our information technology systems, whether caused by hacking or otherwise, may have a material adverse effect on our future results.</w:t>
      </w:r>
    </w:p>
    <w:p>
      <w:pPr>
        <w:spacing w:after="0" w:line="133"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Privacy concerns relating to the collection, use, accuracy, correction and sharing of personal information and any perceived or actual unauthorized disclosure of personal information, whether through breach of our network by an unauthorized party, employee theft, misuse, or error could harm our reputation, impair our ability to attract website visitors and to attract and retain customers, result in a loss of confidence in the security of our products and services, or subject us to claims or litigation arising from damages suffered by consumers, and thereby harm our business and results of operations. In addition, we could incur significant costs which our insurance policies may not adequately cover and we may need to expend significant resources to protect against security breaches and comply with the multitude of state and federal laws regarding data privacy and data breach notification obligations.</w:t>
      </w:r>
    </w:p>
    <w:p>
      <w:pPr>
        <w:spacing w:after="0" w:line="121"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b w:val="1"/>
          <w:bCs w:val="1"/>
          <w:i w:val="1"/>
          <w:iCs w:val="1"/>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3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own and host a large amount of sensitive and confidential consumer information including financial information and personal information. This data is often accessed through secure transmissions over public and private networks, including the internet. Despite our physical security, implementation of technical controls and contractual precautions to identify, detect and prevent the unauthorized access to and alteration and disclosure of our data, we cannot assure you that systems that access our services and databases will not be compromised or disrupted, whether as a result of criminal conduct, DDoS attacks or other advanced persistent attacks by malicious actors, including hackers, nation states and criminals, breaches due to employee error or malfeasance, or other disruptions during the process of upgrading or replacing computer software or hardware, power outages, computer viruses, telecommunication or utility failures or natural disasters or other catastrophic events. We must continually monitor and develop our information technology networks and infrastructure to prevent, detect, address and mitigate the risk of unauthorized access, misuse, computer viruses and other events that could have a security impact. Several recent, highly-publicized data incidents and DDoS attacks have heightened consumer awareness of this issue and may embolden individuals or groups to target our systems. Unauthorized disclosure, loss or corruption of our data or inability of our customers to access our systems could disrupt our operations, subject us to substantial legal liability, result in a material loss of business and significantly harm our reputation.</w:t>
      </w:r>
    </w:p>
    <w:p>
      <w:pPr>
        <w:spacing w:after="0" w:line="12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As a nationwide provider of risk and information solutions, we collect, store and transmit files on millions of consumers. These files may contain personal information and other information, and we have implemented technical and physical security policies, procedures and systems we believe are reasonably designed to protect this information from unauthorized access. However, due to the sensitive nature of the information we collect, store and transmit, it is not unusual for efforts to occur (coordinated or otherwise) by unauthorized persons to attempt to obtain access to our systems or data, or to inhibit our ability to deliver products or services to a customer.</w:t>
      </w:r>
    </w:p>
    <w:p>
      <w:pPr>
        <w:spacing w:after="0" w:line="149"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We may not be able to immediately address the consequences of a cybersecurity incident because a successful breach of our computer systems, software, networks or other technology assets could occur and persist for an extended period of time before being detected due to, among other things:</w:t>
      </w:r>
    </w:p>
    <w:p>
      <w:pPr>
        <w:spacing w:after="0" w:line="16" w:lineRule="exact"/>
        <w:rPr>
          <w:sz w:val="20"/>
          <w:szCs w:val="20"/>
          <w:color w:val="auto"/>
        </w:rPr>
      </w:pPr>
    </w:p>
    <w:p>
      <w:pPr>
        <w:ind w:left="5580" w:right="3780" w:hanging="5572"/>
        <w:spacing w:after="0" w:line="512" w:lineRule="auto"/>
        <w:tabs>
          <w:tab w:leader="none" w:pos="38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breadth and complexity of our operations and the high volume of transactions that we process;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1" w:name="page12"/>
    <w:bookmarkEnd w:id="11"/>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large number of customers, counterparties and third-party service providers with which we do business;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proliferation and increasing sophistication of cyberattacks; and</w:t>
      </w:r>
    </w:p>
    <w:p>
      <w:pPr>
        <w:spacing w:after="0" w:line="103"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that a third party, after establishing a foothold on an internal network without being detected, might obtain access to other networks and systems.</w:t>
      </w:r>
    </w:p>
    <w:p>
      <w:pPr>
        <w:spacing w:after="0" w:line="13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w:t>
      </w:r>
    </w:p>
    <w:p>
      <w:pPr>
        <w:spacing w:after="0" w:line="12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A growing number of legislative and regulatory bodies have adopted consumer notification and other requirements in the event that a consumer's personal information is accessed by unauthorized persons. It is possible that additional laws pertaining to the use, access, accuracy, and security of personal information will be adopted in the future. In the United States, federal and state laws provide for more than 50 disparate data breach notification regimes, all of which we may be subject to. Complying with such numerous and complex regulations in the event of unauthorized access would be expensive and difficult, and failure to comply with these regulations could subject us to regulatory scrutiny and additional liability.</w:t>
      </w:r>
    </w:p>
    <w:p>
      <w:pPr>
        <w:spacing w:after="0" w:line="13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If we fail to maintain and improve our systems, our certifications, our technology, and our interfaces with data sources and customers, demand for our services could be adversely affected.</w:t>
      </w:r>
    </w:p>
    <w:p>
      <w:pPr>
        <w:spacing w:after="0" w:line="13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our industry, there are continuous improvements in computer hardware, network operating systems, programming tools, programming languages, operating systems, data matching, data filtering and other database technologies and the use of the internet. These improvements, as well as changes in customer preferences or regulatory requirements, may require changes in the technology used to gather and process our data and deliver our services. Our future success will depend, in part, upon our ability to:</w:t>
      </w:r>
    </w:p>
    <w:p>
      <w:pPr>
        <w:spacing w:after="0" w:line="80"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internally develop and implement new and competitive technologies;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respond to changing customer needs and regulatory requirements, including being able to bring our new products to the market quickly; and</w:t>
      </w:r>
    </w:p>
    <w:p>
      <w:pPr>
        <w:spacing w:after="0" w:line="115" w:lineRule="exact"/>
        <w:rPr>
          <w:rFonts w:ascii="Arial" w:cs="Arial" w:eastAsia="Arial" w:hAnsi="Arial"/>
          <w:sz w:val="17"/>
          <w:szCs w:val="17"/>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transition customers and data sources successfully to new interfaces or other technologies.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cannot provide assurance that we will successfully implement new technologies, cause customers or data suppliers to implement compatible technologies or adapt our technology to evolving customer, regulatory and competitive requirements. If we fail to respond, or fail to cause our customers or data suppliers to respond, to changes in technology, regulatory requirements or customer preferences, the demand for our services, the delivery of our services or our market reputation could be adversely affected. Additionally, our failure to implement important updates could affect our ability to successfully meet the timeline for us to generate cost savings resulting from our investments in improved technology. Failure to achieve any of these objectives would impede our ability to deliver strong financial results.</w:t>
      </w:r>
    </w:p>
    <w:p>
      <w:pPr>
        <w:spacing w:after="0" w:line="149"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Furthermore, we may be required to obtain various industry or technical certifications under our contracts or otherwise to keep pace with our competitors. If we fail to achieve and maintain these key industry or technical certifications, our customers may stop doing business with us and we may not be able to win new business, which would negatively affect our revenue.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w:t>
      </w:r>
    </w:p>
    <w:p>
      <w:pPr>
        <w:spacing w:after="0" w:line="189" w:lineRule="exact"/>
        <w:rPr>
          <w:sz w:val="20"/>
          <w:szCs w:val="20"/>
          <w:color w:val="auto"/>
        </w:rPr>
      </w:pPr>
    </w:p>
    <w:p>
      <w:pPr>
        <w:jc w:val="both"/>
        <w:ind w:right="500"/>
        <w:spacing w:after="0" w:line="248" w:lineRule="auto"/>
        <w:rPr>
          <w:sz w:val="20"/>
          <w:szCs w:val="20"/>
          <w:color w:val="auto"/>
        </w:rPr>
      </w:pPr>
      <w:r>
        <w:rPr>
          <w:rFonts w:ascii="Arial" w:cs="Arial" w:eastAsia="Arial" w:hAnsi="Arial"/>
          <w:sz w:val="18"/>
          <w:szCs w:val="18"/>
          <w:b w:val="1"/>
          <w:bCs w:val="1"/>
          <w:i w:val="1"/>
          <w:iCs w:val="1"/>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41"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Our business is subject to regulation under the GLBA, the DPPA, the FTC Act, and various other federal, state and local laws and regulations. These laws and regulations, which generally are designed to protect consumers and to prevent the misuse of personal information are complex, change frequently and have tended to become more stringent over time. We have already incurred significant expenses in our endeavors to comply with these laws.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38" w:right="379" w:bottom="1440" w:gutter="0" w:footer="0" w:header="0"/>
        </w:sectPr>
      </w:pPr>
    </w:p>
    <w:bookmarkStart w:id="12" w:name="page13"/>
    <w:bookmarkEnd w:id="12"/>
    <w:p>
      <w:pPr>
        <w:ind w:right="60"/>
        <w:spacing w:after="0" w:line="251" w:lineRule="auto"/>
        <w:rPr>
          <w:sz w:val="20"/>
          <w:szCs w:val="20"/>
          <w:color w:val="auto"/>
        </w:rPr>
      </w:pPr>
      <w:r>
        <w:rPr>
          <w:rFonts w:ascii="Arial" w:cs="Arial" w:eastAsia="Arial" w:hAnsi="Arial"/>
          <w:sz w:val="17"/>
          <w:szCs w:val="17"/>
          <w:color w:val="auto"/>
        </w:rPr>
        <w:t>Currently, public concern is high with regard to the collection, use, accuracy, correction and sharing of personal information, including Social Security numbers, dates of birth, financial information, department of motor vehicle data and other data which is personally identifiable or may be considered sensitive. In addition, many advocacy groups as well as some legislatures and government regulators believe that existing laws and regulations do not adequately protect privacy, are outmoded due to technological changes, or are not keeping pace with laws passed internationally (including, but not limited to, the European Union’s General Data Protection Regulation (“GDPR”)). As a result, several U.S. states have recently introduced and passed legislation to expand data security breach notification rules and to provide consumers with greater transparency and control over their personal data. For example, the California Consumer Privacy Act of 2018 (the "CCPA"), which became effective on January 1, 2020, applies to certain businesses that collect personal information concerning California residents and establishes several consumer rights, including a right to know what personal information is being collected about them and whether and to whom it is sold, a right to access their personal information and have it deleted, a right to opt out of the sale of their personal information, and a right to equal service and price regardless of exercise of these rights. The CCPA contains certain exclusions for data otherwise regulated by the GLBA and/or DPPA, or which is publicly available, and therefore, the impact of the CCPA on our business is somewhat mitigated. On November 3, 2020, California adopted the California Privacy Rights Act (the “CPRA”), which amends and expands the CCPA. It is anticipated that most of the substantive provisions of the CPRA will go into effect in 2023. Two additional comprehensive state privacy laws, the Virginia Consumer Data Protection Act and the Colorado Privacy Act have been adopted and will go into effect in 2023. These laws are similar to the CCPA, but create certain disparate requirements, such as the requirement for businesses to implement appeal procedures for denied requests. Other states are actively considering comprehensive privacy bills, and may pass comprehensive privacy laws similar to California’s, Virginia’s, or Colorado’s privacy laws in the future.</w:t>
      </w:r>
    </w:p>
    <w:p>
      <w:pPr>
        <w:spacing w:after="0" w:line="156"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A number of data incidents announced recently by companies in various industries has resulted in significantly increased legislative and regulatory activity at the federal and state levels as lawmakers and regulators continue to propose a wide range of further restrictions on the collection, dissemination or commercial use of personal information, information security standards, and data security incident disclosure standards. This and additional legislative or regulatory efforts in the United States, or action by Executive Order of the President of the United States, could further regulate the collection, use, communication, access, accuracy, obsolescence, sharing, correction and security of this personal information. In addition, any perception that our practices or products are an invasion of privacy, whether or not consistent with current or future regulations and industry practices, may subject us to public criticism, class action lawsuits, reputational harm, or scrutiny by regulators, which could disrupt our business and expose us to increased liability.</w:t>
      </w:r>
    </w:p>
    <w:p>
      <w:pPr>
        <w:spacing w:after="0" w:line="1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These U.S. federal and state laws and regulations, which can be enforced by government entities or, in some cases, private parties, are constantly evolving and can be subject to significant change. Keeping our business in compliance with or bringing our business into compliance with new laws may be costly and may affect our revenue and/or harm our financial results. In addition, the application, interpretation, and enforcement of these laws and regulations are often uncertain, particularly in the new and rapidly evolving industry in which we operate, and may be interpreted and applied inconsistently from jurisdiction to jurisdiction and inconsistently with our current policies and practices. In addition, new laws or regulations or changes in enforcement of existing laws or regulations applicable to our customers could affect the activities or strategies of such customers and, therefore, lead to reductions in their level of business with us.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legal and regulatory developments also could have a material adverse effect on our business, financial condition or results of operations:</w:t>
      </w:r>
    </w:p>
    <w:p>
      <w:pPr>
        <w:spacing w:after="0" w:line="127" w:lineRule="exact"/>
        <w:rPr>
          <w:sz w:val="20"/>
          <w:szCs w:val="20"/>
          <w:color w:val="auto"/>
        </w:rPr>
      </w:pPr>
    </w:p>
    <w:p>
      <w:pPr>
        <w:ind w:left="560" w:right="80" w:hanging="507"/>
        <w:spacing w:after="0" w:line="261"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amendment, enactment or interpretation of laws and regulations that restrict the access and use of personal information and reduce the availability or effectiveness of our solutions or the supply of data available to customers;</w:t>
      </w:r>
    </w:p>
    <w:p>
      <w:pPr>
        <w:spacing w:after="0" w:line="62" w:lineRule="exact"/>
        <w:rPr>
          <w:rFonts w:ascii="Arial" w:cs="Arial" w:eastAsia="Arial" w:hAnsi="Arial"/>
          <w:sz w:val="18"/>
          <w:szCs w:val="18"/>
          <w:color w:val="auto"/>
        </w:rPr>
      </w:pPr>
    </w:p>
    <w:p>
      <w:pPr>
        <w:ind w:left="560" w:right="40" w:hanging="507"/>
        <w:spacing w:after="0" w:line="261"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public perception or the position of government actors in favor of further restrictions on information collection and sharing, which may lead to regulations that prevent full utilization of our solutions;</w:t>
      </w:r>
    </w:p>
    <w:p>
      <w:pPr>
        <w:spacing w:after="0" w:line="62" w:lineRule="exact"/>
        <w:rPr>
          <w:rFonts w:ascii="Arial" w:cs="Arial" w:eastAsia="Arial" w:hAnsi="Arial"/>
          <w:sz w:val="18"/>
          <w:szCs w:val="18"/>
          <w:color w:val="auto"/>
        </w:rPr>
      </w:pPr>
    </w:p>
    <w:p>
      <w:pPr>
        <w:ind w:left="560" w:right="280" w:hanging="507"/>
        <w:spacing w:after="0" w:line="261"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customers, resellers, distributors, strategic business partners, or vendors to comply with laws or regulations, where these third parties' failures could reflect negatively on us or require us to cease or limit our business with them;</w:t>
      </w:r>
    </w:p>
    <w:p>
      <w:pPr>
        <w:spacing w:after="0" w:line="62" w:lineRule="exact"/>
        <w:rPr>
          <w:rFonts w:ascii="Arial" w:cs="Arial" w:eastAsia="Arial" w:hAnsi="Arial"/>
          <w:sz w:val="18"/>
          <w:szCs w:val="18"/>
          <w:color w:val="auto"/>
        </w:rPr>
      </w:pPr>
    </w:p>
    <w:p>
      <w:pPr>
        <w:ind w:left="560" w:hanging="507"/>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solutions to comply with current laws and regulations; and</w:t>
      </w:r>
    </w:p>
    <w:p>
      <w:pPr>
        <w:spacing w:after="0" w:line="103" w:lineRule="exact"/>
        <w:rPr>
          <w:rFonts w:ascii="Arial" w:cs="Arial" w:eastAsia="Arial" w:hAnsi="Arial"/>
          <w:sz w:val="18"/>
          <w:szCs w:val="18"/>
          <w:color w:val="auto"/>
        </w:rPr>
      </w:pPr>
    </w:p>
    <w:p>
      <w:pPr>
        <w:ind w:left="560" w:hanging="507"/>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solutions to adapt to changes in the regulatory environment in an efficient, cost-effective manner.</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06" w:right="439" w:bottom="1440" w:gutter="0" w:footer="0" w:header="0"/>
        </w:sectPr>
      </w:pPr>
    </w:p>
    <w:bookmarkStart w:id="13" w:name="page14"/>
    <w:bookmarkEnd w:id="13"/>
    <w:p>
      <w:pPr>
        <w:ind w:right="160"/>
        <w:spacing w:after="0" w:line="271" w:lineRule="auto"/>
        <w:rPr>
          <w:sz w:val="20"/>
          <w:szCs w:val="20"/>
          <w:color w:val="auto"/>
        </w:rPr>
      </w:pPr>
      <w:r>
        <w:rPr>
          <w:rFonts w:ascii="Arial" w:cs="Arial" w:eastAsia="Arial" w:hAnsi="Arial"/>
          <w:sz w:val="16"/>
          <w:szCs w:val="16"/>
          <w:color w:val="auto"/>
        </w:rPr>
        <w:t>Changes in applicable legislation or regulations that restrict or dictate how we collect, maintain, combine and disseminate information could adversely affect our business, financial condition or results of operations. In the future, we may be subject to significant additional expense to ensure continued compliance with applicable laws and regulations and to investigate, defend or remedy actual or alleged violations. Any failure by us to comply with applicable laws or regulations could also result in significant liability to us, including liability to private plaintiffs as a result of individual or class action litigation, or may result in the cessation of our operations or portions of our operations or impositions of fines and restrictions on our ability to carry on or expand our operations. Moreover, our compliance with privacy laws and regulations and our reputation depend in part on our customers’ adherence to privacy laws and regulations and their use of our services in ways consistent with consumer expectations and regulatory requirements. Certain of the laws and regulations governing our business are subject to interpretation by judges, juries and administrative entities, creating substantial uncertainty for our business. We cannot predict what effect the interpretation of existing or new laws or regulations may have on our business.</w:t>
      </w:r>
    </w:p>
    <w:p>
      <w:pPr>
        <w:spacing w:after="0" w:line="14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b w:val="1"/>
          <w:bCs w:val="1"/>
          <w:i w:val="1"/>
          <w:iCs w:val="1"/>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r>
        <w:rPr>
          <w:rFonts w:ascii="Arial" w:cs="Arial" w:eastAsia="Arial" w:hAnsi="Arial"/>
          <w:sz w:val="18"/>
          <w:szCs w:val="18"/>
          <w:b w:val="1"/>
          <w:bCs w:val="1"/>
          <w:color w:val="auto"/>
        </w:rPr>
        <w:t>.</w:t>
      </w:r>
    </w:p>
    <w:p>
      <w:pPr>
        <w:spacing w:after="0" w:line="14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Legal proceedings arise as part of the normal course of our business. These may include actions between us and a current or former employee, actions between us and a current former customer, individual consumer cases, class action lawsuits and inquiries, investigations, examinations, regulatory proceedings or other actions brought by federal (e.g., the FTC) or state (e.g., state attorneys general) authorities. The scope and outcome of these proceedings is often difficult to assess or quantify. Plaintiffs in lawsuits may seek recovery of large amounts and the cost to defend such litigation may be significant. There may also be adverse publicity and uncertainty associated with investigations, litigation and orders (whether pertaining to us, our customers or our competitors) that could decrease customer acceptance of our services or result in material discovery expenses. In addition, a court-ordered injunction or an administrative cease-and-desist order or settlement may require us to modify our business practices or may prohibit conduct that would otherwise be legal and in which our competitors may engage. Many of the technical and complex statutes to which we are subject, including state and federal financial privacy requirements, may provide for civil and criminal penalties and may permit consumers to maintain individual or class action lawsuits against us and obtain statutorily prescribed damages. Additionally, our customers might face similar proceedings, actions or inquiries which could affect their business and, in turn, our ability to do business with those customers.</w:t>
      </w:r>
    </w:p>
    <w:p>
      <w:pPr>
        <w:spacing w:after="0" w:line="14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While we do not believe that the outcome of any pending or threatened legal proceeding, investigation, examination or supervisory activity will have a material adverse effect on our financial position, such events are inherently uncertain and adverse outcomes could result in significant monetary damages, penalties or injunctive relief against us. Furthermore, we review legal proceedings and claims on an ongoing basis and follow appropriate accounting guidance, including Accounting Standards Codification (“ASC”) 450, “</w:t>
      </w:r>
      <w:r>
        <w:rPr>
          <w:rFonts w:ascii="Arial" w:cs="Arial" w:eastAsia="Arial" w:hAnsi="Arial"/>
          <w:sz w:val="17"/>
          <w:szCs w:val="17"/>
          <w:i w:val="1"/>
          <w:iCs w:val="1"/>
          <w:color w:val="auto"/>
        </w:rPr>
        <w:t>Contingencies</w:t>
      </w:r>
      <w:r>
        <w:rPr>
          <w:rFonts w:ascii="Arial" w:cs="Arial" w:eastAsia="Arial" w:hAnsi="Arial"/>
          <w:sz w:val="17"/>
          <w:szCs w:val="17"/>
          <w:color w:val="auto"/>
        </w:rPr>
        <w:t>,”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4" w:name="page15"/>
    <w:bookmarkEnd w:id="14"/>
    <w:p>
      <w:pPr>
        <w:ind w:right="120"/>
        <w:spacing w:after="0" w:line="294" w:lineRule="auto"/>
        <w:rPr>
          <w:sz w:val="20"/>
          <w:szCs w:val="20"/>
          <w:color w:val="auto"/>
        </w:rPr>
      </w:pPr>
      <w:r>
        <w:rPr>
          <w:rFonts w:ascii="Arial" w:cs="Arial" w:eastAsia="Arial" w:hAnsi="Arial"/>
          <w:sz w:val="16"/>
          <w:szCs w:val="16"/>
          <w:b w:val="1"/>
          <w:bCs w:val="1"/>
          <w:i w:val="1"/>
          <w:iCs w:val="1"/>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20"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Unless we consent in writing to the selection of an alternative forum, the sole and exclusive forum for (i) any derivative action or proceeding brought against or on behalf of the Company, (ii) any action asserting a claim of breach of a duty owed by any current or former director, officer, other employee or stockholder of the Company to the Company or the Company’s stockholders, (iii) any action asserting a claim arising pursuant to any provision of the Delaware General Corporation Law, (iv) any action as to which the Delaware General Corporation Law confers jurisdiction upon the Court of Chancery in the State of Delaware, or (v) any action asserting a claim governed by the internal affairs doctrine, shall, to the fullest extent permitted by law, be the Court of Chancery in the State of Delaware (or, only if the Court of Chancery in the State of Delaware declines to accept jurisdiction over a particular matter, any state or federal court located within the State of Delaware). However, Section 27 of the Exchange Act creates exclusive federal jurisdiction over all suits brought to enforce any duty or liability created by the Exchange Act or the rules and regulations thereunder, and as such, the exclusive jurisdiction clauses set forth above would not apply to such suits. Furthermore, Section 22 of the Securities Act provides for concurrent jurisdiction for federal and state courts over all suits brought to enforce any duty or liability created by the Securities Act or the rules and regulations thereunder, and as such, the exclusive jurisdiction clauses set forth above would not apply to such suits.</w:t>
      </w:r>
    </w:p>
    <w:p>
      <w:pPr>
        <w:spacing w:after="0" w:line="14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we believe the exclusive forum provision benefits us by providing increased consistency in the application of Delaware law for the specified types of actions and proceedings, this provision may limit a stockholder’s ability to bring a claim in a judicial forum that it finds favorable for disputes with the Company and its directors, officers, or other employees and may discourage lawsuits with respect to such claims.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 and the value of an investment in our common stock may decline.</w:t>
      </w:r>
    </w:p>
    <w:p>
      <w:pPr>
        <w:spacing w:after="0" w:line="17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in response to various factors, some of which are beyond our control. These factors could include:</w:t>
      </w:r>
    </w:p>
    <w:p>
      <w:pPr>
        <w:spacing w:after="0" w:line="63"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natural disasters, pandemics, war and/or events of terrorism.</w:t>
      </w:r>
    </w:p>
    <w:p>
      <w:pPr>
        <w:spacing w:after="0" w:line="17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From time to time, we estimate the timing of the accomplishment of various commercial and other product development goals or milestones.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w:t>
      </w:r>
    </w:p>
    <w:p>
      <w:pPr>
        <w:spacing w:after="0" w:line="16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5" w:name="page16"/>
    <w:bookmarkEnd w:id="15"/>
    <w:p>
      <w:pPr>
        <w:spacing w:after="0" w:line="261" w:lineRule="auto"/>
        <w:rPr>
          <w:sz w:val="20"/>
          <w:szCs w:val="20"/>
          <w:color w:val="auto"/>
        </w:rPr>
      </w:pPr>
      <w:r>
        <w:rPr>
          <w:rFonts w:ascii="Arial" w:cs="Arial" w:eastAsia="Arial" w:hAnsi="Arial"/>
          <w:sz w:val="18"/>
          <w:szCs w:val="18"/>
          <w:b w:val="1"/>
          <w:bCs w:val="1"/>
          <w:i w:val="1"/>
          <w:iCs w:val="1"/>
          <w:color w:val="auto"/>
        </w:rPr>
        <w:t>Future issuances of shares of our common stock in connection with acquisitions or pursuant to our stock incentive plans could have a dilutive effect on your investment.</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Since the Spin-off and through December 31, 2021, we issued an aggregate of 2,356,167 shares of our common stock in connection with vesting of awards made under the Red Violet, Inc. 2018 Stock Incentive Plan, as amended (the “2018 Plan”), 368,155 shares of which were retired and cancelled. Also, as of December 31, 2021, 31,418 shares underlying awards made under the 2018 Plan have vested but have not been delivered, and an additional 1,306,953 shares underlying awards made under the 2018 Plan are scheduled to vest and be delivered through 2025. Pursuant to the 2018 Plan, our board of directors may grant stock options, restricted stock units (“RSUs”), or other equity awards to our directors and employees. Future stock incentive plans may also allow our board of directors to issue these equity awards to our directors and employees. When these awards vest or are exercised, the issuance of shares of common stock underlying these awards will have a dilutive effect on our common stock. Future acquisitions may involve the issuance of our common stock as payment, in part or in full, for the business or assets acquired. The benefits derived by us from an acquisition might not exceed the dilutive effect of the shares issued as part of the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concentration of our stock ownership may limit individual stockholder ability to influence corporate matters.</w:t>
      </w:r>
    </w:p>
    <w:p>
      <w:pPr>
        <w:spacing w:after="0" w:line="17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of December 31, 2021, officers and directors of the Company owned approximately 9% of our common stock (approximately 12% on a fully diluted basis). In addition, two other significant stockholders of the Company owned in aggregate approximately 24% of our common stock (approximately 22% on a fully diluted basis). As a result, these stockholders may be in a position to exert significant influence over all matters requiring stockholder approval, including the election of directors and determination of significant corporate actions. The interests of these stockholders may not always coincide with the interests of other stockholders, and these stockholders may act in a manner that advances their interests and not necessarily those of other stockholders, and might affect the prevailing market price for our securities.</w:t>
      </w:r>
    </w:p>
    <w:p>
      <w:pPr>
        <w:spacing w:after="0" w:line="16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available to emerging growth companies will make our shares of common stock less attractive to investors.</w:t>
      </w:r>
    </w:p>
    <w:p>
      <w:pPr>
        <w:spacing w:after="0" w:line="13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are an “emerging growth company,” as defined in Section 2(a) of the Securities Act. For as long as we continue to be an emerging growth company, we may take advantage of exemptions from various reporting requirements that are applicable to other public companies. We cannot predict if investors will find our shares of common stock to be less attractive because we may rely on these exemptions. If some investors find our shares of common stock less attractive as a result, there may be a less active trading market for our shares of common stock and our share price may be more volatile.</w:t>
      </w:r>
    </w:p>
    <w:p>
      <w:pPr>
        <w:spacing w:after="0" w:line="11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3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Although we expect that we may need additional capital in the future, we cannot be certain that it will be available to us on acceptable terms when required, or at all. Disruptions in the global equity and credit markets may limit our ability to access capital. Since the Spin-off and through December 31, 2021, we issued an aggregate of 1,233,915 shares of our common stock in connection with registered direct offerings. To the extent that we raise additional funds by issuing equity securities, our shareholders would experience dilution, which may be significant and could cause the market price of our common stock to decline significantly. Any debt financing, if available, may restrict our operations. If we are unable to raise additional capital when required or on acceptable terms, we may have to significantly delay, scale back or discontinue certain operations. Any of these events could significantly harm our business and prospects and could cause our stock price to decline.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Operations Risks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makes our future results uncertain.</w:t>
      </w:r>
    </w:p>
    <w:p>
      <w:pPr>
        <w:spacing w:after="0" w:line="18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Since inception, we have incurred operating losses. We need to generate greater revenue from the sale of our products and services if we are to achieve and sustain profitability. If we are unable to generate greater revenue, we may not be able to achieve profitability or continue to generate positive cash flow from operations in the future.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6" w:name="page17"/>
    <w:bookmarkEnd w:id="16"/>
    <w:p>
      <w:pPr>
        <w:ind w:right="320"/>
        <w:spacing w:after="0" w:line="291" w:lineRule="auto"/>
        <w:rPr>
          <w:sz w:val="20"/>
          <w:szCs w:val="20"/>
          <w:color w:val="auto"/>
        </w:rPr>
      </w:pPr>
      <w:r>
        <w:rPr>
          <w:rFonts w:ascii="Arial" w:cs="Arial" w:eastAsia="Arial" w:hAnsi="Arial"/>
          <w:sz w:val="17"/>
          <w:szCs w:val="17"/>
          <w:b w:val="1"/>
          <w:bCs w:val="1"/>
          <w:i w:val="1"/>
          <w:iCs w:val="1"/>
          <w:color w:val="auto"/>
        </w:rPr>
        <w:t>We depend, in part, on strategic alliances, joint ventures and acquisitions to grow our business. If we are unable to make strategic acquisitions and develop and maintain these strategic alliances and joint ventures, our growth may be adversely affected.</w:t>
      </w:r>
    </w:p>
    <w:p>
      <w:pPr>
        <w:spacing w:after="0" w:line="12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An important focus of our business is to identify business partners who can enhance our services, enable us to develop solutions that differentiate us from our competitors, drive users to our websites and monetize our data. We have entered into several alliance agreements or license agreements with respect to certain of our datasets and services and may enter into similar agreements in the future. These arrangements may require us to restrict our use of certain of our technologies or datasets among certain customer industries, restrict content on our websites or grant licenses on terms that ultimately may prove to be unfavorable to us, any of which could adversely affect our business, financial condition or results of operations. Relationships with our alliance agreement partners may include risks due to incomplete information regarding the marketplace and commercial strategies of our partners, and our alliance agreements or other licensing agreements may be the subject of contractual disputes. If we or our alliance agreements’ partners are not successful in maintaining or commercializing the alliance agreements’ services, such commercial failure could adversely affect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consummate any future acquisitions, we will be subject to the risks inherent in identifying, acquiring and operating a newly acquired business</w:t>
      </w:r>
      <w:r>
        <w:rPr>
          <w:rFonts w:ascii="Arial" w:cs="Arial" w:eastAsia="Arial" w:hAnsi="Arial"/>
          <w:sz w:val="15"/>
          <w:szCs w:val="15"/>
          <w:i w:val="1"/>
          <w:iCs w:val="1"/>
          <w:color w:val="auto"/>
        </w:rPr>
        <w:t>.</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may, in the future, acquire additional businesses, which we believe could complement or expand our current business or offer growth opportunities. We may experience difficulties in identifying potential acquisition candidates that complement our current business at appropriate prices, or at all. We cannot assure you that our acquisition strategy will be successful. We may spend significant management time and resources in analyzing and negotiating acquisitions or investments that are not consummated. Furthermore, the ongoing process of integrating an acquired business is distracting, time consuming, expensive, and requires continuous optimization and allocation of resources. Additionally, if we use stock as consideration, this would dilute our existing shareholders and if we use cash, this would reduce our liquidity and impact our financial flexibility. We may seek debt financing for particular acquisitions, which may not be available on commercially reasonable terms, or at all. We face the risks associated with the business acquisition strategy, including:</w:t>
      </w:r>
    </w:p>
    <w:p>
      <w:pPr>
        <w:spacing w:after="0" w:line="86"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disruption of our existing businesses, including the diversion of management attention and the redeployment of resources;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new markets or industries in which we have limited prior experience;</w:t>
      </w:r>
    </w:p>
    <w:p>
      <w:pPr>
        <w:spacing w:after="0" w:line="103" w:lineRule="exact"/>
        <w:rPr>
          <w:rFonts w:ascii="Arial" w:cs="Arial" w:eastAsia="Arial" w:hAnsi="Arial"/>
          <w:sz w:val="18"/>
          <w:szCs w:val="18"/>
          <w:color w:val="auto"/>
        </w:rPr>
      </w:pPr>
    </w:p>
    <w:p>
      <w:pPr>
        <w:ind w:left="380" w:right="180" w:hanging="372"/>
        <w:spacing w:after="0" w:line="261"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in due diligence to identify key issues specific to the businesses we seek to acquire or the industries or other environments in which they operate, or, failure to protect against contingent liabilities arising from those issues;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hidden or fraudulent liabilities;</w:t>
      </w:r>
    </w:p>
    <w:p>
      <w:pPr>
        <w:spacing w:after="0" w:line="103"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difficulties in integrating, aligning and coordinating organizations which will likely be geographically separated and may involve diverse business operations and corporate cultures;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difficulties in integrating and retaining key management, sales, research and development, production and other personnel;</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loss of key employees, customers or distribution partners of the acquired business;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difficulties in incorporating the acquired business into our organization;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loss of customers, resellers, distributors, strategic business partners, or suppliers;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difficulties in integrating or expanding information technology systems and other business processes to accommodate the acquired business;</w:t>
      </w:r>
    </w:p>
    <w:p>
      <w:pPr>
        <w:spacing w:after="0" w:line="126" w:lineRule="exact"/>
        <w:rPr>
          <w:rFonts w:ascii="Arial" w:cs="Arial" w:eastAsia="Arial" w:hAnsi="Arial"/>
          <w:sz w:val="16"/>
          <w:szCs w:val="16"/>
          <w:color w:val="auto"/>
        </w:rPr>
      </w:pPr>
    </w:p>
    <w:p>
      <w:pPr>
        <w:ind w:left="380" w:right="560" w:hanging="372"/>
        <w:spacing w:after="0" w:line="261"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integrating financial reporting and internal control systems, including the risk that significant deficiencies or material weaknesses may be identified in acquired entities;</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future impairments of goodwill and other intangible assets if the acquired business does not perform as expected;</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obtain necessary government approvals for the acquisition, if any; and</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successfully operating the acquired business.</w:t>
      </w:r>
    </w:p>
    <w:p>
      <w:pPr>
        <w:spacing w:after="0" w:line="18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If we cannot overcome these challenges, we may not realize actual benefits from past and future acquisitions, which will impair our overall business results. If we complete an investment or acquisition, we may not realize the anticipated benefits from the transaction.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Our relationships with key customers may be materially diminished or terminated.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established relationships with a number of customers, many of whom could unilaterally terminate their relationship with us or materially reduce the amount of business they conduct with us at any time. Market competition, customer requirements, customer financial condition and customer consolidation through mergers or acquisitions also could adversely affect our ability to continue or expand these relationships. There is no guarantee that we will be able to retain or renew existing agreements, maintain relationships with any of our customers on acceptable terms or at all or collect amounts owed to us from insolvent customers. The loss of one or more of our major customers could adversely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the services of key personnel, it could adversely affect our business.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Our future success depends, in part, on our ability to attract and retain key personnel. Our future also depends on the continued services of Derek Dubner, our Chief Executive Officer and Chairman, James Reilly, our President, Daniel MacLachlan, our Chief Financial Officer and other key employees in all areas of our organization, each of whom is important to the management of certain aspects of our business and operations and the development of our strategic direction, and each of whom may be difficult to replace. The loss of the services of these key individuals and the process to replace these individuals would involve significant time and expense and could significantly delay or prevent the achievement of our business objectives.</w:t>
      </w:r>
    </w:p>
    <w:p>
      <w:pPr>
        <w:spacing w:after="0" w:line="13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customers, and therefore our business and revenue, sometimes depend on favorable macroeconomic conditions and are impacted by the availability of credit, the level and volatility of interest rates, inflation, employment levels, consumer confidence and housing demand. In addition, a significant amount of our revenue is concentrated in the U.S. market across a broad range of industries. Our customer base suffers when financial markets experience volatility, illiquidity and disruption, which has occurred in the past and which could reoccur. Such market developments, and the potential for increased and continuing disruptions going forward, present considerable risks to our business and operations. Changes in the economy have resulted, and may continue to result, in fluctuations in volumes, pricing and operating margins for our services. For example, the banking and financial market downturn that began to affect U.S. businesses in 2008 caused a greater focus on expense reduction by customers of businesses similar to ours. If businesses in these industries experience economic hardship, we cannot assure you that we will be able to generate future revenue growth. These types of disruptions could lead to a decline in the volumes of services we provide our customers and could negatively impact our revenue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our access to data sources which could prevent us from providing our services.</w:t>
      </w:r>
    </w:p>
    <w:p>
      <w:pPr>
        <w:spacing w:after="0" w:line="185"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Our products and services depend extensively upon continued access to and receipt of data from external sources, including data received from strategic partners and various government and public record databases. In some cases, we compete with our data providers. Our data providers could stop providing data, provide untimely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 ability to provide services could be negatively impacted, which would adversely affect our reputation, business, financial condition and results of operations. We cannot provide assurance that we will be successful in maintaining our relationships with these external data source providers or that we will be able to continue to obtain data from them on acceptable terms or at all. Furthermore, we cannot provide assurance that we will be able to obtain data from alternative sources if our current sources become unavailable.</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foregoing risks are heightened with respect to our largest data supplier, with whom we have expanded our relationship while securing favorable business terms over the years. If we are unable to maintain our current relationship with our largest data supplier, our ability to provide services could be negatively impacted, as we would need to secure comparable data on similar terms, which would require significant time, expense, and resources, and may in the short-term adversely affect our reputation, business, financial condition and results of operations and, if we are unable to establish a similar relationship with other data suppliers over time, could have a long-term material impact on our business and financial condition.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must adequately protect our intellectual property in order to prevent loss of valuable proprietary information.</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rely primarily upon a combination of patent, copyright, trademark and trade secret laws, as well as other intellectual property laws, and confidentiality procedures and contractual agreements, such as non-disclosure agreements, to protect our proprietary technology. However, unauthorized parties may attempt to copy or reverse engineer aspects of our products or services or to obtain and use information that we regard as proprietary. Policing unauthorized use of our products or services is difficult, and we cannot be certain that the steps we have taken will prevent misappropriation of our intellectual property. If the protection of our intellectual property proves to be inadequate or unenforceable, others may be able to use our proprietary developments without compensation to us, resulting in potential cost advantages to our competitors.</w:t>
      </w:r>
    </w:p>
    <w:p>
      <w:pPr>
        <w:spacing w:after="0" w:line="13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Some of our systems and technologies are not covered by any copyright, patent or patent application. We cannot guarantee that: (i) our intellectual property rights will provide us with a competitive advantage; (ii) our ability to assert our intellectual property rights against potential competitors or to settle current or future disputes will be effective; (iii) our intellectual property rights will be enforced in jurisdictions where competition may be intense or where legal protection may be weak; (iv) any of the patent, trademark, copyright, trade secret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spacing w:after="0" w:line="13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Policing unauthorized use of our proprietary rights can be difficult and costly. Litigation, while it may be necessary to enforce or protect our intellectual property rights, could result in substantial costs and diversion of resources and management attention and could adversely affect our business, even if we are successful on the merits. In addition, others may independently discover trade secrets and proprietary information, and in such cases we could not assert any trade secret rights against such parties.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from both start-up and established companies that may have significant advantages over us and our products.</w:t>
      </w:r>
    </w:p>
    <w:p>
      <w:pPr>
        <w:spacing w:after="0" w:line="194"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The market for our products and services is intensely competitive. There are numerous companies competing with us in various segments of the data and analytics sector, and their products and services may have advantages over our products and services in areas such as conformity to existing and emerging industry standards, performance, price, ease of use, scalability, reliability, flexibility, product features and technical support.</w:t>
      </w:r>
    </w:p>
    <w:p>
      <w:pPr>
        <w:spacing w:after="0" w:line="1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principal competitors in the data and analytics sector include Palantir, RELX Group (LexisNexis), TransUnion, and Thomson Reuters. Current and potential competitors may have one or more of the following significant advantages:</w:t>
      </w:r>
    </w:p>
    <w:p>
      <w:pPr>
        <w:spacing w:after="0" w:line="63"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financial, technical and marketing resources;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better name recognition;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comprehensive solutions;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better or more extensive cooperative relationships; and</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customer base.</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 cannot assure you that we will be able to compete successfully with our existing or new competitors. Some of our competitors may have, in relation to us, one or more of the following: longer operating histories, longer-standing relationships with end-user customers and greater customer service, public relations and other resources. As a result, these competitors may be able to more quickly develop or adapt to new or emerging technologies and changes in customer requirements, or devote greater resources to the development, promotion and sale of their products and services. Additionally, it is likely that new competitors or alliances among existing competitors could emerge and rapidly acquire significant market share.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further consolidation in our end-customer markets, which may adversely affect our revenue.</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There has been, and we expect there will continue to be, merger, acquisition and consolidation activity in our customer markets. If our customers merge with, or are acquired by, other entities that are not our customers, or that use fewer of our services, our revenue may be adversely impacted. In addition, industry consolidation could affect the base of recurring transaction-based revenue if consolidated customers combine their operations under one contract, since many of our contracts provide for volume discounts. In addition, our existing customers might leave certain geographic markets, which would no longer require them to purchase certain products from us and, consequently, we would generate less revenue than we currently expect.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9" w:name="page20"/>
    <w:bookmarkEnd w:id="19"/>
    <w:p>
      <w:pPr>
        <w:ind w:right="320"/>
        <w:spacing w:after="0" w:line="261" w:lineRule="auto"/>
        <w:rPr>
          <w:sz w:val="20"/>
          <w:szCs w:val="20"/>
          <w:color w:val="auto"/>
        </w:rPr>
      </w:pPr>
      <w:r>
        <w:rPr>
          <w:rFonts w:ascii="Arial" w:cs="Arial" w:eastAsia="Arial" w:hAnsi="Arial"/>
          <w:sz w:val="18"/>
          <w:szCs w:val="18"/>
          <w:b w:val="1"/>
          <w:bCs w:val="1"/>
          <w:i w:val="1"/>
          <w:iCs w:val="1"/>
          <w:color w:val="auto"/>
        </w:rPr>
        <w:t>To the extent the availability of free or relatively inexpensive consumer and/or business information increases, the demand for some of our services may decrease.</w:t>
      </w:r>
    </w:p>
    <w:p>
      <w:pPr>
        <w:spacing w:after="0" w:line="144"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Public and commercial sources of free or relatively inexpensive consumer and business information have become increasingly available and this trend is expected to continue. Public and commercial sources of free or relatively inexpensive consumer and/or business information may reduce demand for our services. To the extent that our customers choose not to obtain services from us and instead rely on information obtained at little or no cost from these public and commercial sources, our business, financial condition and results of operations may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newer products do not achieve market acceptance, revenue growth may suffer.</w:t>
      </w:r>
    </w:p>
    <w:p>
      <w:pPr>
        <w:spacing w:after="0" w:line="17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Our products have been in the market place for a limited period of time and may have longer sales cycles than competitive products. Accordingly, we may not achieve the meaningful revenue growth needed to sustain operations. We cannot provide any assurances that sales of our newer products will continue to grow or generate sufficient revenues to sustain our business. If we are unable to recognize revenues due to longer sales cycles or other problems, our results of operations could be adversely affected.</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have not yet received broad market acceptance for our newer products. We cannot assure you that our present or future products will achieve market acceptance on a sustained basis. In order to achieve market acceptance and achieve future revenue growth, we must introduce complementary products, incorporate new technologies into existing product lines, and design and develop and successfully commercialize higher performance products in a timely manner. We cannot assure you that we will be able to offer new or complementary products that gain market acceptance quickly enough to avoid decreased revenues during current or future product introductions or transitions.</w:t>
      </w:r>
    </w:p>
    <w:p>
      <w:pPr>
        <w:spacing w:after="0" w:line="13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Our products and services can have long sales and implementation cycles, which may result in substantial expenses before realizing any associated revenue.</w:t>
      </w:r>
    </w:p>
    <w:p>
      <w:pPr>
        <w:spacing w:after="0" w:line="13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sale and implementation of our products and services to large companies and government entities typically involves a lengthy education process and a significant technical evaluation and commitment of capital and other resources. This process is also subject to the risk of delays associated with customers’ internal budgeting and other procedures for approving capital expenditures, and testing and accepting new technologies that affect key operations. As a result, sales and implementation cycles for our products and services can be lengthy, and we may expend significant time and resources before we receive any revenues from a customer or potential customer. Our quarterly and annual operating results could be adversely affected if orders forecast for a specific customer and for a particular period are not realized.</w:t>
      </w:r>
    </w:p>
    <w:p>
      <w:pPr>
        <w:spacing w:after="0" w:line="16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If our outside service providers and key vendors are not able to or do not fulfill their service obligations, our operations could be disrupted and our operating results could be harmed.</w:t>
      </w:r>
    </w:p>
    <w:p>
      <w:pPr>
        <w:spacing w:after="0" w:line="1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depend on a number of service providers and key vendors such as telecommunication companies, software engineers, data processors, and software and hardware vendors, who are critical to our operations. These service providers and vendors are involved with our service offerings, communications and networking equipment, computer hardware and software and related support and maintenance. Although we have implemented service-level agreements and have established monitoring controls, our operations could be disrupted if we do not successfully manage relationships with our service providers, if they do not perform or are unable to perform agreed-upon service levels, or if they are unwilling to make their services available to us at reasonable prices. If our service providers and vendors do not perform their service obligations, it could adversely affect our reputation, business,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data and analytics sector may limit market acceptance of our products and services.</w:t>
      </w:r>
    </w:p>
    <w:p>
      <w:pPr>
        <w:spacing w:after="0" w:line="185"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Several of our competitors have acquired companies with complementary technologies in the past. We expect consolidation in the industries we serve to continue in the future. These acquisitions may permit our competitors to accelerate the development and commercialization of broader product lines and more comprehensive solutions than we currently offer. Acquisitions of vendors or other companies with whom we have a strategic relationship by our competitors may limit our access to commercially significant technologies. Further, business combinations are creating companies with larger market shares, customer bases, sales forces, product offerings and technology and marketing expertise, which may make it more difficult for us to compete.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may incur substantial expenses defending the Company against claims of infringement.</w:t>
      </w:r>
    </w:p>
    <w:p>
      <w:pPr>
        <w:spacing w:after="0" w:line="18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There are numerous patents held by many companies relating to the design and manufacture of data and analytics solutions. Third parties may claim that our products and/or services infringe on their intellectual property rights. Any claim, with or without merit, could consume management’s time, result in costly litigation, cause delays in sales or implementation of products or services or require entry into royalty or licensing agreements. In this respect, patent and other intellectual property litigation is becoming increasingly more expensive in terms of legal fees, expert fees and other expenses. Royalty and licensing agreements, if required and available, may be on terms unacceptable to us or detrimental to our business. Moreover, a successful claim of product infringement against us or our failure or inability to license the infringed or similar technology on commercially reasonable terms could seriously harm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Our headquarters are located at 2650 North Military Trail, Suite 300, Boca Raton, Florida 33431, where we lease 21,020 rentable square feet of office space in accordance with an 89-month lease agreement as amended and effective in January 2017. Our Seattle office is located at 1111 Third Avenue, Seattle, Washington 98101, where we lease 6,003 rentable square feet of office space in accordance with a 90-month lease agreement entered into in April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management, is likely to have a material adverse effect on the business, financial condition, results of operations or cash flows. Legal fees associated with such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2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addition to the foregoing, 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Our common stock is listed on The NASDAQ Capital Market (“NASDAQ”) under the symbol “RDVT,” and began regular-way trading on March 27, 2018. We paid no dividends or made any other distributions in respect of our common stock since March 27, 2018, and we have no plans to pay any dividends or make any other distributions in the future.</w:t>
      </w:r>
    </w:p>
    <w:p>
      <w:pPr>
        <w:spacing w:after="0" w:line="15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March 4, 2022, there were 13,522,567 shares of our common stock issued and outstanding. As of March 4, 2022, there were 28 record holders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You should read the following discussion in conjunction with our consolidated financial statements and related notes included in this 2021 Form 10-K. This 2021 Form 10-K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Part I, “Item 1A. Risk Factors” of this 2021 Form 10-K. We do not undertake any obligation to update forward-looking statements, except as required by law. We intend that all forward-looking statements be subject to the safe harbor provisions of the PSLRA. These forward-looking statements are only predictions and reflect our views as of the date they are made with respect to future events and financial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Arial" w:cs="Arial" w:eastAsia="Arial" w:hAnsi="Arial"/>
          <w:sz w:val="21"/>
          <w:szCs w:val="21"/>
          <w:color w:val="auto"/>
          <w:vertAlign w:val="superscript"/>
        </w:rPr>
        <w:t>TM</w:t>
      </w:r>
      <w:r>
        <w:rPr>
          <w:rFonts w:ascii="Arial" w:cs="Arial" w:eastAsia="Arial" w:hAnsi="Arial"/>
          <w:sz w:val="16"/>
          <w:szCs w:val="16"/>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6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While our platform powers many diverse solutions for our customers, we presently market our solutions primarily through two brands, IDI</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FOREWARN</w:t>
      </w:r>
      <w:r>
        <w:rPr>
          <w:rFonts w:ascii="Arial" w:cs="Arial" w:eastAsia="Arial" w:hAnsi="Arial"/>
          <w:sz w:val="23"/>
          <w:szCs w:val="23"/>
          <w:color w:val="auto"/>
          <w:vertAlign w:val="superscript"/>
        </w:rPr>
        <w:t>®</w:t>
      </w:r>
      <w:r>
        <w:rPr>
          <w:rFonts w:ascii="Arial" w:cs="Arial" w:eastAsia="Arial" w:hAnsi="Arial"/>
          <w:sz w:val="17"/>
          <w:szCs w:val="17"/>
          <w:color w:val="auto"/>
        </w:rPr>
        <w:t>. IDI is a leading-edge, analytics and information solutions provider delivering actionable intelligence to the risk management industry in support of use cases such as the verification and authentication of consumer identities, due diligence, prevention of fraud and abuse, legislative compliance, and debt recovery. idiCORE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is IDI's flagship product.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December 31, 2021 and 2020, IDI had 6,548 and 5,726 billable customers and FOREWARN had 82,419 and 48,377 users, respectively. The Company defines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0" w:right="359" w:bottom="1440" w:gutter="0" w:footer="0" w:header="0"/>
        </w:sectPr>
      </w:pPr>
    </w:p>
    <w:bookmarkStart w:id="23" w:name="page24"/>
    <w:bookmarkEnd w:id="23"/>
    <w:p>
      <w:pPr>
        <w:ind w:right="100"/>
        <w:spacing w:after="0"/>
        <w:rPr>
          <w:sz w:val="20"/>
          <w:szCs w:val="20"/>
          <w:color w:val="auto"/>
        </w:rPr>
      </w:pPr>
      <w:r>
        <w:rPr>
          <w:rFonts w:ascii="Arial" w:cs="Arial" w:eastAsia="Arial" w:hAnsi="Arial"/>
          <w:sz w:val="18"/>
          <w:szCs w:val="18"/>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years ended December 31, 2021 and 2020, 80% and 73% of total revenue was attributable to customers with pricing contracts, respectively, versus 20% and 27% attributable to transactional customers, respectively.</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0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During 2020, we experienced significantly reduced commercial activity in numerous aspects of our business as a result of the preventative and protective actions taken by federal, state and local governments to combat Covid-19, including the implementation of stay-at-home orders, social distancing policies and certain temporary government-imposed moratoria on collection customers’ activities. During 2021, we saw ongoing improvement in our results of operations, with the exception of our idiVERIFIED service, which is an ancillary collections market offering that is purely transactional and of a lower margin profile. We expect our idiVERIFIED service volume to return to pre-Covid levels in the second half of 2022. We continue to take precautionary measures intended to minimize the risk of the Covid-19 pandemic to our employees, our customers, and the communities in which we operate. These measures may result in inefficiencies, delays and additional costs to our business. The Covid-19 pandemic and its impact on us and the economy has significantly limited our ability to forecast our future operating results, including our ability to predict revenue and expense levels, and plan for and model future operating results. Furthermore, the full impact of the Covid-19 pandemic on our ongoing business, results of operations and overall financial performance cannot be reasonably estimated at this time. We will continue to evaluate the nature and extent of the impact of the Covid-19 pandemic to our business, including the emergence of new variants and the development, availability, distribution and effectiveness of vaccines.</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To further support our liquidity, beginning April 1, 2020, we elected, under Section 2302 of the Coronavirus Aid, Relief, and Economic Security Act (“CARES Act”), to defer payment of the employer portion of Social Security payroll tax. Under the CARES Act, employers could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We paid 50% of the deferred amount in December 2021. On May 5, 2020, we received funding under a promissory note dated May 5, 2020 evidencing an unsecured non-recourse loan in the principal amount of $2.2 million under the CARES Act (the “Loan”), which was fully forgiven by Legacy Bank of Florida (the “Lender”) and the U.S. Small Business Administration in June 2021, resulting in a gain on extinguishment of debt of $2.2 million during the year ended December 31, 2021. We will continue to assess the CARES Act and other applicable government legislation aimed at assisting businesses during the Covid-19 pandemic.</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Industry Trends and Uncertainties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affected by the following factors that impact the data and analytics sector in the United States:</w:t>
      </w:r>
    </w:p>
    <w:p>
      <w:pPr>
        <w:spacing w:after="0" w:line="171" w:lineRule="exact"/>
        <w:rPr>
          <w:sz w:val="20"/>
          <w:szCs w:val="20"/>
          <w:color w:val="auto"/>
        </w:rPr>
      </w:pPr>
    </w:p>
    <w:p>
      <w:pPr>
        <w:ind w:left="380" w:right="80" w:hanging="320"/>
        <w:spacing w:after="0" w:line="241"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macroeconomic conditions, including the availability of affordable credit and capital, interest rates, inflation, employment levels and consumer confidence, influence our revenue. Macroeconomic conditions also have a direct impact on overall technology, marketing and advertising expenditures in the U.S. As marketing budgets are often more discretionary in nature, they are easier to reduce in the short term as compared to other corporate expenses. Future widespread economic slowdowns in any of the industries or markets our customers serve could reduce the technology and marketing expenditures of our customers and prospective customers.</w:t>
      </w:r>
    </w:p>
    <w:p>
      <w:pPr>
        <w:spacing w:after="0" w:line="148" w:lineRule="exact"/>
        <w:rPr>
          <w:rFonts w:ascii="Arial" w:cs="Arial" w:eastAsia="Arial" w:hAnsi="Arial"/>
          <w:sz w:val="18"/>
          <w:szCs w:val="18"/>
          <w:color w:val="auto"/>
        </w:rPr>
      </w:pPr>
    </w:p>
    <w:p>
      <w:pPr>
        <w:ind w:left="380" w:right="140" w:hanging="327"/>
        <w:spacing w:after="0" w:line="279"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revenue is also significantly influenced by industry trends, including the demand for business analytics services in the industries we serve. Companies are increasingly relying on business analytics and related technologies to help process data in a cost-efficient manner. As customers have gained the ability to rapidly aggregate data generated by their own activities, they are increasingly expecting access to real-time data and analytics from their service providers as well as solutions that fully integrate into their workflows. The increasing number and complexity of regulations centered around data and provision of information services makes operations for businesses in the data and analytic sector more challenging.</w:t>
      </w:r>
    </w:p>
    <w:p>
      <w:pPr>
        <w:spacing w:after="0" w:line="132" w:lineRule="exact"/>
        <w:rPr>
          <w:rFonts w:ascii="Arial" w:cs="Arial" w:eastAsia="Arial" w:hAnsi="Arial"/>
          <w:sz w:val="16"/>
          <w:szCs w:val="16"/>
          <w:color w:val="auto"/>
        </w:rPr>
      </w:pPr>
    </w:p>
    <w:p>
      <w:pPr>
        <w:ind w:left="380" w:right="20" w:hanging="327"/>
        <w:spacing w:after="0" w:line="279"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enactment of new or amended legislation or industry regulations pertaining to consumer or private sector privacy issues could have a material adverse impact on information and marketing services. Legislation or industry regulations regarding consumer or private sector privacy issues could place restrictions upon the collection, sharing and use of information that is currently legally available, which could materially increase our cost of collecting and maintaining some data. These types of legislation or industry regulations could also prohibit us from collecting or disseminating certain types of data, which could adversely affect our ability to meet our customers’ requirements and our profitability and cash flow targets.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Specific Trends and Uncertainties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also directly affected by company-specific factors, including the following:</w:t>
      </w:r>
    </w:p>
    <w:p>
      <w:pPr>
        <w:spacing w:after="0" w:line="185" w:lineRule="exact"/>
        <w:rPr>
          <w:sz w:val="20"/>
          <w:szCs w:val="20"/>
          <w:color w:val="auto"/>
        </w:rPr>
      </w:pPr>
    </w:p>
    <w:p>
      <w:pPr>
        <w:ind w:left="380" w:right="120" w:hanging="372"/>
        <w:spacing w:after="0" w:line="248"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of our competitors have substantially greater financial, technical, sales and marketing resources, better name recognition and a larger customer base. Even if we introduce advanced products that meet evolving customer requirements in a timely manner, there can be no assurance that our new products will gain market acceptance.</w:t>
      </w:r>
    </w:p>
    <w:p>
      <w:pPr>
        <w:spacing w:after="0" w:line="141"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companies in the data and analytics sector have expanded their product lines or technologies in recent years as a result of acquisitions. Further, more companies have developed products which conform to existing and emerging industry standards and have sought to compete on the basis of price. We anticipate increased competition from large data and analytics vendors. Increased competition in the data and analytics sector could result in significant price competition, reduced profit margins or loss of market share, any of which could have a material adverse effect on our business, operating results and financial condition. There can be no assurance that we will be able to compete successfully in the future with current or new competitors.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Management’s discussion and analysis of financial condition and results of operations are based upon our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the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believe the following critical accounting policies govern our more significant judgments and estimates used in the preparation of our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20"/>
        <w:spacing w:after="0" w:line="208" w:lineRule="exact"/>
        <w:rPr>
          <w:sz w:val="20"/>
          <w:szCs w:val="20"/>
          <w:color w:val="auto"/>
        </w:rPr>
      </w:pPr>
      <w:r>
        <w:rPr>
          <w:rFonts w:ascii="Arial" w:cs="Arial" w:eastAsia="Arial" w:hAnsi="Arial"/>
          <w:sz w:val="17"/>
          <w:szCs w:val="17"/>
          <w:color w:val="auto"/>
        </w:rPr>
        <w:t xml:space="preserve">We recognize revenue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Under this standard, revenue is recognized when control of goods or services is transferred to the Company’s customers, in an amount that re</w:t>
      </w:r>
      <w:r>
        <w:rPr>
          <w:rFonts w:ascii="Arial Unicode MS" w:cs="Arial Unicode MS" w:eastAsia="Arial Unicode MS" w:hAnsi="Arial Unicode MS"/>
          <w:sz w:val="17"/>
          <w:szCs w:val="17"/>
          <w:color w:val="auto"/>
        </w:rPr>
        <w:t></w:t>
      </w:r>
      <w:r>
        <w:rPr>
          <w:rFonts w:ascii="Arial" w:cs="Arial" w:eastAsia="Arial" w:hAnsi="Arial"/>
          <w:sz w:val="17"/>
          <w:szCs w:val="17"/>
          <w:color w:val="auto"/>
        </w:rPr>
        <w:t>ects the consideration the Company expects to be entitled to in exchange for those goods or services. Our performance obligation is to provide on demand information and identity intelligence solutions to our customers by leveraging our proprietary technology and applying machine learning and advanced analytics to our massive data repository. The pricing for the customer contracts is based on usage, a monthly fee, or a combination of both.</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considered to be a single performance obligation consisting of a series of distinct services, and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Variable fees are allocated to each distinct month in the series for which they are earned. Our revenue is recorded net of applicable sales taxes billed to customers.</w:t>
      </w:r>
    </w:p>
    <w:p>
      <w:pPr>
        <w:spacing w:after="0" w:line="13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Available within Topic 606, we have applied the portfolio approach practical expedient in accounting for customer revenue as one collective group, rather than individual contracts. Based on our historical knowledge of the contracts contained in this portfolio and the similar nature and characteristics of the customers, we have concluded the financial statement effects are not materially different than if accounting for revenue on a contract by contract basis.</w:t>
      </w:r>
    </w:p>
    <w:p>
      <w:pPr>
        <w:spacing w:after="0" w:line="12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Revenue is recognized over a period of time. Our customers simultaneously receive and consume the benefits provided by our performance as and when provided. Furthermore, we have elected the “right to invoice” practical expedient, available within Topic 606, as our measure of progress, since we have a right to payment from a customer in an amount that corresponds directly with the value of our performance completed-to-date. Our revenue arrangements do not contain significant financing components.</w:t>
      </w:r>
    </w:p>
    <w:p>
      <w:pPr>
        <w:spacing w:after="0" w:line="147"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For the years ended December 31, 2021 and 2020, 80% and 73% of total revenue was attributable to customers with pricing contracts, respectively, versus 20% and 27% attributable to transactional customers, respectively. Pricing contracts are generally annual contracts or longer, with auto renewal.</w:t>
      </w:r>
    </w:p>
    <w:p>
      <w:pPr>
        <w:spacing w:after="0" w:line="84" w:lineRule="exact"/>
        <w:rPr>
          <w:sz w:val="20"/>
          <w:szCs w:val="20"/>
          <w:color w:val="auto"/>
        </w:rPr>
      </w:pPr>
    </w:p>
    <w:p>
      <w:pPr>
        <w:ind w:right="40"/>
        <w:spacing w:after="0" w:line="212" w:lineRule="exact"/>
        <w:rPr>
          <w:sz w:val="20"/>
          <w:szCs w:val="20"/>
          <w:color w:val="auto"/>
        </w:rPr>
      </w:pPr>
      <w:r>
        <w:rPr>
          <w:rFonts w:ascii="Arial" w:cs="Arial" w:eastAsia="Arial" w:hAnsi="Arial"/>
          <w:sz w:val="16"/>
          <w:szCs w:val="16"/>
          <w:color w:val="auto"/>
        </w:rPr>
        <w:t>If a customer pays consideration before we transfer services to the customer, those amounts are classi</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as deferred revenue. As of December 31, 2021 and 2020, the balance of deferred revenue was $0.8 million and $0.5 million, respectively, all of which is expected to be realized in the next 12 months. In relation to the deferred revenue balance as of December 31, 2020, $0.5 million was recognized into revenue during the year ended December 31, 2021.</w:t>
      </w:r>
    </w:p>
    <w:p>
      <w:pPr>
        <w:spacing w:after="0" w:line="16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As of December 31, 2021, $7.7 million of revenue is expected to be recognized in the future for performance obligations that are unsatisfied or partially unsatisfied, related to pricing contracts that have a term of more than 12 months, of which $4.4 million of revenue will be recognized in 2022, $2.6 million in 2023, and $0.7 million in 2024. The actual timing of recognition may vary due to factors outside of our control. We exclude variable consideration related entirely to wholly unsatisfied performance obligations and contracts and recognizes such variable consideration based upon the right to invoice the customer.</w:t>
      </w:r>
    </w:p>
    <w:p>
      <w:pPr>
        <w:spacing w:after="0" w:line="14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30" w:lineRule="exact"/>
        <w:rPr>
          <w:sz w:val="20"/>
          <w:szCs w:val="20"/>
          <w:color w:val="auto"/>
        </w:rPr>
      </w:pPr>
    </w:p>
    <w:p>
      <w:pPr>
        <w:jc w:val="both"/>
        <w:ind w:right="220"/>
        <w:spacing w:after="0" w:line="216" w:lineRule="exact"/>
        <w:rPr>
          <w:sz w:val="20"/>
          <w:szCs w:val="20"/>
          <w:color w:val="auto"/>
        </w:rPr>
      </w:pPr>
      <w:r>
        <w:rPr>
          <w:rFonts w:ascii="Arial" w:cs="Arial" w:eastAsia="Arial" w:hAnsi="Arial"/>
          <w:sz w:val="16"/>
          <w:szCs w:val="16"/>
          <w:color w:val="auto"/>
        </w:rPr>
        <w:t>In addition, we elected the practical expedient to not disclose the value of unsatis</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performance obligations for (i) contracts with an original expected length of one year or less and (ii) contracts for which we recognize revenue at the amount to which we have the right to invoice for services performed.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doubtful accounts</w:t>
      </w:r>
    </w:p>
    <w:p>
      <w:pPr>
        <w:spacing w:after="0" w:line="17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maintain allowance for doubtful accounts for estimated losses resulting from the inability of our customers to make required payments. Management determines whether an allowance needs to be provided for an amount due from a customer depending on the aging of the individual receivable balance, recent payment history, contractual terms and other qualitative factors such as status of business relationship with the customer. Historically, our estimates for doubtful accounts have not differed materially from actual results. The amount of the allowance for doubtful accounts was $0.03 million and $0.04 million as of December 31, 2021 and 2020, respectively.</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06"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which requires the use of the asset and liability method of accounting for income taxes. Under the asset and liability method, deferred tax assets and liabilities are computed based upon the difference between the financial statement and income tax basis of assets and liabilities using the enacted tax rate applicable when the related asset or liability is expected to be realized or settled. Deferred income tax expenses or benefits are based on the changes in the asset or liability each period. If available evidence suggests that it is more likely than not that some portion or all of the deferred tax assets will not be realized, a valuation allowance is required to reduce the deferred tax assets to the amount that is more likely than not to be realized. As of December 31, 2021 and 2020, we had a valuation allowance of $9.5 million and $7.6 million, respectively. Future changes in such valuation allowance are included in the provision for deferred income taxes in the period of change.</w:t>
      </w:r>
    </w:p>
    <w:p>
      <w:pPr>
        <w:spacing w:after="0" w:line="12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other than goodwill</w:t>
      </w:r>
    </w:p>
    <w:p>
      <w:pPr>
        <w:spacing w:after="0" w:line="18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Our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47" w:lineRule="exact"/>
        <w:rPr>
          <w:sz w:val="20"/>
          <w:szCs w:val="20"/>
          <w:color w:val="auto"/>
        </w:rPr>
      </w:pPr>
    </w:p>
    <w:p>
      <w:pPr>
        <w:jc w:val="both"/>
        <w:ind w:right="640"/>
        <w:spacing w:after="0" w:line="243" w:lineRule="auto"/>
        <w:rPr>
          <w:sz w:val="20"/>
          <w:szCs w:val="20"/>
          <w:color w:val="auto"/>
        </w:rPr>
      </w:pPr>
      <w:r>
        <w:rPr>
          <w:rFonts w:ascii="Arial" w:cs="Arial" w:eastAsia="Arial" w:hAnsi="Arial"/>
          <w:sz w:val="18"/>
          <w:szCs w:val="18"/>
          <w:color w:val="auto"/>
        </w:rPr>
        <w:t xml:space="preserve">In accordance with ASC 350-40, </w:t>
      </w:r>
      <w:r>
        <w:rPr>
          <w:rFonts w:ascii="Arial" w:cs="Arial" w:eastAsia="Arial" w:hAnsi="Arial"/>
          <w:sz w:val="18"/>
          <w:szCs w:val="18"/>
          <w:i w:val="1"/>
          <w:iCs w:val="1"/>
          <w:color w:val="auto"/>
        </w:rPr>
        <w:t>“Software — internal use software,”</w:t>
      </w:r>
      <w:r>
        <w:rPr>
          <w:rFonts w:ascii="Arial" w:cs="Arial" w:eastAsia="Arial" w:hAnsi="Arial"/>
          <w:sz w:val="18"/>
          <w:szCs w:val="18"/>
          <w:color w:val="auto"/>
        </w:rPr>
        <w:t xml:space="preserve"> we capitalize eligible costs, including salaries and staff benefits, share-based compensation, travel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assessment involves determining the fair value of each reporting unit using market participant assumptions. An entity should recognize an impairment charge for the amount by which the carrying amount of a reporting unit exceeds its fair value up to the amount of goodwill allocated to that reporting unit.</w:t>
      </w:r>
    </w:p>
    <w:p>
      <w:pPr>
        <w:spacing w:after="0" w:line="13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On October 1, 2021 and 2020, we performed qualitative assessments on the reporting unit and, based on this assessment, no events have occurred to indicate that it is more likely than not that the fair value of the reporting unit is less than its carry amount. We concluded that goodwill was not impaired as of December 31, 2021 and 2020.</w:t>
      </w:r>
    </w:p>
    <w:p>
      <w:pPr>
        <w:spacing w:after="0" w:line="14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For purposes of reviewing impairment and the recoverability of goodwill, we must make various assumptions regarding estimated future cash flows and other factors in determining the fair value of the reporting unit, including market multiples, discount rates, etc.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7" w:name="page28"/>
    <w:bookmarkEnd w:id="27"/>
    <w:p>
      <w:pPr>
        <w:spacing w:after="0" w:line="248" w:lineRule="auto"/>
        <w:rPr>
          <w:sz w:val="20"/>
          <w:szCs w:val="20"/>
          <w:color w:val="auto"/>
        </w:rPr>
      </w:pPr>
      <w:r>
        <w:rPr>
          <w:rFonts w:ascii="Arial" w:cs="Arial" w:eastAsia="Arial" w:hAnsi="Arial"/>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concluded there was no impairment as of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 xml:space="preserve">We account for share-based compensation to employees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Under ASC 718, we measure the cost of employee services received in exchange for an award of equity instruments based on the grant-date fair value of the award and, for those awards subject only to service condition, recognizes the costs on a straight-line basis over the period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w:t>
      </w:r>
    </w:p>
    <w:p>
      <w:pPr>
        <w:spacing w:after="0" w:line="13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fair value of RSUs is determined based on the number of shares granted and the quoted price of our common stock. The estimated number of stock awards that will ultimately vest requires judgment, and to the extent actual results or updated estimates differ from our current estimates, such amount will be recorded as a cumulative adjustment in the period estimates are revised. Changes in our estimates and assumptions may cause us to realize material changes in share-based compensation expense in the future.</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have issued share-based awards with performance-based vesting criteria. Achievement of the milestones must be probable before we begin recording share-based compensation expense. When the performance-based vesting criteria is considered probable, we begin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2021, we have deemed the achievement of the performance-based criteria to be probable for all share-based awards with performance-based vesting criteria, except for the Criteria Four award, as defined in Note 10, “Share-based compensation,” included in “Notes to Consolidated Financial Statements.”</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apply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which generally expands the scope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to include share-based payment transactions for acquiring goods and services from nonemployees and supersedes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in ASC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previously included the accounting for nonemployee awards.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See Item 8 of Part II, “Financial Statements and Supplementary Data – Note 2. Summary of significant accounting policies - </w:t>
      </w:r>
      <w:r>
        <w:rPr>
          <w:rFonts w:ascii="Arial" w:cs="Arial" w:eastAsia="Arial" w:hAnsi="Arial"/>
          <w:sz w:val="18"/>
          <w:szCs w:val="18"/>
          <w:i w:val="1"/>
          <w:iCs w:val="1"/>
          <w:color w:val="auto"/>
        </w:rPr>
        <w:t>(s) Recently issued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standards.</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2021 as compared to the three months ended December 31, 2020:</w:t>
      </w:r>
    </w:p>
    <w:p>
      <w:pPr>
        <w:spacing w:after="0" w:line="171"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revenue increased 26% to $11.3 million. Platform revenue increased 25% to $10.8 million. Services revenue increased 31% to $0.5 million.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loss narrowed 5% to $1.8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increased 9% to $1.3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profit increased 35% to $6.9 million. Gross margin increased to 62% from 57%.</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gross profit increased 33% to $8.3 million. Adjusted gross margin increased to 74% from 70%.</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from operating activities increased 10% to $2.0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and cash equivalents were $34.3 million as of December 31, 2021.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Full Year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 as compared to the year ended December 31, 2020:</w:t>
      </w:r>
    </w:p>
    <w:p>
      <w:pPr>
        <w:spacing w:after="0" w:line="171"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revenue increased 27% to $44.0 million. Platform revenue increased 31% to $42.5 million. Services revenue decreased 25% to $1.5 million.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was $0.7 million compared to a loss of $6.8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increased 85% to $10.9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profit increased 43% to $27.7 million. Gross margin increased to 63% from 56%.</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gross profit increased 41% to $32.8 million. Adjusted gross margin increased to 75% from 67%.</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from operating activities increased 37% to $8.9 million.</w:t>
      </w:r>
    </w:p>
    <w:p>
      <w:pPr>
        <w:spacing w:after="0" w:line="17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Platform revenue consists of both contractual and transactional revenue generated from our technology platform, CORE. It includes all revenue generated through our idiCORE and FOREWARN solutions. The cost of platform revenue, which consists primarily of data acquisition costs, remains relatively fixed irrespective of revenue generation. Services revenue consists of revenue generated from our idiVERIFIED service, which is an ancillary collections market offering that is purely transactional and of a lower margin profile. The cost of services revenue, which consists primarily of third-party servicer costs, is variable.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175"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(loss) income, the most directly comparable financial measure based on US GAAP, excluding interest (income) expense, net, income tax expense, depreciation and amortization, share-based compensation expense, gain on extinguishment of debt,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tcPr>
          <w:p>
            <w:pPr>
              <w:jc w:val="right"/>
              <w:ind w:right="630"/>
              <w:spacing w:after="0"/>
              <w:rPr>
                <w:sz w:val="20"/>
                <w:szCs w:val="20"/>
                <w:color w:val="auto"/>
              </w:rPr>
            </w:pPr>
            <w:r>
              <w:rPr>
                <w:rFonts w:ascii="Arial" w:cs="Arial" w:eastAsia="Arial" w:hAnsi="Arial"/>
                <w:sz w:val="14"/>
                <w:szCs w:val="14"/>
                <w:b w:val="1"/>
                <w:bCs w:val="1"/>
                <w:color w:val="auto"/>
                <w:w w:val="97"/>
              </w:rPr>
              <w:t>Three Months Ended December 31,</w:t>
            </w:r>
          </w:p>
        </w:tc>
        <w:tc>
          <w:tcPr>
            <w:tcW w:w="300" w:type="dxa"/>
            <w:vAlign w:val="bottom"/>
          </w:tcPr>
          <w:p>
            <w:pPr>
              <w:spacing w:after="0"/>
              <w:rPr>
                <w:sz w:val="16"/>
                <w:szCs w:val="16"/>
                <w:color w:val="auto"/>
              </w:rPr>
            </w:pPr>
          </w:p>
        </w:tc>
        <w:tc>
          <w:tcPr>
            <w:tcW w:w="2760" w:type="dxa"/>
            <w:vAlign w:val="bottom"/>
            <w:gridSpan w:val="5"/>
          </w:tcPr>
          <w:p>
            <w:pPr>
              <w:jc w:val="right"/>
              <w:ind w:right="79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(loss) income</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(1,784</w:t>
            </w:r>
          </w:p>
        </w:tc>
        <w:tc>
          <w:tcPr>
            <w:tcW w:w="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(1,875</w:t>
            </w:r>
          </w:p>
        </w:tc>
        <w:tc>
          <w:tcPr>
            <w:tcW w:w="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655</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(6,813</w:t>
            </w:r>
          </w:p>
        </w:tc>
        <w:tc>
          <w:tcPr>
            <w:tcW w:w="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7"/>
                <w:szCs w:val="17"/>
                <w:color w:val="auto"/>
              </w:rPr>
            </w:pPr>
          </w:p>
        </w:tc>
        <w:tc>
          <w:tcPr>
            <w:tcW w:w="14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(1 )</w:t>
            </w:r>
          </w:p>
        </w:tc>
        <w:tc>
          <w:tcPr>
            <w:tcW w:w="3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w:t>
            </w: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1,466</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1,196</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5,399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4,216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1,418</w:t>
            </w: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1,648</w:t>
            </w: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6,615</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8,064</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Gain on extinguishment of debt</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(2,175 )</w:t>
            </w: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Litigation costs</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Write-off of long-lived assets and others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w:t>
            </w:r>
          </w:p>
        </w:tc>
        <w:tc>
          <w:tcPr>
            <w:tcW w:w="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1,306</w:t>
            </w:r>
          </w:p>
        </w:tc>
        <w:tc>
          <w:tcPr>
            <w:tcW w:w="4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1,197</w:t>
            </w:r>
          </w:p>
        </w:tc>
        <w:tc>
          <w:tcPr>
            <w:tcW w:w="4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10,929</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5,923</w:t>
            </w:r>
          </w:p>
        </w:tc>
        <w:tc>
          <w:tcPr>
            <w:tcW w:w="3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line="183"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11,258</w:t>
            </w:r>
          </w:p>
        </w:tc>
        <w:tc>
          <w:tcPr>
            <w:tcW w:w="400" w:type="dxa"/>
            <w:vAlign w:val="bottom"/>
          </w:tcPr>
          <w:p>
            <w:pPr>
              <w:spacing w:after="0"/>
              <w:rPr>
                <w:sz w:val="15"/>
                <w:szCs w:val="15"/>
                <w:color w:val="auto"/>
              </w:rPr>
            </w:pPr>
          </w:p>
        </w:tc>
        <w:tc>
          <w:tcPr>
            <w:tcW w:w="300" w:type="dxa"/>
            <w:vAlign w:val="bottom"/>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83" w:lineRule="exact"/>
              <w:rPr>
                <w:sz w:val="20"/>
                <w:szCs w:val="20"/>
                <w:color w:val="auto"/>
              </w:rPr>
            </w:pPr>
            <w:r>
              <w:rPr>
                <w:rFonts w:ascii="Arial" w:cs="Arial" w:eastAsia="Arial" w:hAnsi="Arial"/>
                <w:sz w:val="18"/>
                <w:szCs w:val="18"/>
                <w:color w:val="auto"/>
              </w:rPr>
              <w:t>8,963</w:t>
            </w:r>
          </w:p>
        </w:tc>
        <w:tc>
          <w:tcPr>
            <w:tcW w:w="400" w:type="dxa"/>
            <w:vAlign w:val="bottom"/>
          </w:tcPr>
          <w:p>
            <w:pPr>
              <w:spacing w:after="0"/>
              <w:rPr>
                <w:sz w:val="15"/>
                <w:szCs w:val="15"/>
                <w:color w:val="auto"/>
              </w:rPr>
            </w:pPr>
          </w:p>
        </w:tc>
        <w:tc>
          <w:tcPr>
            <w:tcW w:w="300" w:type="dxa"/>
            <w:vAlign w:val="bottom"/>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44,022</w:t>
            </w:r>
          </w:p>
        </w:tc>
        <w:tc>
          <w:tcPr>
            <w:tcW w:w="280" w:type="dxa"/>
            <w:vAlign w:val="bottom"/>
          </w:tcPr>
          <w:p>
            <w:pPr>
              <w:spacing w:after="0"/>
              <w:rPr>
                <w:sz w:val="15"/>
                <w:szCs w:val="15"/>
                <w:color w:val="auto"/>
              </w:rPr>
            </w:pPr>
          </w:p>
        </w:tc>
        <w:tc>
          <w:tcPr>
            <w:tcW w:w="280" w:type="dxa"/>
            <w:vAlign w:val="bottom"/>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rPr>
              <w:t>34,586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Net (loss) income margin</w:t>
            </w:r>
          </w:p>
        </w:tc>
        <w:tc>
          <w:tcPr>
            <w:tcW w:w="220" w:type="dxa"/>
            <w:vAlign w:val="bottom"/>
          </w:tcPr>
          <w:p>
            <w:pPr>
              <w:spacing w:after="0"/>
              <w:rPr>
                <w:sz w:val="17"/>
                <w:szCs w:val="17"/>
                <w:color w:val="auto"/>
              </w:rPr>
            </w:pPr>
          </w:p>
        </w:tc>
        <w:tc>
          <w:tcPr>
            <w:tcW w:w="14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(16 %)</w:t>
            </w:r>
          </w:p>
        </w:tc>
        <w:tc>
          <w:tcPr>
            <w:tcW w:w="300" w:type="dxa"/>
            <w:vAlign w:val="bottom"/>
          </w:tcPr>
          <w:p>
            <w:pPr>
              <w:spacing w:after="0"/>
              <w:rPr>
                <w:sz w:val="17"/>
                <w:szCs w:val="17"/>
                <w:color w:val="auto"/>
              </w:rPr>
            </w:pPr>
          </w:p>
        </w:tc>
        <w:tc>
          <w:tcPr>
            <w:tcW w:w="1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(21 %)</w:t>
            </w:r>
          </w:p>
        </w:tc>
        <w:tc>
          <w:tcPr>
            <w:tcW w:w="300" w:type="dxa"/>
            <w:vAlign w:val="bottom"/>
          </w:tcPr>
          <w:p>
            <w:pPr>
              <w:spacing w:after="0"/>
              <w:rPr>
                <w:sz w:val="17"/>
                <w:szCs w:val="17"/>
                <w:color w:val="auto"/>
              </w:rPr>
            </w:pPr>
          </w:p>
        </w:tc>
        <w:tc>
          <w:tcPr>
            <w:tcW w:w="12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1 %</w:t>
            </w:r>
          </w:p>
        </w:tc>
        <w:tc>
          <w:tcPr>
            <w:tcW w:w="28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Adjusted EBITDA margin</w:t>
            </w:r>
          </w:p>
        </w:tc>
        <w:tc>
          <w:tcPr>
            <w:tcW w:w="80" w:type="dxa"/>
            <w:vAlign w:val="bottom"/>
            <w:vMerge w:val="continue"/>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12</w:t>
            </w:r>
          </w:p>
        </w:tc>
        <w:tc>
          <w:tcPr>
            <w:tcW w:w="4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13</w:t>
            </w:r>
          </w:p>
        </w:tc>
        <w:tc>
          <w:tcPr>
            <w:tcW w:w="4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25</w:t>
            </w:r>
          </w:p>
        </w:tc>
        <w:tc>
          <w:tcPr>
            <w:tcW w:w="280" w:type="dxa"/>
            <w:vAlign w:val="bottom"/>
            <w:tcBorders>
              <w:bottom w:val="single" w:sz="8" w:color="CFF0FC"/>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87"/>
              </w:rPr>
              <w:t>%</w:t>
            </w: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17</w:t>
            </w:r>
          </w:p>
        </w:tc>
        <w:tc>
          <w:tcPr>
            <w:tcW w:w="3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5"/>
        </w:trPr>
        <w:tc>
          <w:tcPr>
            <w:tcW w:w="4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-1199515</wp:posOffset>
            </wp:positionV>
            <wp:extent cx="2057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-1182370</wp:posOffset>
            </wp:positionV>
            <wp:extent cx="2057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-1199515</wp:posOffset>
            </wp:positionV>
            <wp:extent cx="2057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-1182370</wp:posOffset>
            </wp:positionV>
            <wp:extent cx="2057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-1199515</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-1182370</wp:posOffset>
            </wp:positionV>
            <wp:extent cx="13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-1199515</wp:posOffset>
            </wp:positionV>
            <wp:extent cx="1974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-1182370</wp:posOffset>
            </wp:positionV>
            <wp:extent cx="1974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-633730</wp:posOffset>
            </wp:positionV>
            <wp:extent cx="2057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-616585</wp:posOffset>
            </wp:positionV>
            <wp:extent cx="2057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-633730</wp:posOffset>
            </wp:positionV>
            <wp:extent cx="2057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-616585</wp:posOffset>
            </wp:positionV>
            <wp:extent cx="2057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-633730</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-616585</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-633730</wp:posOffset>
            </wp:positionV>
            <wp:extent cx="1974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-616585</wp:posOffset>
            </wp:positionV>
            <wp:extent cx="1974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7"/>
              </w:rPr>
              <w:t>Three Months Ended December 31,</w:t>
            </w:r>
          </w:p>
        </w:tc>
        <w:tc>
          <w:tcPr>
            <w:tcW w:w="300" w:type="dxa"/>
            <w:vAlign w:val="bottom"/>
          </w:tcPr>
          <w:p>
            <w:pPr>
              <w:spacing w:after="0"/>
              <w:rPr>
                <w:sz w:val="16"/>
                <w:szCs w:val="16"/>
                <w:color w:val="auto"/>
              </w:rPr>
            </w:pPr>
          </w:p>
        </w:tc>
        <w:tc>
          <w:tcPr>
            <w:tcW w:w="27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line="196" w:lineRule="exact"/>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11,258</w:t>
            </w:r>
          </w:p>
        </w:tc>
        <w:tc>
          <w:tcPr>
            <w:tcW w:w="300" w:type="dxa"/>
            <w:vAlign w:val="bottom"/>
          </w:tcPr>
          <w:p>
            <w:pPr>
              <w:spacing w:after="0"/>
              <w:rPr>
                <w:sz w:val="17"/>
                <w:szCs w:val="17"/>
                <w:color w:val="auto"/>
              </w:rPr>
            </w:pP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8,963</w:t>
            </w:r>
          </w:p>
        </w:tc>
        <w:tc>
          <w:tcPr>
            <w:tcW w:w="32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44,022</w:t>
            </w:r>
          </w:p>
        </w:tc>
        <w:tc>
          <w:tcPr>
            <w:tcW w:w="28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34,586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Cost of revenue (exclusive of depreciation and</w:t>
            </w:r>
          </w:p>
        </w:tc>
        <w:tc>
          <w:tcPr>
            <w:tcW w:w="240" w:type="dxa"/>
            <w:vAlign w:val="bottom"/>
            <w:shd w:val="clear" w:color="auto" w:fill="CFF0FC"/>
          </w:tcPr>
          <w:p>
            <w:pPr>
              <w:spacing w:after="0"/>
              <w:rPr>
                <w:sz w:val="14"/>
                <w:szCs w:val="14"/>
                <w:color w:val="auto"/>
              </w:rPr>
            </w:pPr>
          </w:p>
        </w:tc>
        <w:tc>
          <w:tcPr>
            <w:tcW w:w="13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(2,927 )</w:t>
            </w:r>
          </w:p>
        </w:tc>
        <w:tc>
          <w:tcPr>
            <w:tcW w:w="32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(2,694 )</w:t>
            </w:r>
          </w:p>
        </w:tc>
        <w:tc>
          <w:tcPr>
            <w:tcW w:w="30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(11,195 )</w:t>
            </w:r>
          </w:p>
        </w:tc>
        <w:tc>
          <w:tcPr>
            <w:tcW w:w="30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(11,276 )</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FF0FC"/>
          </w:tcPr>
          <w:p>
            <w:pPr>
              <w:spacing w:after="0"/>
              <w:rPr>
                <w:sz w:val="18"/>
                <w:szCs w:val="18"/>
                <w:color w:val="auto"/>
              </w:rPr>
            </w:pPr>
          </w:p>
        </w:tc>
        <w:tc>
          <w:tcPr>
            <w:tcW w:w="1360" w:type="dxa"/>
            <w:vAlign w:val="bottom"/>
            <w:gridSpan w:val="2"/>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 of intangible assets</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(1,407 )</w:t>
            </w:r>
          </w:p>
        </w:tc>
        <w:tc>
          <w:tcPr>
            <w:tcW w:w="32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(1,143 )</w:t>
            </w:r>
          </w:p>
        </w:tc>
        <w:tc>
          <w:tcPr>
            <w:tcW w:w="3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(5,170 )</w:t>
            </w:r>
          </w:p>
        </w:tc>
        <w:tc>
          <w:tcPr>
            <w:tcW w:w="30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(3,990 )</w:t>
            </w:r>
          </w:p>
        </w:tc>
        <w:tc>
          <w:tcPr>
            <w:tcW w:w="0" w:type="dxa"/>
            <w:vAlign w:val="bottom"/>
          </w:tcPr>
          <w:p>
            <w:pPr>
              <w:spacing w:after="0"/>
              <w:rPr>
                <w:sz w:val="1"/>
                <w:szCs w:val="1"/>
                <w:color w:val="auto"/>
              </w:rPr>
            </w:pPr>
          </w:p>
        </w:tc>
      </w:tr>
      <w:tr>
        <w:trPr>
          <w:trHeight w:val="196"/>
        </w:trPr>
        <w:tc>
          <w:tcPr>
            <w:tcW w:w="4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6,924</w:t>
            </w:r>
          </w:p>
        </w:tc>
        <w:tc>
          <w:tcPr>
            <w:tcW w:w="3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5,126</w:t>
            </w:r>
          </w:p>
        </w:tc>
        <w:tc>
          <w:tcPr>
            <w:tcW w:w="3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27,657</w:t>
            </w:r>
          </w:p>
        </w:tc>
        <w:tc>
          <w:tcPr>
            <w:tcW w:w="2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19,320</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 of intangible assets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1,407</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1,143</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5,170</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Adjusted gross profit</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8,331</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6,269</w:t>
            </w:r>
          </w:p>
        </w:tc>
        <w:tc>
          <w:tcPr>
            <w:tcW w:w="3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32,827</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23,310</w:t>
            </w: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Gross margin</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62 %</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57 %</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63 %</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Adjusted gross margin</w:t>
            </w:r>
          </w:p>
        </w:tc>
        <w:tc>
          <w:tcPr>
            <w:tcW w:w="240" w:type="dxa"/>
            <w:vAlign w:val="bottom"/>
          </w:tcPr>
          <w:p>
            <w:pPr>
              <w:spacing w:after="0"/>
              <w:rPr>
                <w:sz w:val="15"/>
                <w:szCs w:val="15"/>
                <w:color w:val="auto"/>
              </w:rPr>
            </w:pPr>
          </w:p>
        </w:tc>
        <w:tc>
          <w:tcPr>
            <w:tcW w:w="136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74 %</w:t>
            </w:r>
          </w:p>
        </w:tc>
        <w:tc>
          <w:tcPr>
            <w:tcW w:w="320" w:type="dxa"/>
            <w:vAlign w:val="bottom"/>
          </w:tcPr>
          <w:p>
            <w:pPr>
              <w:spacing w:after="0"/>
              <w:rPr>
                <w:sz w:val="15"/>
                <w:szCs w:val="15"/>
                <w:color w:val="auto"/>
              </w:rPr>
            </w:pPr>
          </w:p>
        </w:tc>
        <w:tc>
          <w:tcPr>
            <w:tcW w:w="130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70 %</w:t>
            </w:r>
          </w:p>
        </w:tc>
        <w:tc>
          <w:tcPr>
            <w:tcW w:w="300" w:type="dxa"/>
            <w:vAlign w:val="bottom"/>
          </w:tcPr>
          <w:p>
            <w:pPr>
              <w:spacing w:after="0"/>
              <w:rPr>
                <w:sz w:val="15"/>
                <w:szCs w:val="15"/>
                <w:color w:val="auto"/>
              </w:rPr>
            </w:pPr>
          </w:p>
        </w:tc>
        <w:tc>
          <w:tcPr>
            <w:tcW w:w="128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75 %</w:t>
            </w:r>
          </w:p>
        </w:tc>
        <w:tc>
          <w:tcPr>
            <w:tcW w:w="300" w:type="dxa"/>
            <w:vAlign w:val="bottom"/>
          </w:tcPr>
          <w:p>
            <w:pPr>
              <w:spacing w:after="0"/>
              <w:rPr>
                <w:sz w:val="15"/>
                <w:szCs w:val="15"/>
                <w:color w:val="auto"/>
              </w:rPr>
            </w:pPr>
          </w:p>
        </w:tc>
        <w:tc>
          <w:tcPr>
            <w:tcW w:w="118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-462280</wp:posOffset>
            </wp:positionV>
            <wp:extent cx="1460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-445135</wp:posOffset>
            </wp:positionV>
            <wp:extent cx="1460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-462280</wp:posOffset>
            </wp:positionV>
            <wp:extent cx="1454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-445135</wp:posOffset>
            </wp:positionV>
            <wp:extent cx="145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-462280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-445135</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-462280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-445135</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-179070</wp:posOffset>
            </wp:positionV>
            <wp:extent cx="1460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-161925</wp:posOffset>
            </wp:positionV>
            <wp:extent cx="1460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-179070</wp:posOffset>
            </wp:positionV>
            <wp:extent cx="1454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-161925</wp:posOffset>
            </wp:positionV>
            <wp:extent cx="1454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-179070</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-161925</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-179070</wp:posOffset>
            </wp:positionV>
            <wp:extent cx="137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-161925</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3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We believe adjusted EBITDA, adjusted EBITDA margin,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4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Adjusted EBITDA, adjusted EBITDA margin, adjusted gross profit and adjusted gross margin are not intended to be performance measures that should be regarded as an alternative to, or more meaningful than, financial measures presented in accordance with US GAAP. The way we measure adjusted EBITDA, adjusted EBITDA margin, adjusted gross profit and adjusted gross margin may not be comparable to similarly titled measures presented by other companies, and may not be identical to corresponding measures used in our various agreements.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189"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The following tables set forth the Company's unaudited quarterly consolidated statements of operations data and reconciliations of certain directly comparable US GAAP financial measures to non-GAAP financial measures, including adjusted EBITDA, adjusted EBITDA margin, adjusted gross profit and adjusted gross margin, for each of the eight quarters in the two-year period ended December 31, 2021. The Company has prepared the quarterly unaudited consolidated statements of operations data on a basis consistent with the audited consolidated financial statements included elsewhere in this 2021 Form 10-K. In the opinion of management, the financial information in these tables reflects all adjustments, consisting only of normal recurring adjustments, which management considers necessary for a fair presentation of this data. This information should be read in conjunction with the audited consolidated financial statements and related notes included elsewhere in this 2021 Form 10-K. The results of historical periods are not necessarily indicative of the results for any future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Three Months Ended</w:t>
            </w:r>
          </w:p>
        </w:tc>
        <w:tc>
          <w:tcPr>
            <w:tcW w:w="6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28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(In thousands, except share data) (Unaudited)</w:t>
            </w: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8"/>
              <w:spacing w:after="0" w:line="102" w:lineRule="exact"/>
              <w:rPr>
                <w:sz w:val="20"/>
                <w:szCs w:val="20"/>
                <w:color w:val="auto"/>
              </w:rPr>
            </w:pPr>
            <w:r>
              <w:rPr>
                <w:rFonts w:ascii="Arial" w:cs="Arial" w:eastAsia="Arial" w:hAnsi="Arial"/>
                <w:sz w:val="9"/>
                <w:szCs w:val="9"/>
                <w:b w:val="1"/>
                <w:bCs w:val="1"/>
                <w:color w:val="auto"/>
              </w:rPr>
              <w:t>3/31/2020</w:t>
            </w: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8"/>
              <w:spacing w:after="0" w:line="102" w:lineRule="exact"/>
              <w:rPr>
                <w:sz w:val="20"/>
                <w:szCs w:val="20"/>
                <w:color w:val="auto"/>
              </w:rPr>
            </w:pPr>
            <w:r>
              <w:rPr>
                <w:rFonts w:ascii="Arial" w:cs="Arial" w:eastAsia="Arial" w:hAnsi="Arial"/>
                <w:sz w:val="9"/>
                <w:szCs w:val="9"/>
                <w:b w:val="1"/>
                <w:bCs w:val="1"/>
                <w:color w:val="auto"/>
              </w:rPr>
              <w:t>6/30/2020</w:t>
            </w: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8"/>
              <w:spacing w:after="0" w:line="102" w:lineRule="exact"/>
              <w:rPr>
                <w:sz w:val="20"/>
                <w:szCs w:val="20"/>
                <w:color w:val="auto"/>
              </w:rPr>
            </w:pPr>
            <w:r>
              <w:rPr>
                <w:rFonts w:ascii="Arial" w:cs="Arial" w:eastAsia="Arial" w:hAnsi="Arial"/>
                <w:sz w:val="9"/>
                <w:szCs w:val="9"/>
                <w:b w:val="1"/>
                <w:bCs w:val="1"/>
                <w:color w:val="auto"/>
              </w:rPr>
              <w:t>9/30/2020</w:t>
            </w: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60"/>
              <w:spacing w:after="0" w:line="102" w:lineRule="exact"/>
              <w:rPr>
                <w:sz w:val="20"/>
                <w:szCs w:val="20"/>
                <w:color w:val="auto"/>
              </w:rPr>
            </w:pPr>
            <w:r>
              <w:rPr>
                <w:rFonts w:ascii="Arial" w:cs="Arial" w:eastAsia="Arial" w:hAnsi="Arial"/>
                <w:sz w:val="9"/>
                <w:szCs w:val="9"/>
                <w:b w:val="1"/>
                <w:bCs w:val="1"/>
                <w:color w:val="auto"/>
                <w:w w:val="97"/>
              </w:rPr>
              <w:t>12/31/2020</w:t>
            </w: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38"/>
              <w:spacing w:after="0" w:line="102" w:lineRule="exact"/>
              <w:rPr>
                <w:sz w:val="20"/>
                <w:szCs w:val="20"/>
                <w:color w:val="auto"/>
              </w:rPr>
            </w:pPr>
            <w:r>
              <w:rPr>
                <w:rFonts w:ascii="Arial" w:cs="Arial" w:eastAsia="Arial" w:hAnsi="Arial"/>
                <w:sz w:val="9"/>
                <w:szCs w:val="9"/>
                <w:b w:val="1"/>
                <w:bCs w:val="1"/>
                <w:color w:val="auto"/>
                <w:w w:val="99"/>
              </w:rPr>
              <w:t>3/31/2021</w:t>
            </w: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198"/>
              <w:spacing w:after="0" w:line="102" w:lineRule="exact"/>
              <w:rPr>
                <w:sz w:val="20"/>
                <w:szCs w:val="20"/>
                <w:color w:val="auto"/>
              </w:rPr>
            </w:pPr>
            <w:r>
              <w:rPr>
                <w:rFonts w:ascii="Arial" w:cs="Arial" w:eastAsia="Arial" w:hAnsi="Arial"/>
                <w:sz w:val="9"/>
                <w:szCs w:val="9"/>
                <w:b w:val="1"/>
                <w:bCs w:val="1"/>
                <w:color w:val="auto"/>
              </w:rPr>
              <w:t>6/30/2021</w:t>
            </w: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8"/>
              <w:spacing w:after="0" w:line="102" w:lineRule="exact"/>
              <w:rPr>
                <w:sz w:val="20"/>
                <w:szCs w:val="20"/>
                <w:color w:val="auto"/>
              </w:rPr>
            </w:pPr>
            <w:r>
              <w:rPr>
                <w:rFonts w:ascii="Arial" w:cs="Arial" w:eastAsia="Arial" w:hAnsi="Arial"/>
                <w:sz w:val="9"/>
                <w:szCs w:val="9"/>
                <w:b w:val="1"/>
                <w:bCs w:val="1"/>
                <w:color w:val="auto"/>
              </w:rPr>
              <w:t>9/30/2021</w:t>
            </w: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118"/>
              <w:spacing w:after="0" w:line="102" w:lineRule="exact"/>
              <w:rPr>
                <w:sz w:val="20"/>
                <w:szCs w:val="20"/>
                <w:color w:val="auto"/>
              </w:rPr>
            </w:pPr>
            <w:r>
              <w:rPr>
                <w:rFonts w:ascii="Arial" w:cs="Arial" w:eastAsia="Arial" w:hAnsi="Arial"/>
                <w:sz w:val="9"/>
                <w:szCs w:val="9"/>
                <w:b w:val="1"/>
                <w:bCs w:val="1"/>
                <w:color w:val="auto"/>
              </w:rPr>
              <w:t>12/31/2021</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280" w:type="dxa"/>
            <w:vAlign w:val="bottom"/>
            <w:gridSpan w:val="2"/>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Revenue</w:t>
            </w:r>
          </w:p>
        </w:tc>
        <w:tc>
          <w:tcPr>
            <w:tcW w:w="1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9,300</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7,056</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9,267</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8,963</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10,217</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10,879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11,668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11,258</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80" w:type="dxa"/>
            <w:vAlign w:val="bottom"/>
            <w:gridSpan w:val="2"/>
            <w:shd w:val="clear" w:color="auto" w:fill="CFF0FC"/>
          </w:tcPr>
          <w:p>
            <w:pPr>
              <w:ind w:left="20"/>
              <w:spacing w:after="0" w:line="108" w:lineRule="exact"/>
              <w:rPr>
                <w:sz w:val="20"/>
                <w:szCs w:val="20"/>
                <w:color w:val="auto"/>
              </w:rPr>
            </w:pPr>
            <w:r>
              <w:rPr>
                <w:rFonts w:ascii="Arial" w:cs="Arial" w:eastAsia="Arial" w:hAnsi="Arial"/>
                <w:sz w:val="12"/>
                <w:szCs w:val="12"/>
                <w:color w:val="auto"/>
              </w:rPr>
              <w:t>Cost of revenue (exclusive of</w:t>
            </w:r>
          </w:p>
        </w:tc>
        <w:tc>
          <w:tcPr>
            <w:tcW w:w="16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3,292</w:t>
            </w: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2,587</w:t>
            </w: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2,703</w:t>
            </w: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2,694</w:t>
            </w:r>
          </w:p>
        </w:tc>
        <w:tc>
          <w:tcPr>
            <w:tcW w:w="3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2,761</w:t>
            </w: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2,720</w:t>
            </w: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2,787</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2,927</w:t>
            </w: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Sales and marketing expenses</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2,176</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1,746</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2,217</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1,959</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2,221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2,349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2,154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General and administrative expenses</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4,434</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4,263</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4,147</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4,983</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4,550</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6,244</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Depreciation and amortization</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910</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992</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1,118</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1,196</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1,258</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1,330</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1,345</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Borders>
              <w:bottom w:val="single" w:sz="8" w:color="CFF0FC"/>
            </w:tcBorders>
            <w:gridSpan w:val="2"/>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costs and expenses</w:t>
            </w: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10,812</w:t>
            </w:r>
          </w:p>
        </w:tc>
        <w:tc>
          <w:tcPr>
            <w:tcW w:w="3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9,588</w:t>
            </w:r>
          </w:p>
        </w:tc>
        <w:tc>
          <w:tcPr>
            <w:tcW w:w="3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10,185</w:t>
            </w:r>
          </w:p>
        </w:tc>
        <w:tc>
          <w:tcPr>
            <w:tcW w:w="3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10,832</w:t>
            </w:r>
          </w:p>
        </w:tc>
        <w:tc>
          <w:tcPr>
            <w:tcW w:w="3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10,790</w:t>
            </w:r>
          </w:p>
        </w:tc>
        <w:tc>
          <w:tcPr>
            <w:tcW w:w="3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11,289</w:t>
            </w:r>
          </w:p>
        </w:tc>
        <w:tc>
          <w:tcPr>
            <w:tcW w:w="2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10,413</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12,845</w:t>
            </w:r>
          </w:p>
        </w:tc>
        <w:tc>
          <w:tcPr>
            <w:tcW w:w="2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(Loss) income from operations</w:t>
            </w:r>
          </w:p>
        </w:tc>
        <w:tc>
          <w:tcPr>
            <w:tcW w:w="160" w:type="dxa"/>
            <w:vAlign w:val="bottom"/>
          </w:tcPr>
          <w:p>
            <w:pPr>
              <w:spacing w:after="0"/>
              <w:rPr>
                <w:sz w:val="12"/>
                <w:szCs w:val="12"/>
                <w:color w:val="auto"/>
              </w:rPr>
            </w:pPr>
          </w:p>
        </w:tc>
        <w:tc>
          <w:tcPr>
            <w:tcW w:w="1020" w:type="dxa"/>
            <w:vAlign w:val="bottom"/>
            <w:gridSpan w:val="2"/>
          </w:tcPr>
          <w:p>
            <w:pPr>
              <w:jc w:val="right"/>
              <w:ind w:right="237"/>
              <w:spacing w:after="0" w:line="142" w:lineRule="exact"/>
              <w:rPr>
                <w:sz w:val="20"/>
                <w:szCs w:val="20"/>
                <w:color w:val="auto"/>
              </w:rPr>
            </w:pPr>
            <w:r>
              <w:rPr>
                <w:rFonts w:ascii="Arial" w:cs="Arial" w:eastAsia="Arial" w:hAnsi="Arial"/>
                <w:sz w:val="13"/>
                <w:szCs w:val="13"/>
                <w:color w:val="auto"/>
              </w:rPr>
              <w:t>(1,512 )</w:t>
            </w:r>
          </w:p>
        </w:tc>
        <w:tc>
          <w:tcPr>
            <w:tcW w:w="140" w:type="dxa"/>
            <w:vAlign w:val="bottom"/>
          </w:tcPr>
          <w:p>
            <w:pPr>
              <w:spacing w:after="0"/>
              <w:rPr>
                <w:sz w:val="12"/>
                <w:szCs w:val="12"/>
                <w:color w:val="auto"/>
              </w:rPr>
            </w:pPr>
          </w:p>
        </w:tc>
        <w:tc>
          <w:tcPr>
            <w:tcW w:w="1020" w:type="dxa"/>
            <w:vAlign w:val="bottom"/>
            <w:gridSpan w:val="2"/>
          </w:tcPr>
          <w:p>
            <w:pPr>
              <w:jc w:val="right"/>
              <w:ind w:right="237"/>
              <w:spacing w:after="0" w:line="142" w:lineRule="exact"/>
              <w:rPr>
                <w:sz w:val="20"/>
                <w:szCs w:val="20"/>
                <w:color w:val="auto"/>
              </w:rPr>
            </w:pPr>
            <w:r>
              <w:rPr>
                <w:rFonts w:ascii="Arial" w:cs="Arial" w:eastAsia="Arial" w:hAnsi="Arial"/>
                <w:sz w:val="13"/>
                <w:szCs w:val="13"/>
                <w:color w:val="auto"/>
              </w:rPr>
              <w:t>(2,532 )</w:t>
            </w:r>
          </w:p>
        </w:tc>
        <w:tc>
          <w:tcPr>
            <w:tcW w:w="140" w:type="dxa"/>
            <w:vAlign w:val="bottom"/>
          </w:tcPr>
          <w:p>
            <w:pPr>
              <w:spacing w:after="0"/>
              <w:rPr>
                <w:sz w:val="12"/>
                <w:szCs w:val="12"/>
                <w:color w:val="auto"/>
              </w:rPr>
            </w:pPr>
          </w:p>
        </w:tc>
        <w:tc>
          <w:tcPr>
            <w:tcW w:w="1020" w:type="dxa"/>
            <w:vAlign w:val="bottom"/>
            <w:gridSpan w:val="2"/>
          </w:tcPr>
          <w:p>
            <w:pPr>
              <w:jc w:val="right"/>
              <w:ind w:right="217"/>
              <w:spacing w:after="0" w:line="142" w:lineRule="exact"/>
              <w:rPr>
                <w:sz w:val="20"/>
                <w:szCs w:val="20"/>
                <w:color w:val="auto"/>
              </w:rPr>
            </w:pPr>
            <w:r>
              <w:rPr>
                <w:rFonts w:ascii="Arial" w:cs="Arial" w:eastAsia="Arial" w:hAnsi="Arial"/>
                <w:sz w:val="13"/>
                <w:szCs w:val="13"/>
                <w:color w:val="auto"/>
              </w:rPr>
              <w:t>(918 )</w:t>
            </w:r>
          </w:p>
        </w:tc>
        <w:tc>
          <w:tcPr>
            <w:tcW w:w="140" w:type="dxa"/>
            <w:vAlign w:val="bottom"/>
          </w:tcPr>
          <w:p>
            <w:pPr>
              <w:spacing w:after="0"/>
              <w:rPr>
                <w:sz w:val="12"/>
                <w:szCs w:val="12"/>
                <w:color w:val="auto"/>
              </w:rPr>
            </w:pPr>
          </w:p>
        </w:tc>
        <w:tc>
          <w:tcPr>
            <w:tcW w:w="1020" w:type="dxa"/>
            <w:vAlign w:val="bottom"/>
            <w:gridSpan w:val="2"/>
          </w:tcPr>
          <w:p>
            <w:pPr>
              <w:jc w:val="right"/>
              <w:ind w:right="217"/>
              <w:spacing w:after="0" w:line="142" w:lineRule="exact"/>
              <w:rPr>
                <w:sz w:val="20"/>
                <w:szCs w:val="20"/>
                <w:color w:val="auto"/>
              </w:rPr>
            </w:pPr>
            <w:r>
              <w:rPr>
                <w:rFonts w:ascii="Arial" w:cs="Arial" w:eastAsia="Arial" w:hAnsi="Arial"/>
                <w:sz w:val="13"/>
                <w:szCs w:val="13"/>
                <w:color w:val="auto"/>
              </w:rPr>
              <w:t>(1,869 )</w:t>
            </w:r>
          </w:p>
        </w:tc>
        <w:tc>
          <w:tcPr>
            <w:tcW w:w="160" w:type="dxa"/>
            <w:vAlign w:val="bottom"/>
          </w:tcPr>
          <w:p>
            <w:pPr>
              <w:spacing w:after="0"/>
              <w:rPr>
                <w:sz w:val="12"/>
                <w:szCs w:val="12"/>
                <w:color w:val="auto"/>
              </w:rPr>
            </w:pPr>
          </w:p>
        </w:tc>
        <w:tc>
          <w:tcPr>
            <w:tcW w:w="940" w:type="dxa"/>
            <w:vAlign w:val="bottom"/>
            <w:gridSpan w:val="2"/>
          </w:tcPr>
          <w:p>
            <w:pPr>
              <w:jc w:val="right"/>
              <w:ind w:right="197"/>
              <w:spacing w:after="0" w:line="142" w:lineRule="exact"/>
              <w:rPr>
                <w:sz w:val="20"/>
                <w:szCs w:val="20"/>
                <w:color w:val="auto"/>
              </w:rPr>
            </w:pPr>
            <w:r>
              <w:rPr>
                <w:rFonts w:ascii="Arial" w:cs="Arial" w:eastAsia="Arial" w:hAnsi="Arial"/>
                <w:sz w:val="13"/>
                <w:szCs w:val="13"/>
                <w:color w:val="auto"/>
              </w:rPr>
              <w:t>(573 )</w:t>
            </w:r>
          </w:p>
        </w:tc>
        <w:tc>
          <w:tcPr>
            <w:tcW w:w="160" w:type="dxa"/>
            <w:vAlign w:val="bottom"/>
          </w:tcPr>
          <w:p>
            <w:pPr>
              <w:spacing w:after="0"/>
              <w:rPr>
                <w:sz w:val="12"/>
                <w:szCs w:val="12"/>
                <w:color w:val="auto"/>
              </w:rPr>
            </w:pPr>
          </w:p>
        </w:tc>
        <w:tc>
          <w:tcPr>
            <w:tcW w:w="940" w:type="dxa"/>
            <w:vAlign w:val="bottom"/>
            <w:gridSpan w:val="2"/>
          </w:tcPr>
          <w:p>
            <w:pPr>
              <w:jc w:val="right"/>
              <w:ind w:right="142"/>
              <w:spacing w:after="0" w:line="142" w:lineRule="exact"/>
              <w:rPr>
                <w:sz w:val="20"/>
                <w:szCs w:val="20"/>
                <w:color w:val="auto"/>
              </w:rPr>
            </w:pPr>
            <w:r>
              <w:rPr>
                <w:rFonts w:ascii="Arial" w:cs="Arial" w:eastAsia="Arial" w:hAnsi="Arial"/>
                <w:sz w:val="13"/>
                <w:szCs w:val="13"/>
                <w:color w:val="auto"/>
              </w:rPr>
              <w:t>(410 )</w:t>
            </w: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1,255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(1,587 )</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Interest income (expense), net</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(7 )</w:t>
            </w: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(6 )</w:t>
            </w: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(5 )</w:t>
            </w: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2"/>
              <w:spacing w:after="0"/>
              <w:rPr>
                <w:sz w:val="20"/>
                <w:szCs w:val="20"/>
                <w:color w:val="auto"/>
              </w:rPr>
            </w:pPr>
            <w:r>
              <w:rPr>
                <w:rFonts w:ascii="Arial" w:cs="Arial" w:eastAsia="Arial" w:hAnsi="Arial"/>
                <w:sz w:val="13"/>
                <w:szCs w:val="13"/>
                <w:color w:val="auto"/>
              </w:rPr>
              <w:t>(4 )</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Gain on extinguishment of debt</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2,175</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gridSpan w:val="2"/>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(Loss) income before income taxes</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(1,481</w:t>
            </w:r>
          </w:p>
        </w:tc>
        <w:tc>
          <w:tcPr>
            <w:tcW w:w="3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(2,532</w:t>
            </w:r>
          </w:p>
        </w:tc>
        <w:tc>
          <w:tcPr>
            <w:tcW w:w="3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(925</w:t>
            </w:r>
          </w:p>
        </w:tc>
        <w:tc>
          <w:tcPr>
            <w:tcW w:w="3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(1,875</w:t>
            </w:r>
          </w:p>
        </w:tc>
        <w:tc>
          <w:tcPr>
            <w:tcW w:w="3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(578</w:t>
            </w:r>
          </w:p>
        </w:tc>
        <w:tc>
          <w:tcPr>
            <w:tcW w:w="3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1,761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1,256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(1,586</w:t>
            </w:r>
          </w:p>
        </w:tc>
        <w:tc>
          <w:tcPr>
            <w:tcW w:w="2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Income tax expense</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Borders>
              <w:bottom w:val="single" w:sz="8" w:color="CFF0FC"/>
            </w:tcBorders>
            <w:gridSpan w:val="2"/>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Net (loss) income</w:t>
            </w: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(1,481</w:t>
            </w:r>
          </w:p>
        </w:tc>
        <w:tc>
          <w:tcPr>
            <w:tcW w:w="3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(2,532</w:t>
            </w:r>
          </w:p>
        </w:tc>
        <w:tc>
          <w:tcPr>
            <w:tcW w:w="3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(925</w:t>
            </w:r>
          </w:p>
        </w:tc>
        <w:tc>
          <w:tcPr>
            <w:tcW w:w="3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(1,875</w:t>
            </w:r>
          </w:p>
        </w:tc>
        <w:tc>
          <w:tcPr>
            <w:tcW w:w="3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(578</w:t>
            </w:r>
          </w:p>
        </w:tc>
        <w:tc>
          <w:tcPr>
            <w:tcW w:w="32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1,761</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1,256</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(1,784</w:t>
            </w:r>
          </w:p>
        </w:tc>
        <w:tc>
          <w:tcPr>
            <w:tcW w:w="22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2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(Loss) earnings per share:</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Basic</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(0.13 )</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(0.22 )</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(0.08 )</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217"/>
              <w:spacing w:after="0"/>
              <w:rPr>
                <w:sz w:val="20"/>
                <w:szCs w:val="20"/>
                <w:color w:val="auto"/>
              </w:rPr>
            </w:pPr>
            <w:r>
              <w:rPr>
                <w:rFonts w:ascii="Arial" w:cs="Arial" w:eastAsia="Arial" w:hAnsi="Arial"/>
                <w:sz w:val="13"/>
                <w:szCs w:val="13"/>
                <w:color w:val="auto"/>
              </w:rPr>
              <w:t>(0.14 )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(0.05 )</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(0.14 )</w:t>
            </w:r>
          </w:p>
        </w:tc>
        <w:tc>
          <w:tcPr>
            <w:tcW w:w="0" w:type="dxa"/>
            <w:vAlign w:val="bottom"/>
          </w:tcPr>
          <w:p>
            <w:pPr>
              <w:spacing w:after="0"/>
              <w:rPr>
                <w:sz w:val="1"/>
                <w:szCs w:val="1"/>
                <w:color w:val="auto"/>
              </w:rPr>
            </w:pPr>
          </w:p>
        </w:tc>
      </w:tr>
      <w:tr>
        <w:trPr>
          <w:trHeight w:val="20"/>
        </w:trPr>
        <w:tc>
          <w:tcPr>
            <w:tcW w:w="2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8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Diluted</w:t>
            </w: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37"/>
              <w:spacing w:after="0" w:line="129" w:lineRule="exact"/>
              <w:rPr>
                <w:sz w:val="20"/>
                <w:szCs w:val="20"/>
                <w:color w:val="auto"/>
              </w:rPr>
            </w:pPr>
            <w:r>
              <w:rPr>
                <w:rFonts w:ascii="Arial" w:cs="Arial" w:eastAsia="Arial" w:hAnsi="Arial"/>
                <w:sz w:val="13"/>
                <w:szCs w:val="13"/>
                <w:color w:val="auto"/>
              </w:rPr>
              <w:t>(0.13 )</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37"/>
              <w:spacing w:after="0" w:line="129" w:lineRule="exact"/>
              <w:rPr>
                <w:sz w:val="20"/>
                <w:szCs w:val="20"/>
                <w:color w:val="auto"/>
              </w:rPr>
            </w:pPr>
            <w:r>
              <w:rPr>
                <w:rFonts w:ascii="Arial" w:cs="Arial" w:eastAsia="Arial" w:hAnsi="Arial"/>
                <w:sz w:val="13"/>
                <w:szCs w:val="13"/>
                <w:color w:val="auto"/>
              </w:rPr>
              <w:t>(0.22 )</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17"/>
              <w:spacing w:after="0" w:line="129" w:lineRule="exact"/>
              <w:rPr>
                <w:sz w:val="20"/>
                <w:szCs w:val="20"/>
                <w:color w:val="auto"/>
              </w:rPr>
            </w:pPr>
            <w:r>
              <w:rPr>
                <w:rFonts w:ascii="Arial" w:cs="Arial" w:eastAsia="Arial" w:hAnsi="Arial"/>
                <w:sz w:val="13"/>
                <w:szCs w:val="13"/>
                <w:color w:val="auto"/>
              </w:rPr>
              <w:t>(0.08 )</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17"/>
              <w:spacing w:after="0" w:line="129" w:lineRule="exact"/>
              <w:rPr>
                <w:sz w:val="20"/>
                <w:szCs w:val="20"/>
                <w:color w:val="auto"/>
              </w:rPr>
            </w:pPr>
            <w:r>
              <w:rPr>
                <w:rFonts w:ascii="Arial" w:cs="Arial" w:eastAsia="Arial" w:hAnsi="Arial"/>
                <w:sz w:val="13"/>
                <w:szCs w:val="13"/>
                <w:color w:val="auto"/>
              </w:rPr>
              <w:t>(0.14 )</w:t>
            </w: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97"/>
              <w:spacing w:after="0" w:line="129" w:lineRule="exact"/>
              <w:rPr>
                <w:sz w:val="20"/>
                <w:szCs w:val="20"/>
                <w:color w:val="auto"/>
              </w:rPr>
            </w:pPr>
            <w:r>
              <w:rPr>
                <w:rFonts w:ascii="Arial" w:cs="Arial" w:eastAsia="Arial" w:hAnsi="Arial"/>
                <w:sz w:val="13"/>
                <w:szCs w:val="13"/>
                <w:color w:val="auto"/>
              </w:rPr>
              <w:t>(0.05 )</w:t>
            </w: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0.13</w:t>
            </w:r>
          </w:p>
        </w:tc>
        <w:tc>
          <w:tcPr>
            <w:tcW w:w="24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0.09</w:t>
            </w:r>
          </w:p>
        </w:tc>
        <w:tc>
          <w:tcPr>
            <w:tcW w:w="2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97"/>
              <w:spacing w:after="0" w:line="129" w:lineRule="exact"/>
              <w:rPr>
                <w:sz w:val="20"/>
                <w:szCs w:val="20"/>
                <w:color w:val="auto"/>
              </w:rPr>
            </w:pPr>
            <w:r>
              <w:rPr>
                <w:rFonts w:ascii="Arial" w:cs="Arial" w:eastAsia="Arial" w:hAnsi="Arial"/>
                <w:sz w:val="13"/>
                <w:szCs w:val="13"/>
                <w:color w:val="auto"/>
              </w:rPr>
              <w:t>(0.14 )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80" w:type="dxa"/>
            <w:vAlign w:val="bottom"/>
            <w:gridSpan w:val="2"/>
            <w:shd w:val="clear" w:color="auto" w:fill="CFF0FC"/>
          </w:tcPr>
          <w:p>
            <w:pPr>
              <w:ind w:left="20"/>
              <w:spacing w:after="0" w:line="89" w:lineRule="exact"/>
              <w:rPr>
                <w:sz w:val="20"/>
                <w:szCs w:val="20"/>
                <w:color w:val="auto"/>
              </w:rPr>
            </w:pPr>
            <w:r>
              <w:rPr>
                <w:rFonts w:ascii="Arial" w:cs="Arial" w:eastAsia="Arial" w:hAnsi="Arial"/>
                <w:sz w:val="10"/>
                <w:szCs w:val="10"/>
                <w:b w:val="1"/>
                <w:bCs w:val="1"/>
                <w:color w:val="auto"/>
              </w:rPr>
              <w:t>Weighted average number of</w:t>
            </w:r>
          </w:p>
        </w:tc>
        <w:tc>
          <w:tcPr>
            <w:tcW w:w="16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280" w:type="dxa"/>
            <w:vAlign w:val="bottom"/>
            <w:gridSpan w:val="2"/>
            <w:shd w:val="clear" w:color="auto" w:fill="CFF0FC"/>
          </w:tcPr>
          <w:p>
            <w:pPr>
              <w:ind w:left="80"/>
              <w:spacing w:after="0"/>
              <w:rPr>
                <w:sz w:val="20"/>
                <w:szCs w:val="20"/>
                <w:color w:val="auto"/>
              </w:rPr>
            </w:pPr>
            <w:r>
              <w:rPr>
                <w:rFonts w:ascii="Arial" w:cs="Arial" w:eastAsia="Arial" w:hAnsi="Arial"/>
                <w:sz w:val="13"/>
                <w:szCs w:val="13"/>
                <w:b w:val="1"/>
                <w:bCs w:val="1"/>
                <w:color w:val="auto"/>
              </w:rPr>
              <w:t>shares outstanding:</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Basic</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11,583,214</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11,617,342</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12,072,716</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12,173,301</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12,207,193</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12,269,412</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12,741,723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13,158,638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FF0FC"/>
            </w:tcBorders>
            <w:gridSpan w:val="2"/>
            <w:shd w:val="clear" w:color="auto" w:fill="CFF0FC"/>
          </w:tcPr>
          <w:p>
            <w:pPr>
              <w:ind w:left="20"/>
              <w:spacing w:after="0" w:line="129" w:lineRule="exact"/>
              <w:rPr>
                <w:sz w:val="20"/>
                <w:szCs w:val="20"/>
                <w:color w:val="auto"/>
              </w:rPr>
            </w:pPr>
            <w:r>
              <w:rPr>
                <w:rFonts w:ascii="Arial" w:cs="Arial" w:eastAsia="Arial" w:hAnsi="Arial"/>
                <w:sz w:val="13"/>
                <w:szCs w:val="13"/>
                <w:color w:val="auto"/>
              </w:rPr>
              <w:t>Diluted</w:t>
            </w: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98"/>
              </w:rPr>
              <w:t>11,583,214</w:t>
            </w:r>
          </w:p>
        </w:tc>
        <w:tc>
          <w:tcPr>
            <w:tcW w:w="3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98"/>
              </w:rPr>
              <w:t>11,617,342</w:t>
            </w:r>
          </w:p>
        </w:tc>
        <w:tc>
          <w:tcPr>
            <w:tcW w:w="3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98"/>
              </w:rPr>
              <w:t>12,072,716</w:t>
            </w:r>
          </w:p>
        </w:tc>
        <w:tc>
          <w:tcPr>
            <w:tcW w:w="3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98"/>
              </w:rPr>
              <w:t>12,173,301</w:t>
            </w:r>
          </w:p>
        </w:tc>
        <w:tc>
          <w:tcPr>
            <w:tcW w:w="3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92"/>
              </w:rPr>
              <w:t>12,207,193</w:t>
            </w:r>
          </w:p>
        </w:tc>
        <w:tc>
          <w:tcPr>
            <w:tcW w:w="3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13,560,714</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13,645,208</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98"/>
              </w:rPr>
              <w:t>13,158,638</w:t>
            </w:r>
          </w:p>
        </w:tc>
        <w:tc>
          <w:tcPr>
            <w:tcW w:w="2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Three Months Ended</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28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(In thousands) (Unaudited)</w:t>
            </w: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8"/>
              <w:spacing w:after="0" w:line="102" w:lineRule="exact"/>
              <w:rPr>
                <w:sz w:val="20"/>
                <w:szCs w:val="20"/>
                <w:color w:val="auto"/>
              </w:rPr>
            </w:pPr>
            <w:r>
              <w:rPr>
                <w:rFonts w:ascii="Arial" w:cs="Arial" w:eastAsia="Arial" w:hAnsi="Arial"/>
                <w:sz w:val="9"/>
                <w:szCs w:val="9"/>
                <w:b w:val="1"/>
                <w:bCs w:val="1"/>
                <w:color w:val="auto"/>
              </w:rPr>
              <w:t>3/31/2020</w:t>
            </w: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8"/>
              <w:spacing w:after="0" w:line="102" w:lineRule="exact"/>
              <w:rPr>
                <w:sz w:val="20"/>
                <w:szCs w:val="20"/>
                <w:color w:val="auto"/>
              </w:rPr>
            </w:pPr>
            <w:r>
              <w:rPr>
                <w:rFonts w:ascii="Arial" w:cs="Arial" w:eastAsia="Arial" w:hAnsi="Arial"/>
                <w:sz w:val="9"/>
                <w:szCs w:val="9"/>
                <w:b w:val="1"/>
                <w:bCs w:val="1"/>
                <w:color w:val="auto"/>
              </w:rPr>
              <w:t>6/30/2020</w:t>
            </w: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8"/>
              <w:spacing w:after="0" w:line="102" w:lineRule="exact"/>
              <w:rPr>
                <w:sz w:val="20"/>
                <w:szCs w:val="20"/>
                <w:color w:val="auto"/>
              </w:rPr>
            </w:pPr>
            <w:r>
              <w:rPr>
                <w:rFonts w:ascii="Arial" w:cs="Arial" w:eastAsia="Arial" w:hAnsi="Arial"/>
                <w:sz w:val="9"/>
                <w:szCs w:val="9"/>
                <w:b w:val="1"/>
                <w:bCs w:val="1"/>
                <w:color w:val="auto"/>
              </w:rPr>
              <w:t>9/30/2020</w:t>
            </w: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60"/>
              <w:spacing w:after="0" w:line="102" w:lineRule="exact"/>
              <w:rPr>
                <w:sz w:val="20"/>
                <w:szCs w:val="20"/>
                <w:color w:val="auto"/>
              </w:rPr>
            </w:pPr>
            <w:r>
              <w:rPr>
                <w:rFonts w:ascii="Arial" w:cs="Arial" w:eastAsia="Arial" w:hAnsi="Arial"/>
                <w:sz w:val="9"/>
                <w:szCs w:val="9"/>
                <w:b w:val="1"/>
                <w:bCs w:val="1"/>
                <w:color w:val="auto"/>
                <w:w w:val="97"/>
              </w:rPr>
              <w:t>12/31/2020</w:t>
            </w: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38"/>
              <w:spacing w:after="0" w:line="102" w:lineRule="exact"/>
              <w:rPr>
                <w:sz w:val="20"/>
                <w:szCs w:val="20"/>
                <w:color w:val="auto"/>
              </w:rPr>
            </w:pPr>
            <w:r>
              <w:rPr>
                <w:rFonts w:ascii="Arial" w:cs="Arial" w:eastAsia="Arial" w:hAnsi="Arial"/>
                <w:sz w:val="9"/>
                <w:szCs w:val="9"/>
                <w:b w:val="1"/>
                <w:bCs w:val="1"/>
                <w:color w:val="auto"/>
                <w:w w:val="99"/>
              </w:rPr>
              <w:t>3/31/2021</w:t>
            </w: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198"/>
              <w:spacing w:after="0" w:line="102" w:lineRule="exact"/>
              <w:rPr>
                <w:sz w:val="20"/>
                <w:szCs w:val="20"/>
                <w:color w:val="auto"/>
              </w:rPr>
            </w:pPr>
            <w:r>
              <w:rPr>
                <w:rFonts w:ascii="Arial" w:cs="Arial" w:eastAsia="Arial" w:hAnsi="Arial"/>
                <w:sz w:val="9"/>
                <w:szCs w:val="9"/>
                <w:b w:val="1"/>
                <w:bCs w:val="1"/>
                <w:color w:val="auto"/>
              </w:rPr>
              <w:t>6/30/2021</w:t>
            </w: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8"/>
              <w:spacing w:after="0" w:line="102" w:lineRule="exact"/>
              <w:rPr>
                <w:sz w:val="20"/>
                <w:szCs w:val="20"/>
                <w:color w:val="auto"/>
              </w:rPr>
            </w:pPr>
            <w:r>
              <w:rPr>
                <w:rFonts w:ascii="Arial" w:cs="Arial" w:eastAsia="Arial" w:hAnsi="Arial"/>
                <w:sz w:val="9"/>
                <w:szCs w:val="9"/>
                <w:b w:val="1"/>
                <w:bCs w:val="1"/>
                <w:color w:val="auto"/>
              </w:rPr>
              <w:t>9/30/2021</w:t>
            </w: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118"/>
              <w:spacing w:after="0" w:line="102" w:lineRule="exact"/>
              <w:rPr>
                <w:sz w:val="20"/>
                <w:szCs w:val="20"/>
                <w:color w:val="auto"/>
              </w:rPr>
            </w:pPr>
            <w:r>
              <w:rPr>
                <w:rFonts w:ascii="Arial" w:cs="Arial" w:eastAsia="Arial" w:hAnsi="Arial"/>
                <w:sz w:val="9"/>
                <w:szCs w:val="9"/>
                <w:b w:val="1"/>
                <w:bCs w:val="1"/>
                <w:color w:val="auto"/>
              </w:rPr>
              <w:t>12/31/2021</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280" w:type="dxa"/>
            <w:vAlign w:val="bottom"/>
            <w:gridSpan w:val="2"/>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Net (loss) income</w:t>
            </w:r>
          </w:p>
        </w:tc>
        <w:tc>
          <w:tcPr>
            <w:tcW w:w="1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(1,481</w:t>
            </w:r>
          </w:p>
        </w:tc>
        <w:tc>
          <w:tcPr>
            <w:tcW w:w="3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(2,532</w:t>
            </w:r>
          </w:p>
        </w:tc>
        <w:tc>
          <w:tcPr>
            <w:tcW w:w="3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(925</w:t>
            </w:r>
          </w:p>
        </w:tc>
        <w:tc>
          <w:tcPr>
            <w:tcW w:w="3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(1,875</w:t>
            </w:r>
          </w:p>
        </w:tc>
        <w:tc>
          <w:tcPr>
            <w:tcW w:w="3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(578</w:t>
            </w:r>
          </w:p>
        </w:tc>
        <w:tc>
          <w:tcPr>
            <w:tcW w:w="3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1,761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1,256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(1,784</w:t>
            </w:r>
          </w:p>
        </w:tc>
        <w:tc>
          <w:tcPr>
            <w:tcW w:w="22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Interest expense (income), net</w:t>
            </w:r>
          </w:p>
        </w:tc>
        <w:tc>
          <w:tcPr>
            <w:tcW w:w="160" w:type="dxa"/>
            <w:vAlign w:val="bottom"/>
          </w:tcPr>
          <w:p>
            <w:pPr>
              <w:spacing w:after="0"/>
              <w:rPr>
                <w:sz w:val="12"/>
                <w:szCs w:val="12"/>
                <w:color w:val="auto"/>
              </w:rPr>
            </w:pPr>
          </w:p>
        </w:tc>
        <w:tc>
          <w:tcPr>
            <w:tcW w:w="1020" w:type="dxa"/>
            <w:vAlign w:val="bottom"/>
            <w:gridSpan w:val="2"/>
          </w:tcPr>
          <w:p>
            <w:pPr>
              <w:jc w:val="right"/>
              <w:ind w:right="237"/>
              <w:spacing w:after="0"/>
              <w:rPr>
                <w:sz w:val="20"/>
                <w:szCs w:val="20"/>
                <w:color w:val="auto"/>
              </w:rPr>
            </w:pPr>
            <w:r>
              <w:rPr>
                <w:rFonts w:ascii="Arial" w:cs="Arial" w:eastAsia="Arial" w:hAnsi="Arial"/>
                <w:sz w:val="13"/>
                <w:szCs w:val="13"/>
                <w:color w:val="auto"/>
              </w:rPr>
              <w:t>(31 )</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17"/>
              <w:spacing w:after="0"/>
              <w:rPr>
                <w:sz w:val="20"/>
                <w:szCs w:val="20"/>
                <w:color w:val="auto"/>
              </w:rPr>
            </w:pPr>
            <w:r>
              <w:rPr>
                <w:rFonts w:ascii="Arial" w:cs="Arial" w:eastAsia="Arial" w:hAnsi="Arial"/>
                <w:sz w:val="13"/>
                <w:szCs w:val="13"/>
                <w:color w:val="auto"/>
              </w:rPr>
              <w:t>(1 )</w:t>
            </w:r>
          </w:p>
        </w:tc>
        <w:tc>
          <w:tcPr>
            <w:tcW w:w="140" w:type="dxa"/>
            <w:vAlign w:val="bottom"/>
          </w:tcPr>
          <w:p>
            <w:pPr>
              <w:spacing w:after="0"/>
              <w:rPr>
                <w:sz w:val="12"/>
                <w:szCs w:val="12"/>
                <w:color w:val="auto"/>
              </w:rPr>
            </w:pPr>
          </w:p>
        </w:tc>
        <w:tc>
          <w:tcPr>
            <w:tcW w:w="880" w:type="dxa"/>
            <w:vAlign w:val="bottom"/>
            <w:gridSpan w:val="2"/>
          </w:tcPr>
          <w:p>
            <w:pPr>
              <w:jc w:val="right"/>
              <w:ind w:right="97"/>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48"/>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Income tax expense</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910</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1,118</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1,258</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1,466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Share-based compensation expense</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2,221</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2,342</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1,853</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1,648</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2,046</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1,418</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gridSpan w:val="2"/>
          </w:tcPr>
          <w:p>
            <w:pPr>
              <w:ind w:left="20"/>
              <w:spacing w:after="0"/>
              <w:rPr>
                <w:sz w:val="20"/>
                <w:szCs w:val="20"/>
                <w:color w:val="auto"/>
              </w:rPr>
            </w:pPr>
            <w:r>
              <w:rPr>
                <w:rFonts w:ascii="Arial" w:cs="Arial" w:eastAsia="Arial" w:hAnsi="Arial"/>
                <w:sz w:val="13"/>
                <w:szCs w:val="13"/>
                <w:color w:val="auto"/>
              </w:rPr>
              <w:t>Gain on extinguishment of debt</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42"/>
              <w:spacing w:after="0"/>
              <w:rPr>
                <w:sz w:val="20"/>
                <w:szCs w:val="20"/>
                <w:color w:val="auto"/>
              </w:rPr>
            </w:pPr>
            <w:r>
              <w:rPr>
                <w:rFonts w:ascii="Arial" w:cs="Arial" w:eastAsia="Arial" w:hAnsi="Arial"/>
                <w:sz w:val="13"/>
                <w:szCs w:val="13"/>
                <w:color w:val="auto"/>
              </w:rPr>
              <w:t>(2,175 )</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Litigation costs</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8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Write-off of long-lived assets and</w:t>
            </w:r>
          </w:p>
        </w:tc>
        <w:tc>
          <w:tcPr>
            <w:tcW w:w="1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111</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106</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222</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80" w:type="dxa"/>
            <w:vAlign w:val="bottom"/>
            <w:gridSpan w:val="2"/>
          </w:tcPr>
          <w:p>
            <w:pPr>
              <w:ind w:left="80"/>
              <w:spacing w:after="0"/>
              <w:rPr>
                <w:sz w:val="20"/>
                <w:szCs w:val="20"/>
                <w:color w:val="auto"/>
              </w:rPr>
            </w:pPr>
            <w:r>
              <w:rPr>
                <w:rFonts w:ascii="Arial" w:cs="Arial" w:eastAsia="Arial" w:hAnsi="Arial"/>
                <w:sz w:val="13"/>
                <w:szCs w:val="13"/>
                <w:color w:val="auto"/>
              </w:rPr>
              <w:t>others</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Borders>
              <w:bottom w:val="single" w:sz="8" w:color="CFF0FC"/>
            </w:tcBorders>
            <w:gridSpan w:val="2"/>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Adjusted EBITDA</w:t>
            </w: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1,730</w:t>
            </w:r>
          </w:p>
        </w:tc>
        <w:tc>
          <w:tcPr>
            <w:tcW w:w="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908</w:t>
            </w:r>
          </w:p>
        </w:tc>
        <w:tc>
          <w:tcPr>
            <w:tcW w:w="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2,088</w:t>
            </w:r>
          </w:p>
        </w:tc>
        <w:tc>
          <w:tcPr>
            <w:tcW w:w="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1,197</w:t>
            </w:r>
          </w:p>
        </w:tc>
        <w:tc>
          <w:tcPr>
            <w:tcW w:w="3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2,871</w:t>
            </w:r>
          </w:p>
        </w:tc>
        <w:tc>
          <w:tcPr>
            <w:tcW w:w="3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3,132</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3,620</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1,306</w:t>
            </w:r>
          </w:p>
        </w:tc>
        <w:tc>
          <w:tcPr>
            <w:tcW w:w="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8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Revenue</w:t>
            </w: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9,300</w:t>
            </w:r>
          </w:p>
        </w:tc>
        <w:tc>
          <w:tcPr>
            <w:tcW w:w="34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7,056</w:t>
            </w:r>
          </w:p>
        </w:tc>
        <w:tc>
          <w:tcPr>
            <w:tcW w:w="34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9,267</w:t>
            </w:r>
          </w:p>
        </w:tc>
        <w:tc>
          <w:tcPr>
            <w:tcW w:w="340" w:type="dxa"/>
            <w:vAlign w:val="bottom"/>
          </w:tcPr>
          <w:p>
            <w:pPr>
              <w:spacing w:after="0"/>
              <w:rPr>
                <w:sz w:val="11"/>
                <w:szCs w:val="11"/>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8,963</w:t>
            </w:r>
          </w:p>
        </w:tc>
        <w:tc>
          <w:tcPr>
            <w:tcW w:w="34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10,217</w:t>
            </w:r>
          </w:p>
        </w:tc>
        <w:tc>
          <w:tcPr>
            <w:tcW w:w="32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10,879</w:t>
            </w:r>
          </w:p>
        </w:tc>
        <w:tc>
          <w:tcPr>
            <w:tcW w:w="24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11,668</w:t>
            </w:r>
          </w:p>
        </w:tc>
        <w:tc>
          <w:tcPr>
            <w:tcW w:w="24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11,258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(loss) income margin</w:t>
            </w:r>
          </w:p>
        </w:tc>
        <w:tc>
          <w:tcPr>
            <w:tcW w:w="160" w:type="dxa"/>
            <w:vAlign w:val="bottom"/>
          </w:tcPr>
          <w:p>
            <w:pPr>
              <w:spacing w:after="0"/>
              <w:rPr>
                <w:sz w:val="12"/>
                <w:szCs w:val="12"/>
                <w:color w:val="auto"/>
              </w:rPr>
            </w:pPr>
          </w:p>
        </w:tc>
        <w:tc>
          <w:tcPr>
            <w:tcW w:w="1020" w:type="dxa"/>
            <w:vAlign w:val="bottom"/>
            <w:gridSpan w:val="2"/>
          </w:tcPr>
          <w:p>
            <w:pPr>
              <w:jc w:val="right"/>
              <w:ind w:right="117"/>
              <w:spacing w:after="0"/>
              <w:rPr>
                <w:sz w:val="20"/>
                <w:szCs w:val="20"/>
                <w:color w:val="auto"/>
              </w:rPr>
            </w:pPr>
            <w:r>
              <w:rPr>
                <w:rFonts w:ascii="Arial" w:cs="Arial" w:eastAsia="Arial" w:hAnsi="Arial"/>
                <w:sz w:val="13"/>
                <w:szCs w:val="13"/>
                <w:color w:val="auto"/>
              </w:rPr>
              <w:t>(16 %)</w:t>
            </w:r>
          </w:p>
        </w:tc>
        <w:tc>
          <w:tcPr>
            <w:tcW w:w="140" w:type="dxa"/>
            <w:vAlign w:val="bottom"/>
          </w:tcPr>
          <w:p>
            <w:pPr>
              <w:spacing w:after="0"/>
              <w:rPr>
                <w:sz w:val="12"/>
                <w:szCs w:val="12"/>
                <w:color w:val="auto"/>
              </w:rPr>
            </w:pPr>
          </w:p>
        </w:tc>
        <w:tc>
          <w:tcPr>
            <w:tcW w:w="1020" w:type="dxa"/>
            <w:vAlign w:val="bottom"/>
            <w:gridSpan w:val="2"/>
          </w:tcPr>
          <w:p>
            <w:pPr>
              <w:jc w:val="right"/>
              <w:ind w:right="117"/>
              <w:spacing w:after="0"/>
              <w:rPr>
                <w:sz w:val="20"/>
                <w:szCs w:val="20"/>
                <w:color w:val="auto"/>
              </w:rPr>
            </w:pPr>
            <w:r>
              <w:rPr>
                <w:rFonts w:ascii="Arial" w:cs="Arial" w:eastAsia="Arial" w:hAnsi="Arial"/>
                <w:sz w:val="13"/>
                <w:szCs w:val="13"/>
                <w:color w:val="auto"/>
              </w:rPr>
              <w:t>(36 %)</w:t>
            </w:r>
          </w:p>
        </w:tc>
        <w:tc>
          <w:tcPr>
            <w:tcW w:w="140" w:type="dxa"/>
            <w:vAlign w:val="bottom"/>
          </w:tcPr>
          <w:p>
            <w:pPr>
              <w:spacing w:after="0"/>
              <w:rPr>
                <w:sz w:val="12"/>
                <w:szCs w:val="12"/>
                <w:color w:val="auto"/>
              </w:rPr>
            </w:pPr>
          </w:p>
        </w:tc>
        <w:tc>
          <w:tcPr>
            <w:tcW w:w="1020" w:type="dxa"/>
            <w:vAlign w:val="bottom"/>
            <w:gridSpan w:val="2"/>
          </w:tcPr>
          <w:p>
            <w:pPr>
              <w:jc w:val="right"/>
              <w:ind w:right="117"/>
              <w:spacing w:after="0"/>
              <w:rPr>
                <w:sz w:val="20"/>
                <w:szCs w:val="20"/>
                <w:color w:val="auto"/>
              </w:rPr>
            </w:pPr>
            <w:r>
              <w:rPr>
                <w:rFonts w:ascii="Arial" w:cs="Arial" w:eastAsia="Arial" w:hAnsi="Arial"/>
                <w:sz w:val="13"/>
                <w:szCs w:val="13"/>
                <w:color w:val="auto"/>
              </w:rPr>
              <w:t>(10 %)</w:t>
            </w:r>
          </w:p>
        </w:tc>
        <w:tc>
          <w:tcPr>
            <w:tcW w:w="140" w:type="dxa"/>
            <w:vAlign w:val="bottom"/>
          </w:tcPr>
          <w:p>
            <w:pPr>
              <w:spacing w:after="0"/>
              <w:rPr>
                <w:sz w:val="12"/>
                <w:szCs w:val="12"/>
                <w:color w:val="auto"/>
              </w:rPr>
            </w:pPr>
          </w:p>
        </w:tc>
        <w:tc>
          <w:tcPr>
            <w:tcW w:w="1020" w:type="dxa"/>
            <w:vAlign w:val="bottom"/>
            <w:gridSpan w:val="2"/>
          </w:tcPr>
          <w:p>
            <w:pPr>
              <w:jc w:val="right"/>
              <w:ind w:right="117"/>
              <w:spacing w:after="0"/>
              <w:rPr>
                <w:sz w:val="20"/>
                <w:szCs w:val="20"/>
                <w:color w:val="auto"/>
              </w:rPr>
            </w:pPr>
            <w:r>
              <w:rPr>
                <w:rFonts w:ascii="Arial" w:cs="Arial" w:eastAsia="Arial" w:hAnsi="Arial"/>
                <w:sz w:val="13"/>
                <w:szCs w:val="13"/>
                <w:color w:val="auto"/>
              </w:rPr>
              <w:t>(21 %)</w:t>
            </w:r>
          </w:p>
        </w:tc>
        <w:tc>
          <w:tcPr>
            <w:tcW w:w="160" w:type="dxa"/>
            <w:vAlign w:val="bottom"/>
          </w:tcPr>
          <w:p>
            <w:pPr>
              <w:spacing w:after="0"/>
              <w:rPr>
                <w:sz w:val="12"/>
                <w:szCs w:val="12"/>
                <w:color w:val="auto"/>
              </w:rPr>
            </w:pPr>
          </w:p>
        </w:tc>
        <w:tc>
          <w:tcPr>
            <w:tcW w:w="940" w:type="dxa"/>
            <w:vAlign w:val="bottom"/>
            <w:gridSpan w:val="2"/>
          </w:tcPr>
          <w:p>
            <w:pPr>
              <w:jc w:val="right"/>
              <w:ind w:right="77"/>
              <w:spacing w:after="0"/>
              <w:rPr>
                <w:sz w:val="20"/>
                <w:szCs w:val="20"/>
                <w:color w:val="auto"/>
              </w:rPr>
            </w:pPr>
            <w:r>
              <w:rPr>
                <w:rFonts w:ascii="Arial" w:cs="Arial" w:eastAsia="Arial" w:hAnsi="Arial"/>
                <w:sz w:val="13"/>
                <w:szCs w:val="13"/>
                <w:color w:val="auto"/>
              </w:rPr>
              <w:t>(6 %)</w:t>
            </w:r>
          </w:p>
        </w:tc>
        <w:tc>
          <w:tcPr>
            <w:tcW w:w="160" w:type="dxa"/>
            <w:vAlign w:val="bottom"/>
          </w:tcPr>
          <w:p>
            <w:pPr>
              <w:spacing w:after="0"/>
              <w:rPr>
                <w:sz w:val="12"/>
                <w:szCs w:val="12"/>
                <w:color w:val="auto"/>
              </w:rPr>
            </w:pPr>
          </w:p>
        </w:tc>
        <w:tc>
          <w:tcPr>
            <w:tcW w:w="940" w:type="dxa"/>
            <w:vAlign w:val="bottom"/>
            <w:gridSpan w:val="2"/>
          </w:tcPr>
          <w:p>
            <w:pPr>
              <w:jc w:val="right"/>
              <w:ind w:right="82"/>
              <w:spacing w:after="0"/>
              <w:rPr>
                <w:sz w:val="20"/>
                <w:szCs w:val="20"/>
                <w:color w:val="auto"/>
              </w:rPr>
            </w:pPr>
            <w:r>
              <w:rPr>
                <w:rFonts w:ascii="Arial" w:cs="Arial" w:eastAsia="Arial" w:hAnsi="Arial"/>
                <w:sz w:val="13"/>
                <w:szCs w:val="13"/>
                <w:color w:val="auto"/>
              </w:rPr>
              <w:t>16 %</w:t>
            </w:r>
          </w:p>
        </w:tc>
        <w:tc>
          <w:tcPr>
            <w:tcW w:w="160" w:type="dxa"/>
            <w:vAlign w:val="bottom"/>
          </w:tcPr>
          <w:p>
            <w:pPr>
              <w:spacing w:after="0"/>
              <w:rPr>
                <w:sz w:val="12"/>
                <w:szCs w:val="12"/>
                <w:color w:val="auto"/>
              </w:rPr>
            </w:pPr>
          </w:p>
        </w:tc>
        <w:tc>
          <w:tcPr>
            <w:tcW w:w="920" w:type="dxa"/>
            <w:vAlign w:val="bottom"/>
            <w:gridSpan w:val="2"/>
          </w:tcPr>
          <w:p>
            <w:pPr>
              <w:jc w:val="right"/>
              <w:ind w:right="57"/>
              <w:spacing w:after="0"/>
              <w:rPr>
                <w:sz w:val="20"/>
                <w:szCs w:val="20"/>
                <w:color w:val="auto"/>
              </w:rPr>
            </w:pPr>
            <w:r>
              <w:rPr>
                <w:rFonts w:ascii="Arial" w:cs="Arial" w:eastAsia="Arial" w:hAnsi="Arial"/>
                <w:sz w:val="13"/>
                <w:szCs w:val="13"/>
                <w:color w:val="auto"/>
              </w:rPr>
              <w:t>11 %</w:t>
            </w:r>
          </w:p>
        </w:tc>
        <w:tc>
          <w:tcPr>
            <w:tcW w:w="14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80" w:type="dxa"/>
            <w:vAlign w:val="bottom"/>
            <w:tcBorders>
              <w:bottom w:val="single" w:sz="8" w:color="CFF0FC"/>
            </w:tcBorders>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Adjusted EBITDA margin</w:t>
            </w:r>
          </w:p>
        </w:tc>
        <w:tc>
          <w:tcPr>
            <w:tcW w:w="100" w:type="dxa"/>
            <w:vAlign w:val="bottom"/>
            <w:vMerge w:val="continue"/>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19</w:t>
            </w:r>
          </w:p>
        </w:tc>
        <w:tc>
          <w:tcPr>
            <w:tcW w:w="34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13</w:t>
            </w:r>
          </w:p>
        </w:tc>
        <w:tc>
          <w:tcPr>
            <w:tcW w:w="34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23</w:t>
            </w:r>
          </w:p>
        </w:tc>
        <w:tc>
          <w:tcPr>
            <w:tcW w:w="34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13</w:t>
            </w:r>
          </w:p>
        </w:tc>
        <w:tc>
          <w:tcPr>
            <w:tcW w:w="34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28</w:t>
            </w:r>
          </w:p>
        </w:tc>
        <w:tc>
          <w:tcPr>
            <w:tcW w:w="320" w:type="dxa"/>
            <w:vAlign w:val="bottom"/>
            <w:tcBorders>
              <w:bottom w:val="single" w:sz="8" w:color="CFF0FC"/>
            </w:tcBorders>
            <w:shd w:val="clear" w:color="auto" w:fill="CFF0FC"/>
          </w:tcPr>
          <w:p>
            <w:pPr>
              <w:ind w:left="2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29</w:t>
            </w:r>
          </w:p>
        </w:tc>
        <w:tc>
          <w:tcPr>
            <w:tcW w:w="240" w:type="dxa"/>
            <w:vAlign w:val="bottom"/>
            <w:tcBorders>
              <w:bottom w:val="single" w:sz="8" w:color="CFF0FC"/>
            </w:tcBorders>
            <w:shd w:val="clear" w:color="auto" w:fill="CFF0FC"/>
          </w:tcPr>
          <w:p>
            <w:pPr>
              <w:jc w:val="right"/>
              <w:ind w:right="82"/>
              <w:spacing w:after="0" w:line="129" w:lineRule="exact"/>
              <w:rPr>
                <w:sz w:val="20"/>
                <w:szCs w:val="20"/>
                <w:color w:val="auto"/>
              </w:rPr>
            </w:pPr>
            <w:r>
              <w:rPr>
                <w:rFonts w:ascii="Arial" w:cs="Arial" w:eastAsia="Arial" w:hAnsi="Arial"/>
                <w:sz w:val="12"/>
                <w:szCs w:val="12"/>
                <w:color w:val="auto"/>
                <w:w w:val="74"/>
              </w:rPr>
              <w:t>%</w:t>
            </w: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31</w:t>
            </w:r>
          </w:p>
        </w:tc>
        <w:tc>
          <w:tcPr>
            <w:tcW w:w="240" w:type="dxa"/>
            <w:vAlign w:val="bottom"/>
            <w:tcBorders>
              <w:bottom w:val="single" w:sz="8" w:color="CFF0FC"/>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w w:val="86"/>
              </w:rPr>
              <w:t>%</w:t>
            </w: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12</w:t>
            </w:r>
          </w:p>
        </w:tc>
        <w:tc>
          <w:tcPr>
            <w:tcW w:w="220" w:type="dxa"/>
            <w:vAlign w:val="bottom"/>
            <w:tcBorders>
              <w:bottom w:val="single" w:sz="8" w:color="CFF0FC"/>
            </w:tcBorders>
            <w:shd w:val="clear" w:color="auto" w:fill="CFF0FC"/>
          </w:tcPr>
          <w:p>
            <w:pPr>
              <w:ind w:left="20"/>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6"/>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Three Months Ended</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280" w:type="dxa"/>
            <w:vAlign w:val="bottom"/>
            <w:gridSpan w:val="2"/>
          </w:tcPr>
          <w:p>
            <w:pPr>
              <w:ind w:left="20"/>
              <w:spacing w:after="0" w:line="102" w:lineRule="exact"/>
              <w:rPr>
                <w:sz w:val="20"/>
                <w:szCs w:val="20"/>
                <w:color w:val="auto"/>
              </w:rPr>
            </w:pPr>
            <w:r>
              <w:rPr>
                <w:rFonts w:ascii="Arial" w:cs="Arial" w:eastAsia="Arial" w:hAnsi="Arial"/>
                <w:sz w:val="9"/>
                <w:szCs w:val="9"/>
                <w:b w:val="1"/>
                <w:bCs w:val="1"/>
                <w:color w:val="auto"/>
              </w:rPr>
              <w:t>(In thousands) (Unaudited)</w:t>
            </w: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8"/>
              <w:spacing w:after="0" w:line="102" w:lineRule="exact"/>
              <w:rPr>
                <w:sz w:val="20"/>
                <w:szCs w:val="20"/>
                <w:color w:val="auto"/>
              </w:rPr>
            </w:pPr>
            <w:r>
              <w:rPr>
                <w:rFonts w:ascii="Arial" w:cs="Arial" w:eastAsia="Arial" w:hAnsi="Arial"/>
                <w:sz w:val="9"/>
                <w:szCs w:val="9"/>
                <w:b w:val="1"/>
                <w:bCs w:val="1"/>
                <w:color w:val="auto"/>
              </w:rPr>
              <w:t>3/31/2020</w:t>
            </w: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8"/>
              <w:spacing w:after="0" w:line="102" w:lineRule="exact"/>
              <w:rPr>
                <w:sz w:val="20"/>
                <w:szCs w:val="20"/>
                <w:color w:val="auto"/>
              </w:rPr>
            </w:pPr>
            <w:r>
              <w:rPr>
                <w:rFonts w:ascii="Arial" w:cs="Arial" w:eastAsia="Arial" w:hAnsi="Arial"/>
                <w:sz w:val="9"/>
                <w:szCs w:val="9"/>
                <w:b w:val="1"/>
                <w:bCs w:val="1"/>
                <w:color w:val="auto"/>
              </w:rPr>
              <w:t>6/30/2020</w:t>
            </w: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8"/>
              <w:spacing w:after="0" w:line="102" w:lineRule="exact"/>
              <w:rPr>
                <w:sz w:val="20"/>
                <w:szCs w:val="20"/>
                <w:color w:val="auto"/>
              </w:rPr>
            </w:pPr>
            <w:r>
              <w:rPr>
                <w:rFonts w:ascii="Arial" w:cs="Arial" w:eastAsia="Arial" w:hAnsi="Arial"/>
                <w:sz w:val="9"/>
                <w:szCs w:val="9"/>
                <w:b w:val="1"/>
                <w:bCs w:val="1"/>
                <w:color w:val="auto"/>
              </w:rPr>
              <w:t>9/30/2020</w:t>
            </w: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60"/>
              <w:spacing w:after="0" w:line="102" w:lineRule="exact"/>
              <w:rPr>
                <w:sz w:val="20"/>
                <w:szCs w:val="20"/>
                <w:color w:val="auto"/>
              </w:rPr>
            </w:pPr>
            <w:r>
              <w:rPr>
                <w:rFonts w:ascii="Arial" w:cs="Arial" w:eastAsia="Arial" w:hAnsi="Arial"/>
                <w:sz w:val="9"/>
                <w:szCs w:val="9"/>
                <w:b w:val="1"/>
                <w:bCs w:val="1"/>
                <w:color w:val="auto"/>
                <w:w w:val="97"/>
              </w:rPr>
              <w:t>12/31/2020</w:t>
            </w: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38"/>
              <w:spacing w:after="0" w:line="102" w:lineRule="exact"/>
              <w:rPr>
                <w:sz w:val="20"/>
                <w:szCs w:val="20"/>
                <w:color w:val="auto"/>
              </w:rPr>
            </w:pPr>
            <w:r>
              <w:rPr>
                <w:rFonts w:ascii="Arial" w:cs="Arial" w:eastAsia="Arial" w:hAnsi="Arial"/>
                <w:sz w:val="9"/>
                <w:szCs w:val="9"/>
                <w:b w:val="1"/>
                <w:bCs w:val="1"/>
                <w:color w:val="auto"/>
                <w:w w:val="99"/>
              </w:rPr>
              <w:t>3/31/2021</w:t>
            </w: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198"/>
              <w:spacing w:after="0" w:line="102" w:lineRule="exact"/>
              <w:rPr>
                <w:sz w:val="20"/>
                <w:szCs w:val="20"/>
                <w:color w:val="auto"/>
              </w:rPr>
            </w:pPr>
            <w:r>
              <w:rPr>
                <w:rFonts w:ascii="Arial" w:cs="Arial" w:eastAsia="Arial" w:hAnsi="Arial"/>
                <w:sz w:val="9"/>
                <w:szCs w:val="9"/>
                <w:b w:val="1"/>
                <w:bCs w:val="1"/>
                <w:color w:val="auto"/>
              </w:rPr>
              <w:t>6/30/2021</w:t>
            </w: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178"/>
              <w:spacing w:after="0" w:line="102" w:lineRule="exact"/>
              <w:rPr>
                <w:sz w:val="20"/>
                <w:szCs w:val="20"/>
                <w:color w:val="auto"/>
              </w:rPr>
            </w:pPr>
            <w:r>
              <w:rPr>
                <w:rFonts w:ascii="Arial" w:cs="Arial" w:eastAsia="Arial" w:hAnsi="Arial"/>
                <w:sz w:val="9"/>
                <w:szCs w:val="9"/>
                <w:b w:val="1"/>
                <w:bCs w:val="1"/>
                <w:color w:val="auto"/>
              </w:rPr>
              <w:t>9/30/2021</w:t>
            </w: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118"/>
              <w:spacing w:after="0" w:line="102" w:lineRule="exact"/>
              <w:rPr>
                <w:sz w:val="20"/>
                <w:szCs w:val="20"/>
                <w:color w:val="auto"/>
              </w:rPr>
            </w:pPr>
            <w:r>
              <w:rPr>
                <w:rFonts w:ascii="Arial" w:cs="Arial" w:eastAsia="Arial" w:hAnsi="Arial"/>
                <w:sz w:val="9"/>
                <w:szCs w:val="9"/>
                <w:b w:val="1"/>
                <w:bCs w:val="1"/>
                <w:color w:val="auto"/>
              </w:rPr>
              <w:t>12/31/2021</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28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Revenue</w:t>
            </w: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9,300</w:t>
            </w:r>
          </w:p>
        </w:tc>
        <w:tc>
          <w:tcPr>
            <w:tcW w:w="3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7,056</w:t>
            </w:r>
          </w:p>
        </w:tc>
        <w:tc>
          <w:tcPr>
            <w:tcW w:w="3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9,267</w:t>
            </w:r>
          </w:p>
        </w:tc>
        <w:tc>
          <w:tcPr>
            <w:tcW w:w="34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8,963</w:t>
            </w:r>
          </w:p>
        </w:tc>
        <w:tc>
          <w:tcPr>
            <w:tcW w:w="340" w:type="dxa"/>
            <w:vAlign w:val="bottom"/>
          </w:tcPr>
          <w:p>
            <w:pPr>
              <w:spacing w:after="0"/>
              <w:rPr>
                <w:sz w:val="12"/>
                <w:szCs w:val="12"/>
                <w:color w:val="auto"/>
              </w:rPr>
            </w:pP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10,217</w:t>
            </w:r>
          </w:p>
        </w:tc>
        <w:tc>
          <w:tcPr>
            <w:tcW w:w="320" w:type="dxa"/>
            <w:vAlign w:val="bottom"/>
          </w:tcPr>
          <w:p>
            <w:pPr>
              <w:spacing w:after="0"/>
              <w:rPr>
                <w:sz w:val="12"/>
                <w:szCs w:val="12"/>
                <w:color w:val="auto"/>
              </w:rPr>
            </w:pP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10,879</w:t>
            </w:r>
          </w:p>
        </w:tc>
        <w:tc>
          <w:tcPr>
            <w:tcW w:w="240" w:type="dxa"/>
            <w:vAlign w:val="bottom"/>
          </w:tcPr>
          <w:p>
            <w:pPr>
              <w:spacing w:after="0"/>
              <w:rPr>
                <w:sz w:val="12"/>
                <w:szCs w:val="12"/>
                <w:color w:val="auto"/>
              </w:rPr>
            </w:pP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11,668</w:t>
            </w:r>
          </w:p>
        </w:tc>
        <w:tc>
          <w:tcPr>
            <w:tcW w:w="24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11,258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80" w:type="dxa"/>
            <w:vAlign w:val="bottom"/>
            <w:gridSpan w:val="2"/>
            <w:shd w:val="clear" w:color="auto" w:fill="CFF0FC"/>
          </w:tcPr>
          <w:p>
            <w:pPr>
              <w:ind w:left="20"/>
              <w:spacing w:after="0" w:line="108" w:lineRule="exact"/>
              <w:rPr>
                <w:sz w:val="20"/>
                <w:szCs w:val="20"/>
                <w:color w:val="auto"/>
              </w:rPr>
            </w:pPr>
            <w:r>
              <w:rPr>
                <w:rFonts w:ascii="Arial" w:cs="Arial" w:eastAsia="Arial" w:hAnsi="Arial"/>
                <w:sz w:val="12"/>
                <w:szCs w:val="12"/>
                <w:color w:val="auto"/>
              </w:rPr>
              <w:t>Cost of revenue (exclusive of</w:t>
            </w:r>
          </w:p>
        </w:tc>
        <w:tc>
          <w:tcPr>
            <w:tcW w:w="160" w:type="dxa"/>
            <w:vAlign w:val="bottom"/>
            <w:shd w:val="clear" w:color="auto" w:fill="CFF0FC"/>
          </w:tcPr>
          <w:p>
            <w:pPr>
              <w:spacing w:after="0"/>
              <w:rPr>
                <w:sz w:val="9"/>
                <w:szCs w:val="9"/>
                <w:color w:val="auto"/>
              </w:rPr>
            </w:pPr>
          </w:p>
        </w:tc>
        <w:tc>
          <w:tcPr>
            <w:tcW w:w="1020" w:type="dxa"/>
            <w:vAlign w:val="bottom"/>
            <w:gridSpan w:val="2"/>
            <w:vMerge w:val="restart"/>
            <w:shd w:val="clear" w:color="auto" w:fill="CFF0FC"/>
          </w:tcPr>
          <w:p>
            <w:pPr>
              <w:jc w:val="right"/>
              <w:ind w:right="237"/>
              <w:spacing w:after="0"/>
              <w:rPr>
                <w:sz w:val="20"/>
                <w:szCs w:val="20"/>
                <w:color w:val="auto"/>
              </w:rPr>
            </w:pPr>
            <w:r>
              <w:rPr>
                <w:rFonts w:ascii="Arial" w:cs="Arial" w:eastAsia="Arial" w:hAnsi="Arial"/>
                <w:sz w:val="13"/>
                <w:szCs w:val="13"/>
                <w:color w:val="auto"/>
              </w:rPr>
              <w:t>(3,292 )</w:t>
            </w:r>
          </w:p>
        </w:tc>
        <w:tc>
          <w:tcPr>
            <w:tcW w:w="140" w:type="dxa"/>
            <w:vAlign w:val="bottom"/>
            <w:shd w:val="clear" w:color="auto" w:fill="CFF0FC"/>
          </w:tcPr>
          <w:p>
            <w:pPr>
              <w:spacing w:after="0"/>
              <w:rPr>
                <w:sz w:val="9"/>
                <w:szCs w:val="9"/>
                <w:color w:val="auto"/>
              </w:rPr>
            </w:pPr>
          </w:p>
        </w:tc>
        <w:tc>
          <w:tcPr>
            <w:tcW w:w="1020" w:type="dxa"/>
            <w:vAlign w:val="bottom"/>
            <w:gridSpan w:val="2"/>
            <w:vMerge w:val="restart"/>
            <w:shd w:val="clear" w:color="auto" w:fill="CFF0FC"/>
          </w:tcPr>
          <w:p>
            <w:pPr>
              <w:jc w:val="right"/>
              <w:ind w:right="237"/>
              <w:spacing w:after="0"/>
              <w:rPr>
                <w:sz w:val="20"/>
                <w:szCs w:val="20"/>
                <w:color w:val="auto"/>
              </w:rPr>
            </w:pPr>
            <w:r>
              <w:rPr>
                <w:rFonts w:ascii="Arial" w:cs="Arial" w:eastAsia="Arial" w:hAnsi="Arial"/>
                <w:sz w:val="13"/>
                <w:szCs w:val="13"/>
                <w:color w:val="auto"/>
              </w:rPr>
              <w:t>(2,587 )</w:t>
            </w:r>
          </w:p>
        </w:tc>
        <w:tc>
          <w:tcPr>
            <w:tcW w:w="140" w:type="dxa"/>
            <w:vAlign w:val="bottom"/>
            <w:shd w:val="clear" w:color="auto" w:fill="CFF0FC"/>
          </w:tcPr>
          <w:p>
            <w:pPr>
              <w:spacing w:after="0"/>
              <w:rPr>
                <w:sz w:val="9"/>
                <w:szCs w:val="9"/>
                <w:color w:val="auto"/>
              </w:rPr>
            </w:pPr>
          </w:p>
        </w:tc>
        <w:tc>
          <w:tcPr>
            <w:tcW w:w="1020" w:type="dxa"/>
            <w:vAlign w:val="bottom"/>
            <w:gridSpan w:val="2"/>
            <w:vMerge w:val="restart"/>
            <w:shd w:val="clear" w:color="auto" w:fill="CFF0FC"/>
          </w:tcPr>
          <w:p>
            <w:pPr>
              <w:jc w:val="right"/>
              <w:ind w:right="217"/>
              <w:spacing w:after="0"/>
              <w:rPr>
                <w:sz w:val="20"/>
                <w:szCs w:val="20"/>
                <w:color w:val="auto"/>
              </w:rPr>
            </w:pPr>
            <w:r>
              <w:rPr>
                <w:rFonts w:ascii="Arial" w:cs="Arial" w:eastAsia="Arial" w:hAnsi="Arial"/>
                <w:sz w:val="13"/>
                <w:szCs w:val="13"/>
                <w:color w:val="auto"/>
              </w:rPr>
              <w:t>(2,703 )</w:t>
            </w:r>
          </w:p>
        </w:tc>
        <w:tc>
          <w:tcPr>
            <w:tcW w:w="140" w:type="dxa"/>
            <w:vAlign w:val="bottom"/>
            <w:shd w:val="clear" w:color="auto" w:fill="CFF0FC"/>
          </w:tcPr>
          <w:p>
            <w:pPr>
              <w:spacing w:after="0"/>
              <w:rPr>
                <w:sz w:val="9"/>
                <w:szCs w:val="9"/>
                <w:color w:val="auto"/>
              </w:rPr>
            </w:pPr>
          </w:p>
        </w:tc>
        <w:tc>
          <w:tcPr>
            <w:tcW w:w="1020" w:type="dxa"/>
            <w:vAlign w:val="bottom"/>
            <w:gridSpan w:val="2"/>
            <w:vMerge w:val="restart"/>
            <w:shd w:val="clear" w:color="auto" w:fill="CFF0FC"/>
          </w:tcPr>
          <w:p>
            <w:pPr>
              <w:jc w:val="right"/>
              <w:ind w:right="217"/>
              <w:spacing w:after="0"/>
              <w:rPr>
                <w:sz w:val="20"/>
                <w:szCs w:val="20"/>
                <w:color w:val="auto"/>
              </w:rPr>
            </w:pPr>
            <w:r>
              <w:rPr>
                <w:rFonts w:ascii="Arial" w:cs="Arial" w:eastAsia="Arial" w:hAnsi="Arial"/>
                <w:sz w:val="13"/>
                <w:szCs w:val="13"/>
                <w:color w:val="auto"/>
              </w:rPr>
              <w:t>(2,694 )</w:t>
            </w:r>
          </w:p>
        </w:tc>
        <w:tc>
          <w:tcPr>
            <w:tcW w:w="160" w:type="dxa"/>
            <w:vAlign w:val="bottom"/>
            <w:shd w:val="clear" w:color="auto" w:fill="CFF0FC"/>
          </w:tcPr>
          <w:p>
            <w:pPr>
              <w:spacing w:after="0"/>
              <w:rPr>
                <w:sz w:val="9"/>
                <w:szCs w:val="9"/>
                <w:color w:val="auto"/>
              </w:rPr>
            </w:pPr>
          </w:p>
        </w:tc>
        <w:tc>
          <w:tcPr>
            <w:tcW w:w="940" w:type="dxa"/>
            <w:vAlign w:val="bottom"/>
            <w:gridSpan w:val="2"/>
            <w:vMerge w:val="restart"/>
            <w:shd w:val="clear" w:color="auto" w:fill="CFF0FC"/>
          </w:tcPr>
          <w:p>
            <w:pPr>
              <w:jc w:val="right"/>
              <w:ind w:right="197"/>
              <w:spacing w:after="0"/>
              <w:rPr>
                <w:sz w:val="20"/>
                <w:szCs w:val="20"/>
                <w:color w:val="auto"/>
              </w:rPr>
            </w:pPr>
            <w:r>
              <w:rPr>
                <w:rFonts w:ascii="Arial" w:cs="Arial" w:eastAsia="Arial" w:hAnsi="Arial"/>
                <w:sz w:val="13"/>
                <w:szCs w:val="13"/>
                <w:color w:val="auto"/>
              </w:rPr>
              <w:t>(2,761 )</w:t>
            </w:r>
          </w:p>
        </w:tc>
        <w:tc>
          <w:tcPr>
            <w:tcW w:w="160" w:type="dxa"/>
            <w:vAlign w:val="bottom"/>
            <w:shd w:val="clear" w:color="auto" w:fill="CFF0FC"/>
          </w:tcPr>
          <w:p>
            <w:pPr>
              <w:spacing w:after="0"/>
              <w:rPr>
                <w:sz w:val="9"/>
                <w:szCs w:val="9"/>
                <w:color w:val="auto"/>
              </w:rPr>
            </w:pPr>
          </w:p>
        </w:tc>
        <w:tc>
          <w:tcPr>
            <w:tcW w:w="940" w:type="dxa"/>
            <w:vAlign w:val="bottom"/>
            <w:gridSpan w:val="2"/>
            <w:vMerge w:val="restart"/>
            <w:shd w:val="clear" w:color="auto" w:fill="CFF0FC"/>
          </w:tcPr>
          <w:p>
            <w:pPr>
              <w:jc w:val="right"/>
              <w:ind w:right="142"/>
              <w:spacing w:after="0"/>
              <w:rPr>
                <w:sz w:val="20"/>
                <w:szCs w:val="20"/>
                <w:color w:val="auto"/>
              </w:rPr>
            </w:pPr>
            <w:r>
              <w:rPr>
                <w:rFonts w:ascii="Arial" w:cs="Arial" w:eastAsia="Arial" w:hAnsi="Arial"/>
                <w:sz w:val="13"/>
                <w:szCs w:val="13"/>
                <w:color w:val="auto"/>
              </w:rPr>
              <w:t>(2,720 )</w:t>
            </w:r>
          </w:p>
        </w:tc>
        <w:tc>
          <w:tcPr>
            <w:tcW w:w="160" w:type="dxa"/>
            <w:vAlign w:val="bottom"/>
            <w:shd w:val="clear" w:color="auto" w:fill="CFF0FC"/>
          </w:tcPr>
          <w:p>
            <w:pPr>
              <w:spacing w:after="0"/>
              <w:rPr>
                <w:sz w:val="9"/>
                <w:szCs w:val="9"/>
                <w:color w:val="auto"/>
              </w:rPr>
            </w:pPr>
          </w:p>
        </w:tc>
        <w:tc>
          <w:tcPr>
            <w:tcW w:w="920" w:type="dxa"/>
            <w:vAlign w:val="bottom"/>
            <w:gridSpan w:val="2"/>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(2,787 )</w:t>
            </w:r>
          </w:p>
        </w:tc>
        <w:tc>
          <w:tcPr>
            <w:tcW w:w="14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(2,927 )</w:t>
            </w:r>
          </w:p>
        </w:tc>
        <w:tc>
          <w:tcPr>
            <w:tcW w:w="0" w:type="dxa"/>
            <w:vAlign w:val="bottom"/>
          </w:tcPr>
          <w:p>
            <w:pPr>
              <w:spacing w:after="0"/>
              <w:rPr>
                <w:sz w:val="1"/>
                <w:szCs w:val="1"/>
                <w:color w:val="auto"/>
              </w:rPr>
            </w:pPr>
          </w:p>
        </w:tc>
      </w:tr>
      <w:tr>
        <w:trPr>
          <w:trHeight w:val="162"/>
        </w:trPr>
        <w:tc>
          <w:tcPr>
            <w:tcW w:w="22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Depreciation and amortization</w:t>
            </w:r>
          </w:p>
        </w:tc>
        <w:tc>
          <w:tcPr>
            <w:tcW w:w="160" w:type="dxa"/>
            <w:vAlign w:val="bottom"/>
          </w:tcPr>
          <w:p>
            <w:pPr>
              <w:spacing w:after="0"/>
              <w:rPr>
                <w:sz w:val="9"/>
                <w:szCs w:val="9"/>
                <w:color w:val="auto"/>
              </w:rPr>
            </w:pPr>
          </w:p>
        </w:tc>
        <w:tc>
          <w:tcPr>
            <w:tcW w:w="1020" w:type="dxa"/>
            <w:vAlign w:val="bottom"/>
            <w:gridSpan w:val="2"/>
            <w:vMerge w:val="restart"/>
          </w:tcPr>
          <w:p>
            <w:pPr>
              <w:jc w:val="right"/>
              <w:ind w:right="237"/>
              <w:spacing w:after="0"/>
              <w:rPr>
                <w:sz w:val="20"/>
                <w:szCs w:val="20"/>
                <w:color w:val="auto"/>
              </w:rPr>
            </w:pPr>
            <w:r>
              <w:rPr>
                <w:rFonts w:ascii="Arial" w:cs="Arial" w:eastAsia="Arial" w:hAnsi="Arial"/>
                <w:sz w:val="13"/>
                <w:szCs w:val="13"/>
                <w:color w:val="auto"/>
              </w:rPr>
              <w:t>(850 )</w:t>
            </w:r>
          </w:p>
        </w:tc>
        <w:tc>
          <w:tcPr>
            <w:tcW w:w="140" w:type="dxa"/>
            <w:vAlign w:val="bottom"/>
          </w:tcPr>
          <w:p>
            <w:pPr>
              <w:spacing w:after="0"/>
              <w:rPr>
                <w:sz w:val="9"/>
                <w:szCs w:val="9"/>
                <w:color w:val="auto"/>
              </w:rPr>
            </w:pPr>
          </w:p>
        </w:tc>
        <w:tc>
          <w:tcPr>
            <w:tcW w:w="1020" w:type="dxa"/>
            <w:vAlign w:val="bottom"/>
            <w:gridSpan w:val="2"/>
            <w:vMerge w:val="restart"/>
          </w:tcPr>
          <w:p>
            <w:pPr>
              <w:jc w:val="right"/>
              <w:ind w:right="237"/>
              <w:spacing w:after="0"/>
              <w:rPr>
                <w:sz w:val="20"/>
                <w:szCs w:val="20"/>
                <w:color w:val="auto"/>
              </w:rPr>
            </w:pPr>
            <w:r>
              <w:rPr>
                <w:rFonts w:ascii="Arial" w:cs="Arial" w:eastAsia="Arial" w:hAnsi="Arial"/>
                <w:sz w:val="13"/>
                <w:szCs w:val="13"/>
                <w:color w:val="auto"/>
              </w:rPr>
              <w:t>(934 )</w:t>
            </w:r>
          </w:p>
        </w:tc>
        <w:tc>
          <w:tcPr>
            <w:tcW w:w="140" w:type="dxa"/>
            <w:vAlign w:val="bottom"/>
          </w:tcPr>
          <w:p>
            <w:pPr>
              <w:spacing w:after="0"/>
              <w:rPr>
                <w:sz w:val="9"/>
                <w:szCs w:val="9"/>
                <w:color w:val="auto"/>
              </w:rPr>
            </w:pPr>
          </w:p>
        </w:tc>
        <w:tc>
          <w:tcPr>
            <w:tcW w:w="1020" w:type="dxa"/>
            <w:vAlign w:val="bottom"/>
            <w:gridSpan w:val="2"/>
            <w:vMerge w:val="restart"/>
          </w:tcPr>
          <w:p>
            <w:pPr>
              <w:jc w:val="right"/>
              <w:ind w:right="217"/>
              <w:spacing w:after="0"/>
              <w:rPr>
                <w:sz w:val="20"/>
                <w:szCs w:val="20"/>
                <w:color w:val="auto"/>
              </w:rPr>
            </w:pPr>
            <w:r>
              <w:rPr>
                <w:rFonts w:ascii="Arial" w:cs="Arial" w:eastAsia="Arial" w:hAnsi="Arial"/>
                <w:sz w:val="13"/>
                <w:szCs w:val="13"/>
                <w:color w:val="auto"/>
              </w:rPr>
              <w:t>(1,063 )</w:t>
            </w:r>
          </w:p>
        </w:tc>
        <w:tc>
          <w:tcPr>
            <w:tcW w:w="140" w:type="dxa"/>
            <w:vAlign w:val="bottom"/>
          </w:tcPr>
          <w:p>
            <w:pPr>
              <w:spacing w:after="0"/>
              <w:rPr>
                <w:sz w:val="9"/>
                <w:szCs w:val="9"/>
                <w:color w:val="auto"/>
              </w:rPr>
            </w:pPr>
          </w:p>
        </w:tc>
        <w:tc>
          <w:tcPr>
            <w:tcW w:w="1020" w:type="dxa"/>
            <w:vAlign w:val="bottom"/>
            <w:gridSpan w:val="2"/>
            <w:vMerge w:val="restart"/>
          </w:tcPr>
          <w:p>
            <w:pPr>
              <w:jc w:val="right"/>
              <w:ind w:right="217"/>
              <w:spacing w:after="0"/>
              <w:rPr>
                <w:sz w:val="20"/>
                <w:szCs w:val="20"/>
                <w:color w:val="auto"/>
              </w:rPr>
            </w:pPr>
            <w:r>
              <w:rPr>
                <w:rFonts w:ascii="Arial" w:cs="Arial" w:eastAsia="Arial" w:hAnsi="Arial"/>
                <w:sz w:val="13"/>
                <w:szCs w:val="13"/>
                <w:color w:val="auto"/>
              </w:rPr>
              <w:t>(1,143 )</w:t>
            </w:r>
          </w:p>
        </w:tc>
        <w:tc>
          <w:tcPr>
            <w:tcW w:w="160" w:type="dxa"/>
            <w:vAlign w:val="bottom"/>
          </w:tcPr>
          <w:p>
            <w:pPr>
              <w:spacing w:after="0"/>
              <w:rPr>
                <w:sz w:val="9"/>
                <w:szCs w:val="9"/>
                <w:color w:val="auto"/>
              </w:rPr>
            </w:pPr>
          </w:p>
        </w:tc>
        <w:tc>
          <w:tcPr>
            <w:tcW w:w="940" w:type="dxa"/>
            <w:vAlign w:val="bottom"/>
            <w:gridSpan w:val="2"/>
            <w:vMerge w:val="restart"/>
          </w:tcPr>
          <w:p>
            <w:pPr>
              <w:jc w:val="right"/>
              <w:ind w:right="197"/>
              <w:spacing w:after="0"/>
              <w:rPr>
                <w:sz w:val="20"/>
                <w:szCs w:val="20"/>
                <w:color w:val="auto"/>
              </w:rPr>
            </w:pPr>
            <w:r>
              <w:rPr>
                <w:rFonts w:ascii="Arial" w:cs="Arial" w:eastAsia="Arial" w:hAnsi="Arial"/>
                <w:sz w:val="13"/>
                <w:szCs w:val="13"/>
                <w:color w:val="auto"/>
              </w:rPr>
              <w:t>(1,203 )</w:t>
            </w:r>
          </w:p>
        </w:tc>
        <w:tc>
          <w:tcPr>
            <w:tcW w:w="160" w:type="dxa"/>
            <w:vAlign w:val="bottom"/>
          </w:tcPr>
          <w:p>
            <w:pPr>
              <w:spacing w:after="0"/>
              <w:rPr>
                <w:sz w:val="9"/>
                <w:szCs w:val="9"/>
                <w:color w:val="auto"/>
              </w:rPr>
            </w:pPr>
          </w:p>
        </w:tc>
        <w:tc>
          <w:tcPr>
            <w:tcW w:w="940" w:type="dxa"/>
            <w:vAlign w:val="bottom"/>
            <w:gridSpan w:val="2"/>
            <w:vMerge w:val="restart"/>
          </w:tcPr>
          <w:p>
            <w:pPr>
              <w:jc w:val="right"/>
              <w:ind w:right="142"/>
              <w:spacing w:after="0"/>
              <w:rPr>
                <w:sz w:val="20"/>
                <w:szCs w:val="20"/>
                <w:color w:val="auto"/>
              </w:rPr>
            </w:pPr>
            <w:r>
              <w:rPr>
                <w:rFonts w:ascii="Arial" w:cs="Arial" w:eastAsia="Arial" w:hAnsi="Arial"/>
                <w:sz w:val="13"/>
                <w:szCs w:val="13"/>
                <w:color w:val="auto"/>
              </w:rPr>
              <w:t>(1,272 )</w:t>
            </w:r>
          </w:p>
        </w:tc>
        <w:tc>
          <w:tcPr>
            <w:tcW w:w="160" w:type="dxa"/>
            <w:vAlign w:val="bottom"/>
          </w:tcPr>
          <w:p>
            <w:pPr>
              <w:spacing w:after="0"/>
              <w:rPr>
                <w:sz w:val="9"/>
                <w:szCs w:val="9"/>
                <w:color w:val="auto"/>
              </w:rPr>
            </w:pPr>
          </w:p>
        </w:tc>
        <w:tc>
          <w:tcPr>
            <w:tcW w:w="92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(1,288 )</w:t>
            </w:r>
          </w:p>
        </w:tc>
        <w:tc>
          <w:tcPr>
            <w:tcW w:w="140" w:type="dxa"/>
            <w:vAlign w:val="bottom"/>
          </w:tcPr>
          <w:p>
            <w:pPr>
              <w:spacing w:after="0"/>
              <w:rPr>
                <w:sz w:val="9"/>
                <w:szCs w:val="9"/>
                <w:color w:val="auto"/>
              </w:rPr>
            </w:pPr>
          </w:p>
        </w:tc>
        <w:tc>
          <w:tcPr>
            <w:tcW w:w="88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(1,407 )</w:t>
            </w:r>
          </w:p>
        </w:tc>
        <w:tc>
          <w:tcPr>
            <w:tcW w:w="0" w:type="dxa"/>
            <w:vAlign w:val="bottom"/>
          </w:tcPr>
          <w:p>
            <w:pPr>
              <w:spacing w:after="0"/>
              <w:rPr>
                <w:sz w:val="1"/>
                <w:szCs w:val="1"/>
                <w:color w:val="auto"/>
              </w:rPr>
            </w:pPr>
          </w:p>
        </w:tc>
      </w:tr>
      <w:tr>
        <w:trPr>
          <w:trHeight w:val="148"/>
        </w:trPr>
        <w:tc>
          <w:tcPr>
            <w:tcW w:w="2280" w:type="dxa"/>
            <w:vAlign w:val="bottom"/>
            <w:gridSpan w:val="2"/>
          </w:tcPr>
          <w:p>
            <w:pPr>
              <w:ind w:left="80"/>
              <w:spacing w:after="0"/>
              <w:rPr>
                <w:sz w:val="20"/>
                <w:szCs w:val="20"/>
                <w:color w:val="auto"/>
              </w:rPr>
            </w:pPr>
            <w:r>
              <w:rPr>
                <w:rFonts w:ascii="Arial" w:cs="Arial" w:eastAsia="Arial" w:hAnsi="Arial"/>
                <w:sz w:val="13"/>
                <w:szCs w:val="13"/>
                <w:color w:val="auto"/>
              </w:rPr>
              <w:t>of intangible assets</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gridSpan w:val="2"/>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Gross profit</w:t>
            </w:r>
          </w:p>
        </w:tc>
        <w:tc>
          <w:tcPr>
            <w:tcW w:w="1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5,158</w:t>
            </w:r>
          </w:p>
        </w:tc>
        <w:tc>
          <w:tcPr>
            <w:tcW w:w="3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3,535</w:t>
            </w:r>
          </w:p>
        </w:tc>
        <w:tc>
          <w:tcPr>
            <w:tcW w:w="3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5,501</w:t>
            </w:r>
          </w:p>
        </w:tc>
        <w:tc>
          <w:tcPr>
            <w:tcW w:w="3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5,126</w:t>
            </w:r>
          </w:p>
        </w:tc>
        <w:tc>
          <w:tcPr>
            <w:tcW w:w="3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6,253</w:t>
            </w:r>
          </w:p>
        </w:tc>
        <w:tc>
          <w:tcPr>
            <w:tcW w:w="3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6,887</w:t>
            </w:r>
          </w:p>
        </w:tc>
        <w:tc>
          <w:tcPr>
            <w:tcW w:w="2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7,593</w:t>
            </w: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6,924</w:t>
            </w: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8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Depreciation and amortization</w:t>
            </w:r>
          </w:p>
        </w:tc>
        <w:tc>
          <w:tcPr>
            <w:tcW w:w="1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850</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934</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1,063</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1,143</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1,203</w:t>
            </w: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1,272</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1,288</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1,407</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80"/>
              <w:spacing w:after="0"/>
              <w:rPr>
                <w:sz w:val="20"/>
                <w:szCs w:val="20"/>
                <w:color w:val="auto"/>
              </w:rPr>
            </w:pPr>
            <w:r>
              <w:rPr>
                <w:rFonts w:ascii="Arial" w:cs="Arial" w:eastAsia="Arial" w:hAnsi="Arial"/>
                <w:sz w:val="13"/>
                <w:szCs w:val="13"/>
                <w:color w:val="auto"/>
              </w:rPr>
              <w:t>of intangible assets</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Borders>
              <w:bottom w:val="single" w:sz="8" w:color="CFF0FC"/>
            </w:tcBorders>
            <w:gridSpan w:val="2"/>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Adjusted gross profit</w:t>
            </w:r>
          </w:p>
        </w:tc>
        <w:tc>
          <w:tcPr>
            <w:tcW w:w="1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6,008</w:t>
            </w:r>
          </w:p>
        </w:tc>
        <w:tc>
          <w:tcPr>
            <w:tcW w:w="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4,469</w:t>
            </w:r>
          </w:p>
        </w:tc>
        <w:tc>
          <w:tcPr>
            <w:tcW w:w="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6,564</w:t>
            </w:r>
          </w:p>
        </w:tc>
        <w:tc>
          <w:tcPr>
            <w:tcW w:w="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6,269</w:t>
            </w:r>
          </w:p>
        </w:tc>
        <w:tc>
          <w:tcPr>
            <w:tcW w:w="3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7,456</w:t>
            </w:r>
          </w:p>
        </w:tc>
        <w:tc>
          <w:tcPr>
            <w:tcW w:w="3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8,159</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8,881</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8,331</w:t>
            </w:r>
          </w:p>
        </w:tc>
        <w:tc>
          <w:tcPr>
            <w:tcW w:w="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80" w:type="dxa"/>
            <w:vAlign w:val="bottom"/>
            <w:gridSpan w:val="2"/>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Gross margin</w:t>
            </w:r>
          </w:p>
        </w:tc>
        <w:tc>
          <w:tcPr>
            <w:tcW w:w="1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7"/>
              <w:spacing w:after="0" w:line="129" w:lineRule="exact"/>
              <w:rPr>
                <w:sz w:val="20"/>
                <w:szCs w:val="20"/>
                <w:color w:val="auto"/>
              </w:rPr>
            </w:pPr>
            <w:r>
              <w:rPr>
                <w:rFonts w:ascii="Arial" w:cs="Arial" w:eastAsia="Arial" w:hAnsi="Arial"/>
                <w:sz w:val="13"/>
                <w:szCs w:val="13"/>
                <w:color w:val="auto"/>
              </w:rPr>
              <w:t>55 %</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7"/>
              <w:spacing w:after="0" w:line="129" w:lineRule="exact"/>
              <w:rPr>
                <w:sz w:val="20"/>
                <w:szCs w:val="20"/>
                <w:color w:val="auto"/>
              </w:rPr>
            </w:pPr>
            <w:r>
              <w:rPr>
                <w:rFonts w:ascii="Arial" w:cs="Arial" w:eastAsia="Arial" w:hAnsi="Arial"/>
                <w:sz w:val="13"/>
                <w:szCs w:val="13"/>
                <w:color w:val="auto"/>
              </w:rPr>
              <w:t>50 %</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7"/>
              <w:spacing w:after="0" w:line="129" w:lineRule="exact"/>
              <w:rPr>
                <w:sz w:val="20"/>
                <w:szCs w:val="20"/>
                <w:color w:val="auto"/>
              </w:rPr>
            </w:pPr>
            <w:r>
              <w:rPr>
                <w:rFonts w:ascii="Arial" w:cs="Arial" w:eastAsia="Arial" w:hAnsi="Arial"/>
                <w:sz w:val="13"/>
                <w:szCs w:val="13"/>
                <w:color w:val="auto"/>
              </w:rPr>
              <w:t>59 %</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7"/>
              <w:spacing w:after="0" w:line="129" w:lineRule="exact"/>
              <w:rPr>
                <w:sz w:val="20"/>
                <w:szCs w:val="20"/>
                <w:color w:val="auto"/>
              </w:rPr>
            </w:pPr>
            <w:r>
              <w:rPr>
                <w:rFonts w:ascii="Arial" w:cs="Arial" w:eastAsia="Arial" w:hAnsi="Arial"/>
                <w:sz w:val="13"/>
                <w:szCs w:val="13"/>
                <w:color w:val="auto"/>
              </w:rPr>
              <w:t>57 %</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37"/>
              <w:spacing w:after="0" w:line="129" w:lineRule="exact"/>
              <w:rPr>
                <w:sz w:val="20"/>
                <w:szCs w:val="20"/>
                <w:color w:val="auto"/>
              </w:rPr>
            </w:pPr>
            <w:r>
              <w:rPr>
                <w:rFonts w:ascii="Arial" w:cs="Arial" w:eastAsia="Arial" w:hAnsi="Arial"/>
                <w:sz w:val="13"/>
                <w:szCs w:val="13"/>
                <w:color w:val="auto"/>
              </w:rPr>
              <w:t>61 %</w:t>
            </w:r>
          </w:p>
        </w:tc>
        <w:tc>
          <w:tcPr>
            <w:tcW w:w="16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2"/>
              <w:spacing w:after="0" w:line="129" w:lineRule="exact"/>
              <w:rPr>
                <w:sz w:val="20"/>
                <w:szCs w:val="20"/>
                <w:color w:val="auto"/>
              </w:rPr>
            </w:pPr>
            <w:r>
              <w:rPr>
                <w:rFonts w:ascii="Arial" w:cs="Arial" w:eastAsia="Arial" w:hAnsi="Arial"/>
                <w:sz w:val="13"/>
                <w:szCs w:val="13"/>
                <w:color w:val="auto"/>
              </w:rPr>
              <w:t>63 %</w:t>
            </w: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65 %</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7"/>
              <w:spacing w:after="0" w:line="129" w:lineRule="exact"/>
              <w:rPr>
                <w:sz w:val="20"/>
                <w:szCs w:val="20"/>
                <w:color w:val="auto"/>
              </w:rPr>
            </w:pPr>
            <w:r>
              <w:rPr>
                <w:rFonts w:ascii="Arial" w:cs="Arial" w:eastAsia="Arial" w:hAnsi="Arial"/>
                <w:sz w:val="13"/>
                <w:szCs w:val="13"/>
                <w:color w:val="auto"/>
              </w:rPr>
              <w:t>62 %</w:t>
            </w:r>
          </w:p>
        </w:tc>
        <w:tc>
          <w:tcPr>
            <w:tcW w:w="0" w:type="dxa"/>
            <w:vAlign w:val="bottom"/>
          </w:tcPr>
          <w:p>
            <w:pPr>
              <w:spacing w:after="0"/>
              <w:rPr>
                <w:sz w:val="1"/>
                <w:szCs w:val="1"/>
                <w:color w:val="auto"/>
              </w:rPr>
            </w:pPr>
          </w:p>
        </w:tc>
      </w:tr>
      <w:tr>
        <w:trPr>
          <w:trHeight w:val="20"/>
        </w:trPr>
        <w:tc>
          <w:tcPr>
            <w:tcW w:w="2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Adjusted gross margin</w:t>
            </w:r>
          </w:p>
        </w:tc>
        <w:tc>
          <w:tcPr>
            <w:tcW w:w="160" w:type="dxa"/>
            <w:vAlign w:val="bottom"/>
          </w:tcPr>
          <w:p>
            <w:pPr>
              <w:spacing w:after="0"/>
              <w:rPr>
                <w:sz w:val="11"/>
                <w:szCs w:val="11"/>
                <w:color w:val="auto"/>
              </w:rPr>
            </w:pPr>
          </w:p>
        </w:tc>
        <w:tc>
          <w:tcPr>
            <w:tcW w:w="1020" w:type="dxa"/>
            <w:vAlign w:val="bottom"/>
            <w:gridSpan w:val="2"/>
          </w:tcPr>
          <w:p>
            <w:pPr>
              <w:jc w:val="right"/>
              <w:ind w:right="157"/>
              <w:spacing w:after="0" w:line="129" w:lineRule="exact"/>
              <w:rPr>
                <w:sz w:val="20"/>
                <w:szCs w:val="20"/>
                <w:color w:val="auto"/>
              </w:rPr>
            </w:pPr>
            <w:r>
              <w:rPr>
                <w:rFonts w:ascii="Arial" w:cs="Arial" w:eastAsia="Arial" w:hAnsi="Arial"/>
                <w:sz w:val="13"/>
                <w:szCs w:val="13"/>
                <w:color w:val="auto"/>
              </w:rPr>
              <w:t>65 %</w:t>
            </w:r>
          </w:p>
        </w:tc>
        <w:tc>
          <w:tcPr>
            <w:tcW w:w="140" w:type="dxa"/>
            <w:vAlign w:val="bottom"/>
          </w:tcPr>
          <w:p>
            <w:pPr>
              <w:spacing w:after="0"/>
              <w:rPr>
                <w:sz w:val="11"/>
                <w:szCs w:val="11"/>
                <w:color w:val="auto"/>
              </w:rPr>
            </w:pPr>
          </w:p>
        </w:tc>
        <w:tc>
          <w:tcPr>
            <w:tcW w:w="1020" w:type="dxa"/>
            <w:vAlign w:val="bottom"/>
            <w:gridSpan w:val="2"/>
          </w:tcPr>
          <w:p>
            <w:pPr>
              <w:jc w:val="right"/>
              <w:ind w:right="157"/>
              <w:spacing w:after="0" w:line="129" w:lineRule="exact"/>
              <w:rPr>
                <w:sz w:val="20"/>
                <w:szCs w:val="20"/>
                <w:color w:val="auto"/>
              </w:rPr>
            </w:pPr>
            <w:r>
              <w:rPr>
                <w:rFonts w:ascii="Arial" w:cs="Arial" w:eastAsia="Arial" w:hAnsi="Arial"/>
                <w:sz w:val="13"/>
                <w:szCs w:val="13"/>
                <w:color w:val="auto"/>
              </w:rPr>
              <w:t>63 %</w:t>
            </w:r>
          </w:p>
        </w:tc>
        <w:tc>
          <w:tcPr>
            <w:tcW w:w="140" w:type="dxa"/>
            <w:vAlign w:val="bottom"/>
          </w:tcPr>
          <w:p>
            <w:pPr>
              <w:spacing w:after="0"/>
              <w:rPr>
                <w:sz w:val="11"/>
                <w:szCs w:val="11"/>
                <w:color w:val="auto"/>
              </w:rPr>
            </w:pPr>
          </w:p>
        </w:tc>
        <w:tc>
          <w:tcPr>
            <w:tcW w:w="1020" w:type="dxa"/>
            <w:vAlign w:val="bottom"/>
            <w:gridSpan w:val="2"/>
          </w:tcPr>
          <w:p>
            <w:pPr>
              <w:jc w:val="right"/>
              <w:ind w:right="157"/>
              <w:spacing w:after="0" w:line="129" w:lineRule="exact"/>
              <w:rPr>
                <w:sz w:val="20"/>
                <w:szCs w:val="20"/>
                <w:color w:val="auto"/>
              </w:rPr>
            </w:pPr>
            <w:r>
              <w:rPr>
                <w:rFonts w:ascii="Arial" w:cs="Arial" w:eastAsia="Arial" w:hAnsi="Arial"/>
                <w:sz w:val="13"/>
                <w:szCs w:val="13"/>
                <w:color w:val="auto"/>
              </w:rPr>
              <w:t>71 %</w:t>
            </w:r>
          </w:p>
        </w:tc>
        <w:tc>
          <w:tcPr>
            <w:tcW w:w="140" w:type="dxa"/>
            <w:vAlign w:val="bottom"/>
          </w:tcPr>
          <w:p>
            <w:pPr>
              <w:spacing w:after="0"/>
              <w:rPr>
                <w:sz w:val="11"/>
                <w:szCs w:val="11"/>
                <w:color w:val="auto"/>
              </w:rPr>
            </w:pPr>
          </w:p>
        </w:tc>
        <w:tc>
          <w:tcPr>
            <w:tcW w:w="1020" w:type="dxa"/>
            <w:vAlign w:val="bottom"/>
            <w:gridSpan w:val="2"/>
          </w:tcPr>
          <w:p>
            <w:pPr>
              <w:jc w:val="right"/>
              <w:ind w:right="157"/>
              <w:spacing w:after="0" w:line="129" w:lineRule="exact"/>
              <w:rPr>
                <w:sz w:val="20"/>
                <w:szCs w:val="20"/>
                <w:color w:val="auto"/>
              </w:rPr>
            </w:pPr>
            <w:r>
              <w:rPr>
                <w:rFonts w:ascii="Arial" w:cs="Arial" w:eastAsia="Arial" w:hAnsi="Arial"/>
                <w:sz w:val="13"/>
                <w:szCs w:val="13"/>
                <w:color w:val="auto"/>
              </w:rPr>
              <w:t>70 %</w:t>
            </w:r>
          </w:p>
        </w:tc>
        <w:tc>
          <w:tcPr>
            <w:tcW w:w="160" w:type="dxa"/>
            <w:vAlign w:val="bottom"/>
          </w:tcPr>
          <w:p>
            <w:pPr>
              <w:spacing w:after="0"/>
              <w:rPr>
                <w:sz w:val="11"/>
                <w:szCs w:val="11"/>
                <w:color w:val="auto"/>
              </w:rPr>
            </w:pPr>
          </w:p>
        </w:tc>
        <w:tc>
          <w:tcPr>
            <w:tcW w:w="940" w:type="dxa"/>
            <w:vAlign w:val="bottom"/>
            <w:gridSpan w:val="2"/>
          </w:tcPr>
          <w:p>
            <w:pPr>
              <w:jc w:val="right"/>
              <w:ind w:right="137"/>
              <w:spacing w:after="0" w:line="129" w:lineRule="exact"/>
              <w:rPr>
                <w:sz w:val="20"/>
                <w:szCs w:val="20"/>
                <w:color w:val="auto"/>
              </w:rPr>
            </w:pPr>
            <w:r>
              <w:rPr>
                <w:rFonts w:ascii="Arial" w:cs="Arial" w:eastAsia="Arial" w:hAnsi="Arial"/>
                <w:sz w:val="13"/>
                <w:szCs w:val="13"/>
                <w:color w:val="auto"/>
              </w:rPr>
              <w:t>73 %</w:t>
            </w:r>
          </w:p>
        </w:tc>
        <w:tc>
          <w:tcPr>
            <w:tcW w:w="160" w:type="dxa"/>
            <w:vAlign w:val="bottom"/>
          </w:tcPr>
          <w:p>
            <w:pPr>
              <w:spacing w:after="0"/>
              <w:rPr>
                <w:sz w:val="11"/>
                <w:szCs w:val="11"/>
                <w:color w:val="auto"/>
              </w:rPr>
            </w:pPr>
          </w:p>
        </w:tc>
        <w:tc>
          <w:tcPr>
            <w:tcW w:w="940" w:type="dxa"/>
            <w:vAlign w:val="bottom"/>
            <w:gridSpan w:val="2"/>
          </w:tcPr>
          <w:p>
            <w:pPr>
              <w:jc w:val="right"/>
              <w:ind w:right="82"/>
              <w:spacing w:after="0" w:line="129" w:lineRule="exact"/>
              <w:rPr>
                <w:sz w:val="20"/>
                <w:szCs w:val="20"/>
                <w:color w:val="auto"/>
              </w:rPr>
            </w:pPr>
            <w:r>
              <w:rPr>
                <w:rFonts w:ascii="Arial" w:cs="Arial" w:eastAsia="Arial" w:hAnsi="Arial"/>
                <w:sz w:val="13"/>
                <w:szCs w:val="13"/>
                <w:color w:val="auto"/>
              </w:rPr>
              <w:t>75 %</w:t>
            </w:r>
          </w:p>
        </w:tc>
        <w:tc>
          <w:tcPr>
            <w:tcW w:w="160" w:type="dxa"/>
            <w:vAlign w:val="bottom"/>
          </w:tcPr>
          <w:p>
            <w:pPr>
              <w:spacing w:after="0"/>
              <w:rPr>
                <w:sz w:val="11"/>
                <w:szCs w:val="11"/>
                <w:color w:val="auto"/>
              </w:rPr>
            </w:pPr>
          </w:p>
        </w:tc>
        <w:tc>
          <w:tcPr>
            <w:tcW w:w="920" w:type="dxa"/>
            <w:vAlign w:val="bottom"/>
            <w:gridSpan w:val="2"/>
          </w:tcPr>
          <w:p>
            <w:pPr>
              <w:jc w:val="right"/>
              <w:ind w:right="57"/>
              <w:spacing w:after="0" w:line="129" w:lineRule="exact"/>
              <w:rPr>
                <w:sz w:val="20"/>
                <w:szCs w:val="20"/>
                <w:color w:val="auto"/>
              </w:rPr>
            </w:pPr>
            <w:r>
              <w:rPr>
                <w:rFonts w:ascii="Arial" w:cs="Arial" w:eastAsia="Arial" w:hAnsi="Arial"/>
                <w:sz w:val="13"/>
                <w:szCs w:val="13"/>
                <w:color w:val="auto"/>
              </w:rPr>
              <w:t>76 %</w:t>
            </w:r>
          </w:p>
        </w:tc>
        <w:tc>
          <w:tcPr>
            <w:tcW w:w="140" w:type="dxa"/>
            <w:vAlign w:val="bottom"/>
          </w:tcPr>
          <w:p>
            <w:pPr>
              <w:spacing w:after="0"/>
              <w:rPr>
                <w:sz w:val="11"/>
                <w:szCs w:val="11"/>
                <w:color w:val="auto"/>
              </w:rPr>
            </w:pPr>
          </w:p>
        </w:tc>
        <w:tc>
          <w:tcPr>
            <w:tcW w:w="880" w:type="dxa"/>
            <w:vAlign w:val="bottom"/>
            <w:gridSpan w:val="2"/>
          </w:tcPr>
          <w:p>
            <w:pPr>
              <w:jc w:val="right"/>
              <w:ind w:right="37"/>
              <w:spacing w:after="0" w:line="129" w:lineRule="exact"/>
              <w:rPr>
                <w:sz w:val="20"/>
                <w:szCs w:val="20"/>
                <w:color w:val="auto"/>
              </w:rPr>
            </w:pPr>
            <w:r>
              <w:rPr>
                <w:rFonts w:ascii="Arial" w:cs="Arial" w:eastAsia="Arial" w:hAnsi="Arial"/>
                <w:sz w:val="13"/>
                <w:szCs w:val="13"/>
                <w:color w:val="auto"/>
              </w:rPr>
              <w:t>74 %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-4394200</wp:posOffset>
            </wp:positionV>
            <wp:extent cx="14605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-4394200</wp:posOffset>
            </wp:positionV>
            <wp:extent cx="14541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-4394200</wp:posOffset>
            </wp:positionV>
            <wp:extent cx="14605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-4394200</wp:posOffset>
            </wp:positionV>
            <wp:extent cx="14605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-4394200</wp:posOffset>
            </wp:positionV>
            <wp:extent cx="13716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-4394200</wp:posOffset>
            </wp:positionV>
            <wp:extent cx="939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-4394200</wp:posOffset>
            </wp:positionV>
            <wp:extent cx="9461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-4394200</wp:posOffset>
            </wp:positionV>
            <wp:extent cx="13716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-3805555</wp:posOffset>
            </wp:positionV>
            <wp:extent cx="1460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-3788410</wp:posOffset>
            </wp:positionV>
            <wp:extent cx="1460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-3805555</wp:posOffset>
            </wp:positionV>
            <wp:extent cx="1454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-3788410</wp:posOffset>
            </wp:positionV>
            <wp:extent cx="1454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-3805555</wp:posOffset>
            </wp:positionV>
            <wp:extent cx="1460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-3788410</wp:posOffset>
            </wp:positionV>
            <wp:extent cx="1460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-3805555</wp:posOffset>
            </wp:positionV>
            <wp:extent cx="1460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-3788410</wp:posOffset>
            </wp:positionV>
            <wp:extent cx="1460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-3805555</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-3788410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-3805555</wp:posOffset>
            </wp:positionV>
            <wp:extent cx="939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-3788410</wp:posOffset>
            </wp:positionV>
            <wp:extent cx="939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-3805555</wp:posOffset>
            </wp:positionV>
            <wp:extent cx="946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-3788410</wp:posOffset>
            </wp:positionV>
            <wp:extent cx="946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-3805555</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-3788410</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-3590925</wp:posOffset>
            </wp:positionV>
            <wp:extent cx="1460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-3573780</wp:posOffset>
            </wp:positionV>
            <wp:extent cx="1460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-3590925</wp:posOffset>
            </wp:positionV>
            <wp:extent cx="1454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-3573780</wp:posOffset>
            </wp:positionV>
            <wp:extent cx="1454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-3590925</wp:posOffset>
            </wp:positionV>
            <wp:extent cx="1460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-3573780</wp:posOffset>
            </wp:positionV>
            <wp:extent cx="1460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-3590925</wp:posOffset>
            </wp:positionV>
            <wp:extent cx="1460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-3573780</wp:posOffset>
            </wp:positionV>
            <wp:extent cx="1460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-3590925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-3573780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-3590925</wp:posOffset>
            </wp:positionV>
            <wp:extent cx="939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-3573780</wp:posOffset>
            </wp:positionV>
            <wp:extent cx="939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-3590925</wp:posOffset>
            </wp:positionV>
            <wp:extent cx="946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-3573780</wp:posOffset>
            </wp:positionV>
            <wp:extent cx="946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-3590925</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-3573780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-3059430</wp:posOffset>
            </wp:positionV>
            <wp:extent cx="1460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-3042920</wp:posOffset>
            </wp:positionV>
            <wp:extent cx="1460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-3059430</wp:posOffset>
            </wp:positionV>
            <wp:extent cx="1454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-3042920</wp:posOffset>
            </wp:positionV>
            <wp:extent cx="1454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-3059430</wp:posOffset>
            </wp:positionV>
            <wp:extent cx="1460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-3042920</wp:posOffset>
            </wp:positionV>
            <wp:extent cx="1460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-3059430</wp:posOffset>
            </wp:positionV>
            <wp:extent cx="1460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-3042920</wp:posOffset>
            </wp:positionV>
            <wp:extent cx="1460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-3059430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-3042920</wp:posOffset>
            </wp:positionV>
            <wp:extent cx="137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-3059430</wp:posOffset>
            </wp:positionV>
            <wp:extent cx="939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-3042920</wp:posOffset>
            </wp:positionV>
            <wp:extent cx="93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-3059430</wp:posOffset>
            </wp:positionV>
            <wp:extent cx="946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-3042920</wp:posOffset>
            </wp:positionV>
            <wp:extent cx="946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-3059430</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-3042920</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-1859280</wp:posOffset>
            </wp:positionV>
            <wp:extent cx="1460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-1842135</wp:posOffset>
            </wp:positionV>
            <wp:extent cx="1460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-1859280</wp:posOffset>
            </wp:positionV>
            <wp:extent cx="1454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-1842135</wp:posOffset>
            </wp:positionV>
            <wp:extent cx="1454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-1859280</wp:posOffset>
            </wp:positionV>
            <wp:extent cx="1460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-1842135</wp:posOffset>
            </wp:positionV>
            <wp:extent cx="1460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-1859280</wp:posOffset>
            </wp:positionV>
            <wp:extent cx="1460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-1842135</wp:posOffset>
            </wp:positionV>
            <wp:extent cx="1460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-1859280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-1842135</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-1859280</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-1842135</wp:posOffset>
            </wp:positionV>
            <wp:extent cx="939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-1859280</wp:posOffset>
            </wp:positionV>
            <wp:extent cx="946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-1842135</wp:posOffset>
            </wp:positionV>
            <wp:extent cx="946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-1859280</wp:posOffset>
            </wp:positionV>
            <wp:extent cx="137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-1842135</wp:posOffset>
            </wp:positionV>
            <wp:extent cx="137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-1430655</wp:posOffset>
            </wp:positionV>
            <wp:extent cx="1460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-1414145</wp:posOffset>
            </wp:positionV>
            <wp:extent cx="1460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-1430655</wp:posOffset>
            </wp:positionV>
            <wp:extent cx="145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-1414145</wp:posOffset>
            </wp:positionV>
            <wp:extent cx="1454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-1430655</wp:posOffset>
            </wp:positionV>
            <wp:extent cx="1460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-1414145</wp:posOffset>
            </wp:positionV>
            <wp:extent cx="1460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-1430655</wp:posOffset>
            </wp:positionV>
            <wp:extent cx="1460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-1414145</wp:posOffset>
            </wp:positionV>
            <wp:extent cx="14605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-1430655</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-1414145</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-1430655</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-1414145</wp:posOffset>
            </wp:positionV>
            <wp:extent cx="93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-1430655</wp:posOffset>
            </wp:positionV>
            <wp:extent cx="946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-1414145</wp:posOffset>
            </wp:positionV>
            <wp:extent cx="946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-1430655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-1414145</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-359410</wp:posOffset>
            </wp:positionV>
            <wp:extent cx="1460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-342265</wp:posOffset>
            </wp:positionV>
            <wp:extent cx="1460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-359410</wp:posOffset>
            </wp:positionV>
            <wp:extent cx="1454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-342265</wp:posOffset>
            </wp:positionV>
            <wp:extent cx="1454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-359410</wp:posOffset>
            </wp:positionV>
            <wp:extent cx="1460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-342265</wp:posOffset>
            </wp:positionV>
            <wp:extent cx="1460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-359410</wp:posOffset>
            </wp:positionV>
            <wp:extent cx="1460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-342265</wp:posOffset>
            </wp:positionV>
            <wp:extent cx="1460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-359410</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-342265</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-359410</wp:posOffset>
            </wp:positionV>
            <wp:extent cx="93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-342265</wp:posOffset>
            </wp:positionV>
            <wp:extent cx="93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-359410</wp:posOffset>
            </wp:positionV>
            <wp:extent cx="946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-342265</wp:posOffset>
            </wp:positionV>
            <wp:extent cx="946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-359410</wp:posOffset>
            </wp:positionV>
            <wp:extent cx="137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-342265</wp:posOffset>
            </wp:positionV>
            <wp:extent cx="137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-145415</wp:posOffset>
            </wp:positionV>
            <wp:extent cx="1460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-128270</wp:posOffset>
            </wp:positionV>
            <wp:extent cx="1460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-145415</wp:posOffset>
            </wp:positionV>
            <wp:extent cx="1454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-128270</wp:posOffset>
            </wp:positionV>
            <wp:extent cx="1454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-145415</wp:posOffset>
            </wp:positionV>
            <wp:extent cx="1460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-128270</wp:posOffset>
            </wp:positionV>
            <wp:extent cx="1460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-145415</wp:posOffset>
            </wp:positionV>
            <wp:extent cx="1460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-128270</wp:posOffset>
            </wp:positionV>
            <wp:extent cx="1460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-145415</wp:posOffset>
            </wp:positionV>
            <wp:extent cx="137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-128270</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-145415</wp:posOffset>
            </wp:positionV>
            <wp:extent cx="93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-128270</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-145415</wp:posOffset>
            </wp:positionV>
            <wp:extent cx="946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-128270</wp:posOffset>
            </wp:positionV>
            <wp:extent cx="946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-145415</wp:posOffset>
            </wp:positionV>
            <wp:extent cx="137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-128270</wp:posOffset>
            </wp:positionV>
            <wp:extent cx="137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$9.4 million or 27% to $44.0 million for the year ended December 31, 2021 from $34.6 million for the year ended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2020. This increase was driven by base revenue from existing customers that increased $9.9 million or 41%, which was partially offset by a decrease in revenue from new customers of $0.2 million or 6% and growth revenue from existing customers of $0.2 million or 3%. As a result of certain Covid-19 related government mandated collections moratoria remaining in place during the period, our idiVERIFIED service, which is an ancillary collections market offering that is purely transactional and of a lower margin profile, was down $0.5 million for the year ended December 31, 2021. We expect our idiVERIFIED service volume to return to pre-Covid levels in the second half of 2022. Our IDI billable customer base grew from 5,726 customers as of December 31, 2020 to 6,548 customers as of December 31, 2021, and our FOREWARN user base grew from 48,377 users to 82,419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3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Cost of revenue (exclusive of depreciation and amortization)</w:t>
      </w:r>
      <w:r>
        <w:rPr>
          <w:rFonts w:ascii="Arial" w:cs="Arial" w:eastAsia="Arial" w:hAnsi="Arial"/>
          <w:sz w:val="18"/>
          <w:szCs w:val="18"/>
          <w:color w:val="auto"/>
        </w:rPr>
        <w:t>. Cost of revenue decreased $0.1 million or 1% to $11.2 million for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2021 from $11.3 million for the year ended December 31, 2020. Our cost of revenue primarily includes data acquisition costs. Data acquisition costs consist primarily of the costs to acquire data either on a transactional basis or through flat-fee data licensing agreements, including unlimited usage agreements. The decrease in cost of revenue was primarily attributable to the decrease in transactional based data acquisition costs associated with the reduction in our idiVERIFIED services revenue. We continue to enhance the breadth and depth of our data through the addition and expansion of relationships with key data suppliers, including our largest data supplier, which accounted for 49% of our total data acquisition costs for the year ended December 31, 2021 compared to 46% for the year ended December 31, 2020. Other cost of revenue items include expenses related to third-party infrastructure fees.</w:t>
      </w:r>
    </w:p>
    <w:p>
      <w:pPr>
        <w:spacing w:after="0" w:line="16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25% for the year ended December 31, 2021 from 33% for the year ended December 31, 2020.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47"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b w:val="1"/>
          <w:bCs w:val="1"/>
          <w:i w:val="1"/>
          <w:iCs w:val="1"/>
          <w:color w:val="auto"/>
        </w:rPr>
        <w:t>Sales and marketing expenses</w:t>
      </w:r>
      <w:r>
        <w:rPr>
          <w:rFonts w:ascii="Arial" w:cs="Arial" w:eastAsia="Arial" w:hAnsi="Arial"/>
          <w:sz w:val="16"/>
          <w:szCs w:val="16"/>
          <w:color w:val="auto"/>
        </w:rPr>
        <w:t>. Sales and marketing expenses increased $0.8 million or 10% to $8.9 million for the year ended December 31, 2021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$8.1 million for the year ended December 31, 2020. Sales and marketing expenses consist of salaries and benefits, advertising and marketing, travel expenses, and share-based compensation expense, incurred by our sales team, and provision for bad debts. The increase during the year ended December 31, 2021 was primarily attributable to an increase of $0.3 million in salaries and benefits, and $0.6 million in sales commissions and $0.2 million in merchant processing fees, resulting from increased revenue, which was partially offset by the decrease in provision for bad debts of $0.3 million.</w:t>
      </w:r>
    </w:p>
    <w:p>
      <w:pPr>
        <w:spacing w:after="0" w:line="119"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increased $2.0 million or 11% to $19.8 million for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2021 from $17.8 million for the year ended December 31, 2020. For the years ended December 31, 2021 and 2020, our general and administrative expenses consisted primarily of employee salaries and benefits of $8.4 million and $5.3 million, share-based compensation expense of $6.1 million and $7.5 million, and professional fees of $3.2 million and $2.8 million, respectively.</w:t>
      </w:r>
    </w:p>
    <w:p>
      <w:pPr>
        <w:spacing w:after="0" w:line="16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expenses increased $1.2 million or 28% to $5.4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from $4.2 million for the year ended December 31, 2020. The increase in depreciation and amortization for the year ended December 31, 2021 resulted primarily from the amortization of software developed for internal use that became ready for its intended use after December 31, 2020.</w:t>
      </w:r>
    </w:p>
    <w:p>
      <w:pPr>
        <w:spacing w:after="0" w:line="10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Gain on extinguishment of debt</w:t>
      </w:r>
      <w:r>
        <w:rPr>
          <w:rFonts w:ascii="Arial" w:cs="Arial" w:eastAsia="Arial" w:hAnsi="Arial"/>
          <w:sz w:val="18"/>
          <w:szCs w:val="18"/>
          <w:color w:val="auto"/>
        </w:rPr>
        <w:t>. On May 5, 2020, we received the Loan in the principal amount of $2.2 million under the CARES Act. On June 16,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received a notice from the Lender that the full principal amount of the Loan and its accrued interest had been fully forgiven, resulting in a gain on extinguishment of debt of $2.2 million during the year ended December 31, 2021.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2" w:name="page33"/>
    <w:bookmarkEnd w:id="32"/>
    <w:p>
      <w:pPr>
        <w:ind w:right="40"/>
        <w:spacing w:after="0" w:line="279" w:lineRule="auto"/>
        <w:rPr>
          <w:sz w:val="20"/>
          <w:szCs w:val="20"/>
          <w:color w:val="auto"/>
        </w:rPr>
      </w:pPr>
      <w:r>
        <w:rPr>
          <w:rFonts w:ascii="Arial" w:cs="Arial" w:eastAsia="Arial" w:hAnsi="Arial"/>
          <w:sz w:val="16"/>
          <w:szCs w:val="16"/>
          <w:b w:val="1"/>
          <w:bCs w:val="1"/>
          <w:i w:val="1"/>
          <w:iCs w:val="1"/>
          <w:color w:val="auto"/>
        </w:rPr>
        <w:t>Income (loss) before income taxes</w:t>
      </w:r>
      <w:r>
        <w:rPr>
          <w:rFonts w:ascii="Arial" w:cs="Arial" w:eastAsia="Arial" w:hAnsi="Arial"/>
          <w:sz w:val="16"/>
          <w:szCs w:val="16"/>
          <w:color w:val="auto"/>
        </w:rPr>
        <w:t>. Income before income taxes was $0.9 million, inclusive of a one-time gain of $2.2 million on the extinguishment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from the forgiveness of the Loan, for the year ended December 31, 2021 compared to a loss of $6.8 million for the year ended December 31, 2020. The significant decrease in loss before income taxes (exclusive of the one-time gain on extinguishment of debt) was primarily attributable to the increase in revenue, decrease in our cost of revenue as a percentage of revenue, and decrease in share-based compensation expense, which was partially offset by the increase in employee salaries and benefits and sales commissions of $4.0 million, and depreciation and amortization of $1.2 million.</w:t>
      </w:r>
    </w:p>
    <w:p>
      <w:pPr>
        <w:spacing w:after="0" w:line="132"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$198 and $0 was recognized for the years ended December 31, 2021 and 2020, respectively. A valuation allowance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deferred tax assets was recognized as of December 31, 2021 and 2020, to reduce the deferred tax assets to the amount that is more likely than not to be realized. See Note 8, “Income Taxes,” included in “Notes to Consolidated Financial Statements.”</w:t>
      </w:r>
    </w:p>
    <w:p>
      <w:pPr>
        <w:spacing w:after="0" w:line="141" w:lineRule="exact"/>
        <w:rPr>
          <w:sz w:val="20"/>
          <w:szCs w:val="20"/>
          <w:color w:val="auto"/>
        </w:rPr>
      </w:pPr>
    </w:p>
    <w:p>
      <w:pPr>
        <w:jc w:val="both"/>
        <w:ind w:right="360"/>
        <w:spacing w:after="0" w:line="324" w:lineRule="auto"/>
        <w:rPr>
          <w:sz w:val="20"/>
          <w:szCs w:val="20"/>
          <w:color w:val="auto"/>
        </w:rPr>
      </w:pPr>
      <w:r>
        <w:rPr>
          <w:rFonts w:ascii="Arial" w:cs="Arial" w:eastAsia="Arial" w:hAnsi="Arial"/>
          <w:sz w:val="16"/>
          <w:szCs w:val="16"/>
          <w:b w:val="1"/>
          <w:bCs w:val="1"/>
          <w:i w:val="1"/>
          <w:iCs w:val="1"/>
          <w:color w:val="auto"/>
        </w:rPr>
        <w:t>Net income (loss)</w:t>
      </w:r>
      <w:r>
        <w:rPr>
          <w:rFonts w:ascii="Arial" w:cs="Arial" w:eastAsia="Arial" w:hAnsi="Arial"/>
          <w:sz w:val="16"/>
          <w:szCs w:val="16"/>
          <w:color w:val="auto"/>
        </w:rPr>
        <w:t>. Net income was $0.7 million, inclusive of a one-time gain of $2.2 million on the extinguishment of debt from the forgiveness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 for the year ended December 31, 2021 compared to a net loss of $6.8 million for the year ended December 31, 2020, as a result of the foregoing.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8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i w:val="1"/>
          <w:iCs w:val="1"/>
          <w:color w:val="auto"/>
        </w:rPr>
        <w:t>Cash flows provided by operating activities</w:t>
      </w:r>
      <w:r>
        <w:rPr>
          <w:rFonts w:ascii="Arial" w:cs="Arial" w:eastAsia="Arial" w:hAnsi="Arial"/>
          <w:sz w:val="17"/>
          <w:szCs w:val="17"/>
          <w:color w:val="auto"/>
        </w:rPr>
        <w:t>. For the year ended December 31, 2021, net cash provided by operating activities was $8.9 million,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the result of the net income of $0.7 million, adjusted for certain non-cash items (consisting of share-based compensation expense, depreciation and amortization, write-off of long-lived assets, provision for bad debts, noncash lease expenses, gain on extinguishment of debt, and deferred income tax expense) totaling $10.7 million, and the cash used as a result of changes in assets and liabilities of $2.4 million, primarily the result of the increase in accounts receivable, and the decrease in accounts payable, accrued expenses and other current liabilities, and operating lease liabilities. For the year ended December 31, 2020, net cash provided by operating activities was $6.5 million, primarily the result of the net loss of $6.8 million, adjusted for certain non-cash items (consisting of share-based compensation expense, depreciation and amortization, write-off of long-lived assets, provision for bad debts, and noncash lease expenses) totaling $13.5 million, and the cash used as a result of changes in assets and liabilities of $0.2 million, primarily the result of the decrease in accrued expenses and other current liabilities and operating lease liabilities.</w:t>
      </w:r>
    </w:p>
    <w:p>
      <w:pPr>
        <w:spacing w:after="0" w:line="157"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 Net cash used in investing activities for the years ended December 31, 2021 and 2020 was $5.2 million and $5.7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primarily as a result of capitalized costs included in intangible assets of $5.0 million and $5.5 million for the years ended December 31, 2021 and 2020, respectively.</w:t>
      </w:r>
    </w:p>
    <w:p>
      <w:pPr>
        <w:spacing w:after="0" w:line="141"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Cash flows provided by financing activities</w:t>
      </w:r>
      <w:r>
        <w:rPr>
          <w:rFonts w:ascii="Arial" w:cs="Arial" w:eastAsia="Arial" w:hAnsi="Arial"/>
          <w:sz w:val="18"/>
          <w:szCs w:val="18"/>
          <w:color w:val="auto"/>
        </w:rPr>
        <w:t>. For the year ended December 31, 2021, net cash provided by financing activities was $17.6 million.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19, 2021, we entered into definitive securities purchase agreements with certain investors for the sales of our common stock in a registered direct offering for net proceeds of $20.9 million. In addition, we paid taxes of $3.3 million related to the net share settlement of vesting of RSUs during the year ended December 31, 2021. For the year ended December 31, 2020, net cash provided by financing activities was $0.3 million. On May 5, 2020, we received the Loan in the principal amount of $2.2 million under the CARES Act. On June 16, 2021, we received a notice from the Lender that the full principal amount of the Loan and its accrued interest had been fully forgiven, resulting in a gain on extinguishment of debt of $2.2 million during the year ended December 31, 2021. In addition, we paid taxes of $1.8 million related to the net share settlement of vesting of RSUs during the year ended December 31, 2020.</w:t>
      </w:r>
    </w:p>
    <w:p>
      <w:pPr>
        <w:spacing w:after="0" w:line="15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As of December 31, 2021, we had material commitments under certain data licensing agreements of $33.1 million. We anticipate funding our operations using available cash and cash flow generated from operations within the next twelve months.</w:t>
      </w:r>
    </w:p>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reported net income of $0.7 million and a net loss of $6.8 million for the years ended December 31, 2021 and 2020, respectively. As of December 31, 2021, we had a total shareholders’ equity balance of $69.4 million.</w:t>
      </w:r>
    </w:p>
    <w:p>
      <w:pPr>
        <w:spacing w:after="0" w:line="130"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As of December 31, 2021, we had cash and cash equivalents of $34.3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3" w:name="page34"/>
    <w:bookmarkEnd w:id="33"/>
    <w:p>
      <w:pPr>
        <w:ind w:right="200"/>
        <w:spacing w:after="0" w:line="243" w:lineRule="auto"/>
        <w:rPr>
          <w:sz w:val="20"/>
          <w:szCs w:val="20"/>
          <w:color w:val="auto"/>
        </w:rPr>
      </w:pPr>
      <w:r>
        <w:rPr>
          <w:rFonts w:ascii="Arial" w:cs="Arial" w:eastAsia="Arial" w:hAnsi="Arial"/>
          <w:sz w:val="18"/>
          <w:szCs w:val="18"/>
          <w:color w:val="auto"/>
        </w:rPr>
        <w:t>We further believe that our financial resources will allow us to manage the impact of Covid-19 on the Company's business operations for the foreseeable future. However, subject to revenue growth, our ability to generate positive cash flow, and the potential impact of Covid-19,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do not have any outstanding off-balance sheet guarantees, interest rate swap transactions or foreign currency forward contracts. In addition, we do not engage in trading activities involving non-exchange traded contracts. In our ongoing business, we do not enter into transactions involving, or otherwise form relationships with, unconsolidated entities or financial partnerships that are established for the purpose of facilitating off-balance sheet arrangements or other contractually narrow or limited purposes.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This 2021 Form 10-K contains certain “forward-looking statements” within the meaning of the PSLRA, Section 27A of the Securities Act, and Section 21E of the Exchange Act. Such forward-looking statements contain information about our expectations, beliefs or intentions regarding our product development and commercialization efforts,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w:t>
      </w:r>
    </w:p>
    <w:p>
      <w:pPr>
        <w:spacing w:after="0" w:line="13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Many factors could cause our actual activities or results to differ materially from the activities and results anticipated in forward-looking statements. These factors include the following:</w:t>
      </w:r>
    </w:p>
    <w:p>
      <w:pPr>
        <w:spacing w:after="0" w:line="130" w:lineRule="exact"/>
        <w:rPr>
          <w:sz w:val="20"/>
          <w:szCs w:val="20"/>
          <w:color w:val="auto"/>
        </w:rPr>
      </w:pPr>
    </w:p>
    <w:p>
      <w:pPr>
        <w:ind w:left="560" w:right="180" w:hanging="507"/>
        <w:spacing w:after="0" w:line="261"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ongoing and developing Covid-19 pandemic and the global response to it may adversely impact our business, our future results of operations and our overall financial performance.</w:t>
      </w:r>
    </w:p>
    <w:p>
      <w:pPr>
        <w:spacing w:after="0" w:line="143" w:lineRule="exact"/>
        <w:rPr>
          <w:rFonts w:ascii="Arial" w:cs="Arial" w:eastAsia="Arial" w:hAnsi="Arial"/>
          <w:sz w:val="18"/>
          <w:szCs w:val="18"/>
          <w:color w:val="auto"/>
        </w:rPr>
      </w:pPr>
    </w:p>
    <w:p>
      <w:pPr>
        <w:ind w:left="560" w:right="160" w:hanging="507"/>
        <w:spacing w:after="0" w:line="261"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products and services are highly technical and if they contain undetected errors, our business could be adversely affected and we may have to defend lawsuits or pay damages in connection with any alleged or actual failure of our products and services.</w:t>
      </w:r>
    </w:p>
    <w:p>
      <w:pPr>
        <w:spacing w:after="0" w:line="130" w:lineRule="exact"/>
        <w:rPr>
          <w:rFonts w:ascii="Arial" w:cs="Arial" w:eastAsia="Arial" w:hAnsi="Arial"/>
          <w:sz w:val="18"/>
          <w:szCs w:val="18"/>
          <w:color w:val="auto"/>
        </w:rPr>
      </w:pPr>
    </w:p>
    <w:p>
      <w:pPr>
        <w:ind w:left="560" w:hanging="507"/>
        <w:spacing w:after="0" w:line="261"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respond to rapid technological changes in the data and analytics sector, we may lose customers and/or our products and/or services may become obsolete.</w:t>
      </w:r>
    </w:p>
    <w:p>
      <w:pPr>
        <w:spacing w:after="0" w:line="130" w:lineRule="exact"/>
        <w:rPr>
          <w:rFonts w:ascii="Arial" w:cs="Arial" w:eastAsia="Arial" w:hAnsi="Arial"/>
          <w:sz w:val="18"/>
          <w:szCs w:val="18"/>
          <w:color w:val="auto"/>
        </w:rPr>
      </w:pPr>
    </w:p>
    <w:p>
      <w:pPr>
        <w:ind w:left="560" w:right="80" w:hanging="507"/>
        <w:spacing w:after="0" w:line="248"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our networks and information technology systems are critical to our success, if unauthorized persons access our systems or our systems otherwise cease to function properly, our operations could be adversely affected and we could lose revenue or proprietary information, all of which could materially adversely affect our business.</w:t>
      </w:r>
    </w:p>
    <w:p>
      <w:pPr>
        <w:spacing w:after="0" w:line="154" w:lineRule="exact"/>
        <w:rPr>
          <w:rFonts w:ascii="Arial" w:cs="Arial" w:eastAsia="Arial" w:hAnsi="Arial"/>
          <w:sz w:val="18"/>
          <w:szCs w:val="18"/>
          <w:color w:val="auto"/>
        </w:rPr>
      </w:pPr>
    </w:p>
    <w:p>
      <w:pPr>
        <w:ind w:left="560" w:right="40" w:hanging="507"/>
        <w:spacing w:after="0" w:line="248"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Data security and integrity are critically important to our business, and breaches of security, unauthorized access to or disclosure of confidential information, disruption, including distributed denial of service (“DDoS”) attacks or the perception that confidential information is not secure, could result in a material loss of business, substantial legal liability or significant harm to our reputation.</w:t>
      </w:r>
    </w:p>
    <w:p>
      <w:pPr>
        <w:spacing w:after="0" w:line="141" w:lineRule="exact"/>
        <w:rPr>
          <w:rFonts w:ascii="Arial" w:cs="Arial" w:eastAsia="Arial" w:hAnsi="Arial"/>
          <w:sz w:val="18"/>
          <w:szCs w:val="18"/>
          <w:color w:val="auto"/>
        </w:rPr>
      </w:pPr>
    </w:p>
    <w:p>
      <w:pPr>
        <w:ind w:left="560" w:right="140" w:hanging="507"/>
        <w:spacing w:after="0" w:line="261"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maintain and improve our systems, our certifications, our technology, and our interfaces with data sources and customers, demand for our services could be adversely affected.</w:t>
      </w:r>
    </w:p>
    <w:p>
      <w:pPr>
        <w:spacing w:after="0" w:line="130" w:lineRule="exact"/>
        <w:rPr>
          <w:rFonts w:ascii="Arial" w:cs="Arial" w:eastAsia="Arial" w:hAnsi="Arial"/>
          <w:sz w:val="18"/>
          <w:szCs w:val="18"/>
          <w:color w:val="auto"/>
        </w:rPr>
      </w:pPr>
    </w:p>
    <w:p>
      <w:pPr>
        <w:jc w:val="both"/>
        <w:ind w:left="560" w:right="80" w:hanging="507"/>
        <w:spacing w:after="0" w:line="248"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is subject to various governmental regulations, laws and orders, compliance with which may cause us to incur significant expenses or reduce the availability or effectiveness of our solutions, and the failure to comply with which could subject us to civil or criminal penalties or other liabilities.</w:t>
      </w:r>
    </w:p>
    <w:p>
      <w:pPr>
        <w:spacing w:after="0" w:line="154" w:lineRule="exact"/>
        <w:rPr>
          <w:rFonts w:ascii="Arial" w:cs="Arial" w:eastAsia="Arial" w:hAnsi="Arial"/>
          <w:sz w:val="18"/>
          <w:szCs w:val="18"/>
          <w:color w:val="auto"/>
        </w:rPr>
      </w:pPr>
    </w:p>
    <w:p>
      <w:pPr>
        <w:jc w:val="both"/>
        <w:ind w:left="560" w:right="200" w:hanging="507"/>
        <w:spacing w:after="0" w:line="248"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of litigation, inquiries, investigations, examinations or other legal proceedings in which we are involved, in which we may become involved, or in which our customers or competitors are involved could subject us to significant monetary damages or restrictions on our ability to do business.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34" w:name="page35"/>
    <w:bookmarkEnd w:id="34"/>
    <w:p>
      <w:pPr>
        <w:ind w:left="507" w:right="240" w:hanging="507"/>
        <w:spacing w:after="0" w:line="294" w:lineRule="auto"/>
        <w:tabs>
          <w:tab w:leader="none" w:pos="5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bylaws designate the Court of Chancery of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120" w:lineRule="exact"/>
        <w:rPr>
          <w:rFonts w:ascii="Arial" w:cs="Arial" w:eastAsia="Arial" w:hAnsi="Arial"/>
          <w:sz w:val="16"/>
          <w:szCs w:val="16"/>
          <w:color w:val="auto"/>
        </w:rPr>
      </w:pPr>
    </w:p>
    <w:p>
      <w:pPr>
        <w:ind w:left="507" w:hanging="507"/>
        <w:spacing w:after="0"/>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stock price has been and may continue to be volatile, and the value of an investment in our common stock may decline.</w:t>
      </w:r>
    </w:p>
    <w:p>
      <w:pPr>
        <w:spacing w:after="0" w:line="171" w:lineRule="exact"/>
        <w:rPr>
          <w:rFonts w:ascii="Arial" w:cs="Arial" w:eastAsia="Arial" w:hAnsi="Arial"/>
          <w:sz w:val="18"/>
          <w:szCs w:val="18"/>
          <w:color w:val="auto"/>
        </w:rPr>
      </w:pPr>
    </w:p>
    <w:p>
      <w:pPr>
        <w:ind w:left="507" w:right="120" w:hanging="507"/>
        <w:spacing w:after="0" w:line="261" w:lineRule="auto"/>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issuances of shares of our common stock in connection with acquisitions or pursuant to our stock incentive plan could have a dilutive effect on your investment.</w:t>
      </w:r>
    </w:p>
    <w:p>
      <w:pPr>
        <w:spacing w:after="0" w:line="130" w:lineRule="exact"/>
        <w:rPr>
          <w:rFonts w:ascii="Arial" w:cs="Arial" w:eastAsia="Arial" w:hAnsi="Arial"/>
          <w:sz w:val="18"/>
          <w:szCs w:val="18"/>
          <w:color w:val="auto"/>
        </w:rPr>
      </w:pPr>
    </w:p>
    <w:p>
      <w:pPr>
        <w:ind w:left="507" w:hanging="507"/>
        <w:spacing w:after="0"/>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concentration of our stock ownership may limit individual stockholder ability to influence corporate matters.</w:t>
      </w:r>
    </w:p>
    <w:p>
      <w:pPr>
        <w:spacing w:after="0" w:line="184" w:lineRule="exact"/>
        <w:rPr>
          <w:rFonts w:ascii="Arial" w:cs="Arial" w:eastAsia="Arial" w:hAnsi="Arial"/>
          <w:sz w:val="18"/>
          <w:szCs w:val="18"/>
          <w:color w:val="auto"/>
        </w:rPr>
      </w:pPr>
    </w:p>
    <w:p>
      <w:pPr>
        <w:ind w:left="507" w:right="260" w:hanging="507"/>
        <w:spacing w:after="0" w:line="261" w:lineRule="auto"/>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an “emerging growth company,” and we cannot be certain if the reduced reporting requirements available to emerging growth companies will make our shares of common stock less attractive to investors.</w:t>
      </w:r>
    </w:p>
    <w:p>
      <w:pPr>
        <w:spacing w:after="0" w:line="130" w:lineRule="exact"/>
        <w:rPr>
          <w:rFonts w:ascii="Arial" w:cs="Arial" w:eastAsia="Arial" w:hAnsi="Arial"/>
          <w:sz w:val="18"/>
          <w:szCs w:val="18"/>
          <w:color w:val="auto"/>
        </w:rPr>
      </w:pPr>
    </w:p>
    <w:p>
      <w:pPr>
        <w:ind w:left="507" w:right="60" w:hanging="507"/>
        <w:spacing w:after="0" w:line="248" w:lineRule="auto"/>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expect that we may need additional capital in the future; however, such capital may not be available to us on reasonable terms, if at all, when or as we require additional funding. If we issue additional shares of our common stock or other securities that may be convertible into, or exercisable or exchangeable for, our common stock, our existing stockholders would experience further dilution.</w:t>
      </w:r>
    </w:p>
    <w:p>
      <w:pPr>
        <w:spacing w:after="0" w:line="141" w:lineRule="exact"/>
        <w:rPr>
          <w:rFonts w:ascii="Arial" w:cs="Arial" w:eastAsia="Arial" w:hAnsi="Arial"/>
          <w:sz w:val="18"/>
          <w:szCs w:val="18"/>
          <w:color w:val="auto"/>
        </w:rPr>
      </w:pPr>
    </w:p>
    <w:p>
      <w:pPr>
        <w:ind w:left="507" w:hanging="507"/>
        <w:spacing w:after="0"/>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history of losses which makes our future results uncertain.</w:t>
      </w:r>
    </w:p>
    <w:p>
      <w:pPr>
        <w:spacing w:after="0" w:line="184" w:lineRule="exact"/>
        <w:rPr>
          <w:rFonts w:ascii="Arial" w:cs="Arial" w:eastAsia="Arial" w:hAnsi="Arial"/>
          <w:sz w:val="18"/>
          <w:szCs w:val="18"/>
          <w:color w:val="auto"/>
        </w:rPr>
      </w:pPr>
    </w:p>
    <w:p>
      <w:pPr>
        <w:ind w:left="507" w:right="160" w:hanging="507"/>
        <w:spacing w:after="0" w:line="261" w:lineRule="auto"/>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depend, in part, on strategic alliances, joint ventures and acquisitions to grow our business. If we are unable to make strategic acquisitions and develop and maintain these strategic alliances and joint ventures, our growth may be adversely affected.</w:t>
      </w:r>
    </w:p>
    <w:p>
      <w:pPr>
        <w:spacing w:after="0" w:line="130" w:lineRule="exact"/>
        <w:rPr>
          <w:rFonts w:ascii="Arial" w:cs="Arial" w:eastAsia="Arial" w:hAnsi="Arial"/>
          <w:sz w:val="18"/>
          <w:szCs w:val="18"/>
          <w:color w:val="auto"/>
        </w:rPr>
      </w:pPr>
    </w:p>
    <w:p>
      <w:pPr>
        <w:ind w:left="507" w:hanging="507"/>
        <w:spacing w:after="0"/>
        <w:tabs>
          <w:tab w:leader="none" w:pos="5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consummate any future acquisitions, we will be subject to the risks inherent in identifying, acquiring and operating a newly acquired business.</w:t>
      </w:r>
    </w:p>
    <w:p>
      <w:pPr>
        <w:spacing w:after="0" w:line="194" w:lineRule="exact"/>
        <w:rPr>
          <w:rFonts w:ascii="Arial" w:cs="Arial" w:eastAsia="Arial" w:hAnsi="Arial"/>
          <w:sz w:val="16"/>
          <w:szCs w:val="16"/>
          <w:color w:val="auto"/>
        </w:rPr>
      </w:pPr>
    </w:p>
    <w:p>
      <w:pPr>
        <w:ind w:left="507" w:hanging="507"/>
        <w:spacing w:after="0"/>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relationships with key customers may be materially diminished or terminated.</w:t>
      </w:r>
    </w:p>
    <w:p>
      <w:pPr>
        <w:spacing w:after="0" w:line="184" w:lineRule="exact"/>
        <w:rPr>
          <w:rFonts w:ascii="Arial" w:cs="Arial" w:eastAsia="Arial" w:hAnsi="Arial"/>
          <w:sz w:val="18"/>
          <w:szCs w:val="18"/>
          <w:color w:val="auto"/>
        </w:rPr>
      </w:pPr>
    </w:p>
    <w:p>
      <w:pPr>
        <w:ind w:left="507" w:hanging="507"/>
        <w:spacing w:after="0"/>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lose the services of key personnel, it could adversely affect our business.</w:t>
      </w:r>
    </w:p>
    <w:p>
      <w:pPr>
        <w:spacing w:after="0" w:line="171" w:lineRule="exact"/>
        <w:rPr>
          <w:rFonts w:ascii="Arial" w:cs="Arial" w:eastAsia="Arial" w:hAnsi="Arial"/>
          <w:sz w:val="18"/>
          <w:szCs w:val="18"/>
          <w:color w:val="auto"/>
        </w:rPr>
      </w:pPr>
    </w:p>
    <w:p>
      <w:pPr>
        <w:ind w:left="507" w:right="820" w:hanging="507"/>
        <w:spacing w:after="0" w:line="261" w:lineRule="auto"/>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revenue is concentrated in the U.S. market across a broad range of industries. When these industries or the broader financial markets experience a downturn, demand for our services and revenue may be adversely affected.</w:t>
      </w:r>
    </w:p>
    <w:p>
      <w:pPr>
        <w:spacing w:after="0" w:line="130" w:lineRule="exact"/>
        <w:rPr>
          <w:rFonts w:ascii="Arial" w:cs="Arial" w:eastAsia="Arial" w:hAnsi="Arial"/>
          <w:sz w:val="18"/>
          <w:szCs w:val="18"/>
          <w:color w:val="auto"/>
        </w:rPr>
      </w:pPr>
    </w:p>
    <w:p>
      <w:pPr>
        <w:ind w:left="507" w:hanging="507"/>
        <w:spacing w:after="0"/>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lose our access to data sources which could prevent us from providing our services.</w:t>
      </w:r>
    </w:p>
    <w:p>
      <w:pPr>
        <w:spacing w:after="0" w:line="184" w:lineRule="exact"/>
        <w:rPr>
          <w:rFonts w:ascii="Arial" w:cs="Arial" w:eastAsia="Arial" w:hAnsi="Arial"/>
          <w:sz w:val="18"/>
          <w:szCs w:val="18"/>
          <w:color w:val="auto"/>
        </w:rPr>
      </w:pPr>
    </w:p>
    <w:p>
      <w:pPr>
        <w:ind w:left="507" w:hanging="507"/>
        <w:spacing w:after="0"/>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adequately protect our intellectual property in order to prevent loss of valuable proprietary information.</w:t>
      </w:r>
    </w:p>
    <w:p>
      <w:pPr>
        <w:spacing w:after="0" w:line="171" w:lineRule="exact"/>
        <w:rPr>
          <w:rFonts w:ascii="Arial" w:cs="Arial" w:eastAsia="Arial" w:hAnsi="Arial"/>
          <w:sz w:val="18"/>
          <w:szCs w:val="18"/>
          <w:color w:val="auto"/>
        </w:rPr>
      </w:pPr>
    </w:p>
    <w:p>
      <w:pPr>
        <w:ind w:left="507" w:hanging="507"/>
        <w:spacing w:after="0"/>
        <w:tabs>
          <w:tab w:leader="none" w:pos="507"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face intense competition from both start-up and established companies that may have significant advantages over us and our products.</w:t>
      </w:r>
    </w:p>
    <w:p>
      <w:pPr>
        <w:spacing w:after="0" w:line="182" w:lineRule="exact"/>
        <w:rPr>
          <w:rFonts w:ascii="Arial" w:cs="Arial" w:eastAsia="Arial" w:hAnsi="Arial"/>
          <w:sz w:val="17"/>
          <w:szCs w:val="17"/>
          <w:color w:val="auto"/>
        </w:rPr>
      </w:pPr>
    </w:p>
    <w:p>
      <w:pPr>
        <w:ind w:left="507" w:hanging="507"/>
        <w:spacing w:after="0"/>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may be further consolidation in our end-customer markets, which may adversely affect our revenue.</w:t>
      </w:r>
    </w:p>
    <w:p>
      <w:pPr>
        <w:spacing w:after="0" w:line="184" w:lineRule="exact"/>
        <w:rPr>
          <w:rFonts w:ascii="Arial" w:cs="Arial" w:eastAsia="Arial" w:hAnsi="Arial"/>
          <w:sz w:val="18"/>
          <w:szCs w:val="18"/>
          <w:color w:val="auto"/>
        </w:rPr>
      </w:pPr>
    </w:p>
    <w:p>
      <w:pPr>
        <w:ind w:left="507" w:right="60" w:hanging="507"/>
        <w:spacing w:after="0" w:line="261" w:lineRule="auto"/>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the availability of free or relatively inexpensive consumer and/or business information increases, the demand for some of our services may decrease.</w:t>
      </w:r>
    </w:p>
    <w:p>
      <w:pPr>
        <w:spacing w:after="0" w:line="130" w:lineRule="exact"/>
        <w:rPr>
          <w:rFonts w:ascii="Arial" w:cs="Arial" w:eastAsia="Arial" w:hAnsi="Arial"/>
          <w:sz w:val="18"/>
          <w:szCs w:val="18"/>
          <w:color w:val="auto"/>
        </w:rPr>
      </w:pPr>
    </w:p>
    <w:p>
      <w:pPr>
        <w:ind w:left="507" w:hanging="507"/>
        <w:spacing w:after="0"/>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newer products do not achieve market acceptance, revenue growth may suffer.</w:t>
      </w:r>
    </w:p>
    <w:p>
      <w:pPr>
        <w:spacing w:after="0" w:line="171" w:lineRule="exact"/>
        <w:rPr>
          <w:rFonts w:ascii="Arial" w:cs="Arial" w:eastAsia="Arial" w:hAnsi="Arial"/>
          <w:sz w:val="18"/>
          <w:szCs w:val="18"/>
          <w:color w:val="auto"/>
        </w:rPr>
      </w:pPr>
    </w:p>
    <w:p>
      <w:pPr>
        <w:ind w:left="507" w:right="100" w:hanging="507"/>
        <w:spacing w:after="0" w:line="261" w:lineRule="auto"/>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products and services can have long sales and implementation cycles, which may result in substantial expenses before realizing any associated revenue.</w:t>
      </w:r>
    </w:p>
    <w:p>
      <w:pPr>
        <w:spacing w:after="0" w:line="143" w:lineRule="exact"/>
        <w:rPr>
          <w:rFonts w:ascii="Arial" w:cs="Arial" w:eastAsia="Arial" w:hAnsi="Arial"/>
          <w:sz w:val="18"/>
          <w:szCs w:val="18"/>
          <w:color w:val="auto"/>
        </w:rPr>
      </w:pPr>
    </w:p>
    <w:p>
      <w:pPr>
        <w:ind w:left="507" w:right="120" w:hanging="507"/>
        <w:spacing w:after="0" w:line="261" w:lineRule="auto"/>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our outside service providers and key vendors are not able to or do not fulfill their service obligations, our operations could be disrupted and our operating results could be harmed.</w:t>
      </w:r>
    </w:p>
    <w:p>
      <w:pPr>
        <w:spacing w:after="0" w:line="130" w:lineRule="exact"/>
        <w:rPr>
          <w:rFonts w:ascii="Arial" w:cs="Arial" w:eastAsia="Arial" w:hAnsi="Arial"/>
          <w:sz w:val="18"/>
          <w:szCs w:val="18"/>
          <w:color w:val="auto"/>
        </w:rPr>
      </w:pPr>
    </w:p>
    <w:p>
      <w:pPr>
        <w:ind w:left="507" w:hanging="507"/>
        <w:spacing w:after="0"/>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Consolidation in the data and analytics sector may limit market acceptance of our products and services.</w:t>
      </w:r>
    </w:p>
    <w:p>
      <w:pPr>
        <w:spacing w:after="0" w:line="171" w:lineRule="exact"/>
        <w:rPr>
          <w:rFonts w:ascii="Arial" w:cs="Arial" w:eastAsia="Arial" w:hAnsi="Arial"/>
          <w:sz w:val="18"/>
          <w:szCs w:val="18"/>
          <w:color w:val="auto"/>
        </w:rPr>
      </w:pPr>
    </w:p>
    <w:p>
      <w:pPr>
        <w:ind w:left="507" w:hanging="507"/>
        <w:spacing w:after="0"/>
        <w:tabs>
          <w:tab w:leader="none" w:pos="5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incur substantial expenses defending against claims of infringement.</w:t>
      </w:r>
    </w:p>
    <w:p>
      <w:pPr>
        <w:spacing w:after="0" w:line="212"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190500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7"/>
          </w:cols>
          <w:pgMar w:left="373" w:top="70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include information otherwise required by this item.</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Our Consolidated Financial Statements and the Notes thereto, together with the report thereon of our independent registered public accounting firm are filed as part of this report, beginning on page F-1.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December 31, 2021.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49"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December 31,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jc w:val="both"/>
        <w:ind w:right="120"/>
        <w:spacing w:after="0" w:line="26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for the Company. Management, under the supervision of and with the participation of the Company’s Chief Executive Officer and Chief Financial Officer, conducted an assessment of the effectiveness of the Company’s internal control over financial reporting based on the criteria set forth by the Committee of Sponsoring Organizations (COSO) of the Treadway Commission in Internal Control-Integrated Framework (2013).</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Management concluded that the Company’s internal control over financial reporting (as defined in Rules 13a-15(f) and 15d-15(f) of the Exchange Act) was effective as of December 31, 2021, based on criteria in Internal Control-Integrated Framework (2013) issued by the COSO.</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last fiscal quarter of 2021 that materially affected, or are reasonably likely to materially affect, our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1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02" w:right="1440" w:bottom="1440" w:gutter="0" w:footer="0" w:header="0"/>
        </w:sectPr>
      </w:pPr>
    </w:p>
    <w:bookmarkStart w:id="37" w:name="page38"/>
    <w:bookmarkEnd w:id="37"/>
    <w:p>
      <w:pPr>
        <w:jc w:val="center"/>
        <w:ind w:right="-339"/>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to be filed with the SEC within 120 days of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to be filed with the SEC within 120 days of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to be filed with the SEC within 120 days of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to be filed with the SEC within 120 days of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to be filed with the SEC within 120 days of December 31,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850" w:right="6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List of documents filed as part of this report:</w:t>
      </w:r>
    </w:p>
    <w:p>
      <w:pPr>
        <w:spacing w:after="0" w:line="18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Statements: The information required by this item is contained in Item 8 of this 2021 Form 10-K.</w:t>
      </w:r>
    </w:p>
    <w:p>
      <w:pPr>
        <w:spacing w:after="0" w:line="171" w:lineRule="exact"/>
        <w:rPr>
          <w:rFonts w:ascii="Arial" w:cs="Arial" w:eastAsia="Arial" w:hAnsi="Arial"/>
          <w:sz w:val="18"/>
          <w:szCs w:val="18"/>
          <w:color w:val="auto"/>
        </w:rPr>
      </w:pPr>
    </w:p>
    <w:p>
      <w:pPr>
        <w:ind w:right="380" w:firstLine="8"/>
        <w:spacing w:after="0" w:line="261"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Statement Schedules: The information required by this item is included in the consolidated financial statements contained in Item 8 of this 2021 Form 10-K.</w:t>
      </w:r>
    </w:p>
    <w:p>
      <w:pPr>
        <w:spacing w:after="0" w:line="130" w:lineRule="exact"/>
        <w:rPr>
          <w:rFonts w:ascii="Arial" w:cs="Arial" w:eastAsia="Arial" w:hAnsi="Arial"/>
          <w:sz w:val="18"/>
          <w:szCs w:val="18"/>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 The following exhibits are filed as part of, or incorporated by reference into, this 2021 Form 10-K.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rPr>
              <w:t>Incorporated by Reference</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Filed</w:t>
            </w:r>
          </w:p>
        </w:tc>
        <w:tc>
          <w:tcPr>
            <w:tcW w:w="0" w:type="dxa"/>
            <w:vAlign w:val="bottom"/>
          </w:tcPr>
          <w:p>
            <w:pPr>
              <w:spacing w:after="0"/>
              <w:rPr>
                <w:sz w:val="1"/>
                <w:szCs w:val="1"/>
                <w:color w:val="auto"/>
              </w:rPr>
            </w:pPr>
          </w:p>
        </w:tc>
      </w:tr>
      <w:tr>
        <w:trPr>
          <w:trHeight w:val="135"/>
        </w:trPr>
        <w:tc>
          <w:tcPr>
            <w:tcW w:w="86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Exhibit No.</w:t>
            </w:r>
          </w:p>
        </w:tc>
        <w:tc>
          <w:tcPr>
            <w:tcW w:w="140" w:type="dxa"/>
            <w:vAlign w:val="bottom"/>
          </w:tcPr>
          <w:p>
            <w:pPr>
              <w:spacing w:after="0"/>
              <w:rPr>
                <w:sz w:val="11"/>
                <w:szCs w:val="11"/>
                <w:color w:val="auto"/>
              </w:rPr>
            </w:pPr>
          </w:p>
        </w:tc>
        <w:tc>
          <w:tcPr>
            <w:tcW w:w="4880" w:type="dxa"/>
            <w:vAlign w:val="bottom"/>
            <w:gridSpan w:val="41"/>
          </w:tcPr>
          <w:p>
            <w:pPr>
              <w:spacing w:after="0" w:line="133" w:lineRule="exact"/>
              <w:rPr>
                <w:sz w:val="20"/>
                <w:szCs w:val="20"/>
                <w:color w:val="auto"/>
              </w:rPr>
            </w:pPr>
            <w:r>
              <w:rPr>
                <w:rFonts w:ascii="Arial" w:cs="Arial" w:eastAsia="Arial" w:hAnsi="Arial"/>
                <w:sz w:val="13"/>
                <w:szCs w:val="13"/>
                <w:b w:val="1"/>
                <w:bCs w:val="1"/>
                <w:color w:val="auto"/>
              </w:rPr>
              <w:t>Exhibit Description</w:t>
            </w:r>
          </w:p>
        </w:tc>
        <w:tc>
          <w:tcPr>
            <w:tcW w:w="980" w:type="dxa"/>
            <w:vAlign w:val="bottom"/>
          </w:tcPr>
          <w:p>
            <w:pPr>
              <w:ind w:left="340"/>
              <w:spacing w:after="0" w:line="135" w:lineRule="exact"/>
              <w:rPr>
                <w:sz w:val="20"/>
                <w:szCs w:val="20"/>
                <w:color w:val="auto"/>
              </w:rPr>
            </w:pPr>
            <w:r>
              <w:rPr>
                <w:rFonts w:ascii="Arial" w:cs="Arial" w:eastAsia="Arial" w:hAnsi="Arial"/>
                <w:sz w:val="13"/>
                <w:szCs w:val="13"/>
                <w:b w:val="1"/>
                <w:bCs w:val="1"/>
                <w:color w:val="auto"/>
              </w:rPr>
              <w:t>Form</w:t>
            </w:r>
          </w:p>
        </w:tc>
        <w:tc>
          <w:tcPr>
            <w:tcW w:w="140" w:type="dxa"/>
            <w:vAlign w:val="bottom"/>
          </w:tcPr>
          <w:p>
            <w:pPr>
              <w:spacing w:after="0"/>
              <w:rPr>
                <w:sz w:val="11"/>
                <w:szCs w:val="11"/>
                <w:color w:val="auto"/>
              </w:rPr>
            </w:pPr>
          </w:p>
        </w:tc>
        <w:tc>
          <w:tcPr>
            <w:tcW w:w="1020" w:type="dxa"/>
            <w:vAlign w:val="bottom"/>
          </w:tcPr>
          <w:p>
            <w:pPr>
              <w:jc w:val="right"/>
              <w:ind w:right="234"/>
              <w:spacing w:after="0" w:line="135" w:lineRule="exact"/>
              <w:rPr>
                <w:sz w:val="20"/>
                <w:szCs w:val="20"/>
                <w:color w:val="auto"/>
              </w:rPr>
            </w:pPr>
            <w:r>
              <w:rPr>
                <w:rFonts w:ascii="Arial" w:cs="Arial" w:eastAsia="Arial" w:hAnsi="Arial"/>
                <w:sz w:val="13"/>
                <w:szCs w:val="13"/>
                <w:b w:val="1"/>
                <w:bCs w:val="1"/>
                <w:color w:val="auto"/>
              </w:rPr>
              <w:t>File No.</w:t>
            </w:r>
          </w:p>
        </w:tc>
        <w:tc>
          <w:tcPr>
            <w:tcW w:w="140" w:type="dxa"/>
            <w:vAlign w:val="bottom"/>
          </w:tcPr>
          <w:p>
            <w:pPr>
              <w:spacing w:after="0"/>
              <w:rPr>
                <w:sz w:val="11"/>
                <w:szCs w:val="11"/>
                <w:color w:val="auto"/>
              </w:rPr>
            </w:pPr>
          </w:p>
        </w:tc>
        <w:tc>
          <w:tcPr>
            <w:tcW w:w="980" w:type="dxa"/>
            <w:vAlign w:val="bottom"/>
          </w:tcPr>
          <w:p>
            <w:pPr>
              <w:ind w:left="280"/>
              <w:spacing w:after="0" w:line="135" w:lineRule="exact"/>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1"/>
                <w:szCs w:val="11"/>
                <w:color w:val="auto"/>
              </w:rPr>
            </w:pPr>
          </w:p>
        </w:tc>
        <w:tc>
          <w:tcPr>
            <w:tcW w:w="1220" w:type="dxa"/>
            <w:vAlign w:val="bottom"/>
          </w:tcPr>
          <w:p>
            <w:pPr>
              <w:ind w:left="320"/>
              <w:spacing w:after="0" w:line="135" w:lineRule="exact"/>
              <w:rPr>
                <w:sz w:val="20"/>
                <w:szCs w:val="20"/>
                <w:color w:val="auto"/>
              </w:rPr>
            </w:pPr>
            <w:r>
              <w:rPr>
                <w:rFonts w:ascii="Arial" w:cs="Arial" w:eastAsia="Arial" w:hAnsi="Arial"/>
                <w:sz w:val="13"/>
                <w:szCs w:val="13"/>
                <w:b w:val="1"/>
                <w:bCs w:val="1"/>
                <w:color w:val="auto"/>
              </w:rPr>
              <w:t>Filing Date</w:t>
            </w:r>
          </w:p>
        </w:tc>
        <w:tc>
          <w:tcPr>
            <w:tcW w:w="12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0"/>
              </w:rPr>
              <w:t>Herewith</w:t>
            </w:r>
          </w:p>
        </w:tc>
        <w:tc>
          <w:tcPr>
            <w:tcW w:w="0" w:type="dxa"/>
            <w:vAlign w:val="bottom"/>
          </w:tcPr>
          <w:p>
            <w:pPr>
              <w:spacing w:after="0"/>
              <w:rPr>
                <w:sz w:val="1"/>
                <w:szCs w:val="1"/>
                <w:color w:val="auto"/>
              </w:rPr>
            </w:pPr>
          </w:p>
        </w:tc>
      </w:tr>
      <w:tr>
        <w:trPr>
          <w:trHeight w:val="129"/>
        </w:trPr>
        <w:tc>
          <w:tcPr>
            <w:tcW w:w="8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1"/>
                <w:szCs w:val="11"/>
                <w:color w:val="auto"/>
              </w:rPr>
            </w:pPr>
          </w:p>
        </w:tc>
        <w:tc>
          <w:tcPr>
            <w:tcW w:w="4760" w:type="dxa"/>
            <w:vAlign w:val="bottom"/>
            <w:tcBorders>
              <w:top w:val="single" w:sz="8" w:color="auto"/>
            </w:tcBorders>
            <w:gridSpan w:val="40"/>
          </w:tcPr>
          <w:p>
            <w:pPr>
              <w:spacing w:after="0" w:line="129" w:lineRule="exact"/>
              <w:rPr>
                <w:rFonts w:ascii="Arial" w:cs="Arial" w:eastAsia="Arial" w:hAnsi="Arial"/>
                <w:sz w:val="14"/>
                <w:szCs w:val="14"/>
                <w:color w:val="0000FF"/>
                <w:w w:val="99"/>
              </w:rPr>
            </w:pPr>
            <w:hyperlink r:id="rId208">
              <w:r>
                <w:rPr>
                  <w:rFonts w:ascii="Arial" w:cs="Arial" w:eastAsia="Arial" w:hAnsi="Arial"/>
                  <w:sz w:val="14"/>
                  <w:szCs w:val="14"/>
                  <w:color w:val="0000FF"/>
                  <w:w w:val="99"/>
                </w:rPr>
                <w:t>Separation and Distribution Agreement by and between Cogint, Inc. and Red</w:t>
              </w:r>
            </w:hyperlink>
          </w:p>
        </w:tc>
        <w:tc>
          <w:tcPr>
            <w:tcW w:w="120" w:type="dxa"/>
            <w:vAlign w:val="bottom"/>
          </w:tcPr>
          <w:p>
            <w:pPr>
              <w:spacing w:after="0"/>
              <w:rPr>
                <w:sz w:val="11"/>
                <w:szCs w:val="11"/>
                <w:color w:val="auto"/>
              </w:rPr>
            </w:pPr>
          </w:p>
        </w:tc>
        <w:tc>
          <w:tcPr>
            <w:tcW w:w="98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color w:val="auto"/>
              </w:rPr>
              <w:t>Form 10</w:t>
            </w:r>
          </w:p>
        </w:tc>
        <w:tc>
          <w:tcPr>
            <w:tcW w:w="140" w:type="dxa"/>
            <w:vAlign w:val="bottom"/>
          </w:tcPr>
          <w:p>
            <w:pPr>
              <w:spacing w:after="0"/>
              <w:rPr>
                <w:sz w:val="11"/>
                <w:szCs w:val="11"/>
                <w:color w:val="auto"/>
              </w:rPr>
            </w:pPr>
          </w:p>
        </w:tc>
        <w:tc>
          <w:tcPr>
            <w:tcW w:w="1020" w:type="dxa"/>
            <w:vAlign w:val="bottom"/>
            <w:tcBorders>
              <w:top w:val="single" w:sz="8" w:color="auto"/>
            </w:tcBorders>
          </w:tcPr>
          <w:p>
            <w:pPr>
              <w:jc w:val="right"/>
              <w:ind w:right="314"/>
              <w:spacing w:after="0" w:line="129" w:lineRule="exact"/>
              <w:rPr>
                <w:sz w:val="20"/>
                <w:szCs w:val="20"/>
                <w:color w:val="auto"/>
              </w:rPr>
            </w:pPr>
            <w:r>
              <w:rPr>
                <w:rFonts w:ascii="Arial" w:cs="Arial" w:eastAsia="Arial" w:hAnsi="Arial"/>
                <w:sz w:val="14"/>
                <w:szCs w:val="14"/>
                <w:color w:val="auto"/>
                <w:w w:val="92"/>
              </w:rPr>
              <w:t>001-38407</w:t>
            </w:r>
          </w:p>
        </w:tc>
        <w:tc>
          <w:tcPr>
            <w:tcW w:w="140" w:type="dxa"/>
            <w:vAlign w:val="bottom"/>
          </w:tcPr>
          <w:p>
            <w:pPr>
              <w:spacing w:after="0"/>
              <w:rPr>
                <w:sz w:val="11"/>
                <w:szCs w:val="11"/>
                <w:color w:val="auto"/>
              </w:rPr>
            </w:pPr>
          </w:p>
        </w:tc>
        <w:tc>
          <w:tcPr>
            <w:tcW w:w="98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1"/>
                <w:szCs w:val="11"/>
                <w:color w:val="auto"/>
              </w:rPr>
            </w:pPr>
          </w:p>
        </w:tc>
        <w:tc>
          <w:tcPr>
            <w:tcW w:w="122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rPr>
              <w:t>February 28, 2018</w:t>
            </w: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w w:val="92"/>
              </w:rPr>
            </w:pPr>
            <w:hyperlink r:id="rId208">
              <w:r>
                <w:rPr>
                  <w:rFonts w:ascii="Arial" w:cs="Arial" w:eastAsia="Arial" w:hAnsi="Arial"/>
                  <w:sz w:val="14"/>
                  <w:szCs w:val="14"/>
                  <w:color w:val="0000FF"/>
                  <w:w w:val="92"/>
                </w:rPr>
                <w:t>Violet, Inc., dated February 27, 2018.</w:t>
              </w:r>
            </w:hyperlink>
          </w:p>
        </w:tc>
        <w:tc>
          <w:tcPr>
            <w:tcW w:w="2320" w:type="dxa"/>
            <w:vAlign w:val="bottom"/>
            <w:tcBorders>
              <w:top w:val="single" w:sz="8" w:color="0000FF"/>
            </w:tcBorders>
            <w:gridSpan w:val="17"/>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60" w:type="dxa"/>
            <w:vAlign w:val="bottom"/>
          </w:tcPr>
          <w:p>
            <w:pPr>
              <w:ind w:left="20"/>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20"/>
                <w:szCs w:val="20"/>
                <w:color w:val="auto"/>
              </w:rPr>
            </w:pPr>
          </w:p>
        </w:tc>
        <w:tc>
          <w:tcPr>
            <w:tcW w:w="4880" w:type="dxa"/>
            <w:vAlign w:val="bottom"/>
            <w:gridSpan w:val="41"/>
          </w:tcPr>
          <w:p>
            <w:pPr>
              <w:spacing w:after="0"/>
              <w:rPr>
                <w:rFonts w:ascii="Arial" w:cs="Arial" w:eastAsia="Arial" w:hAnsi="Arial"/>
                <w:sz w:val="14"/>
                <w:szCs w:val="14"/>
                <w:color w:val="0000FF"/>
              </w:rPr>
            </w:pPr>
            <w:hyperlink r:id="rId209">
              <w:r>
                <w:rPr>
                  <w:rFonts w:ascii="Arial" w:cs="Arial" w:eastAsia="Arial" w:hAnsi="Arial"/>
                  <w:sz w:val="14"/>
                  <w:szCs w:val="14"/>
                  <w:color w:val="0000FF"/>
                </w:rPr>
                <w:t>Amended and Restated Certificate of Incorporation of Red Violet, Inc.</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8-K</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March 27, 2018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23"/>
          </w:tcPr>
          <w:p>
            <w:pPr>
              <w:spacing w:after="0"/>
              <w:rPr>
                <w:rFonts w:ascii="Arial" w:cs="Arial" w:eastAsia="Arial" w:hAnsi="Arial"/>
                <w:sz w:val="14"/>
                <w:szCs w:val="14"/>
                <w:color w:val="0000FF"/>
                <w:w w:val="93"/>
              </w:rPr>
            </w:pPr>
            <w:hyperlink r:id="rId210">
              <w:r>
                <w:rPr>
                  <w:rFonts w:ascii="Arial" w:cs="Arial" w:eastAsia="Arial" w:hAnsi="Arial"/>
                  <w:sz w:val="14"/>
                  <w:szCs w:val="14"/>
                  <w:color w:val="0000FF"/>
                  <w:w w:val="93"/>
                </w:rPr>
                <w:t>Amended and Restated Bylaws of Red Violet, Inc.</w:t>
              </w:r>
            </w:hyperlink>
          </w:p>
        </w:tc>
        <w:tc>
          <w:tcPr>
            <w:tcW w:w="1140" w:type="dxa"/>
            <w:vAlign w:val="bottom"/>
            <w:tcBorders>
              <w:top w:val="single" w:sz="8" w:color="0000FF"/>
            </w:tcBorders>
            <w:gridSpan w:val="4"/>
          </w:tcPr>
          <w:p>
            <w:pPr>
              <w:spacing w:after="0"/>
              <w:rPr>
                <w:sz w:val="15"/>
                <w:szCs w:val="15"/>
                <w:color w:val="auto"/>
              </w:rPr>
            </w:pPr>
          </w:p>
        </w:tc>
        <w:tc>
          <w:tcPr>
            <w:tcW w:w="820" w:type="dxa"/>
            <w:vAlign w:val="bottom"/>
            <w:gridSpan w:val="14"/>
          </w:tcPr>
          <w:p>
            <w:pPr>
              <w:spacing w:after="0"/>
              <w:rPr>
                <w:sz w:val="15"/>
                <w:szCs w:val="15"/>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8-K</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March 27, 2018</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5"/>
                <w:szCs w:val="15"/>
                <w:color w:val="auto"/>
              </w:rPr>
            </w:pPr>
          </w:p>
        </w:tc>
        <w:tc>
          <w:tcPr>
            <w:tcW w:w="4880" w:type="dxa"/>
            <w:vAlign w:val="bottom"/>
            <w:gridSpan w:val="41"/>
          </w:tcPr>
          <w:p>
            <w:pPr>
              <w:spacing w:after="0"/>
              <w:rPr>
                <w:rFonts w:ascii="Arial" w:cs="Arial" w:eastAsia="Arial" w:hAnsi="Arial"/>
                <w:sz w:val="14"/>
                <w:szCs w:val="14"/>
                <w:color w:val="0000FF"/>
              </w:rPr>
            </w:pPr>
            <w:hyperlink r:id="rId211">
              <w:r>
                <w:rPr>
                  <w:rFonts w:ascii="Arial" w:cs="Arial" w:eastAsia="Arial" w:hAnsi="Arial"/>
                  <w:sz w:val="14"/>
                  <w:szCs w:val="14"/>
                  <w:color w:val="0000FF"/>
                </w:rPr>
                <w:t>Description of Registrant's Securities.</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10-K</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March 12, 2020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60" w:type="dxa"/>
            <w:vAlign w:val="bottom"/>
          </w:tcPr>
          <w:p>
            <w:pPr>
              <w:ind w:left="20"/>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15"/>
                <w:szCs w:val="15"/>
                <w:color w:val="auto"/>
              </w:rPr>
            </w:pPr>
          </w:p>
        </w:tc>
        <w:tc>
          <w:tcPr>
            <w:tcW w:w="4880" w:type="dxa"/>
            <w:vAlign w:val="bottom"/>
            <w:gridSpan w:val="41"/>
          </w:tcPr>
          <w:p>
            <w:pPr>
              <w:spacing w:after="0"/>
              <w:rPr>
                <w:rFonts w:ascii="Arial" w:cs="Arial" w:eastAsia="Arial" w:hAnsi="Arial"/>
                <w:sz w:val="14"/>
                <w:szCs w:val="14"/>
                <w:color w:val="0000FF"/>
                <w:w w:val="99"/>
              </w:rPr>
            </w:pPr>
            <w:hyperlink r:id="rId212">
              <w:r>
                <w:rPr>
                  <w:rFonts w:ascii="Arial" w:cs="Arial" w:eastAsia="Arial" w:hAnsi="Arial"/>
                  <w:sz w:val="14"/>
                  <w:szCs w:val="14"/>
                  <w:color w:val="0000FF"/>
                  <w:w w:val="99"/>
                </w:rPr>
                <w:t>Form of Restricted Stock Unit Agreement Pursuant to the Red Violet, Inc. 2018</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Form 10</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February 28, 2018</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w w:val="93"/>
              </w:rPr>
            </w:pPr>
            <w:hyperlink r:id="rId212">
              <w:r>
                <w:rPr>
                  <w:rFonts w:ascii="Arial" w:cs="Arial" w:eastAsia="Arial" w:hAnsi="Arial"/>
                  <w:sz w:val="14"/>
                  <w:szCs w:val="14"/>
                  <w:color w:val="0000FF"/>
                  <w:w w:val="93"/>
                </w:rPr>
                <w:t>Stock Incentive Plan.</w:t>
              </w:r>
            </w:hyperlink>
          </w:p>
        </w:tc>
        <w:tc>
          <w:tcPr>
            <w:tcW w:w="40" w:type="dxa"/>
            <w:vAlign w:val="bottom"/>
            <w:tcBorders>
              <w:top w:val="single" w:sz="8" w:color="0000FF"/>
              <w:bottom w:val="single" w:sz="8" w:color="0000EE"/>
            </w:tcBorders>
            <w:gridSpan w:val="2"/>
          </w:tcPr>
          <w:p>
            <w:pPr>
              <w:spacing w:after="0"/>
              <w:rPr>
                <w:sz w:val="11"/>
                <w:szCs w:val="11"/>
                <w:color w:val="auto"/>
              </w:rPr>
            </w:pPr>
          </w:p>
        </w:tc>
        <w:tc>
          <w:tcPr>
            <w:tcW w:w="3340" w:type="dxa"/>
            <w:vAlign w:val="bottom"/>
            <w:tcBorders>
              <w:top w:val="single" w:sz="8" w:color="0000FF"/>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860" w:type="dxa"/>
            <w:vAlign w:val="bottom"/>
          </w:tcPr>
          <w:p>
            <w:pPr>
              <w:ind w:left="20"/>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20"/>
                <w:szCs w:val="20"/>
                <w:color w:val="auto"/>
              </w:rPr>
            </w:pPr>
          </w:p>
        </w:tc>
        <w:tc>
          <w:tcPr>
            <w:tcW w:w="4880" w:type="dxa"/>
            <w:vAlign w:val="bottom"/>
            <w:gridSpan w:val="41"/>
          </w:tcPr>
          <w:p>
            <w:pPr>
              <w:spacing w:after="0"/>
              <w:rPr>
                <w:rFonts w:ascii="Arial" w:cs="Arial" w:eastAsia="Arial" w:hAnsi="Arial"/>
                <w:sz w:val="14"/>
                <w:szCs w:val="14"/>
                <w:color w:val="0000FF"/>
                <w:w w:val="97"/>
              </w:rPr>
            </w:pPr>
            <w:hyperlink r:id="rId213">
              <w:r>
                <w:rPr>
                  <w:rFonts w:ascii="Arial" w:cs="Arial" w:eastAsia="Arial" w:hAnsi="Arial"/>
                  <w:sz w:val="14"/>
                  <w:szCs w:val="14"/>
                  <w:color w:val="0000FF"/>
                  <w:w w:val="97"/>
                </w:rPr>
                <w:t>Employment Agreement, dated March 26, 2018, by and between Red Violet and</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8-K</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March 27, 2018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11"/>
                <w:szCs w:val="11"/>
                <w:color w:val="auto"/>
              </w:rPr>
            </w:pPr>
          </w:p>
        </w:tc>
        <w:tc>
          <w:tcPr>
            <w:tcW w:w="86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2"/>
              </w:rPr>
            </w:pPr>
            <w:hyperlink r:id="rId213">
              <w:r>
                <w:rPr>
                  <w:rFonts w:ascii="Arial" w:cs="Arial" w:eastAsia="Arial" w:hAnsi="Arial"/>
                  <w:sz w:val="14"/>
                  <w:szCs w:val="14"/>
                  <w:color w:val="0000FF"/>
                  <w:w w:val="92"/>
                </w:rPr>
                <w:t>Derek Dubner.</w:t>
              </w:r>
            </w:hyperlink>
          </w:p>
        </w:tc>
        <w:tc>
          <w:tcPr>
            <w:tcW w:w="20" w:type="dxa"/>
            <w:vAlign w:val="bottom"/>
            <w:tcBorders>
              <w:top w:val="single" w:sz="8" w:color="0000FF"/>
              <w:bottom w:val="single" w:sz="8" w:color="0000EE"/>
            </w:tcBorders>
          </w:tcPr>
          <w:p>
            <w:pPr>
              <w:spacing w:after="0"/>
              <w:rPr>
                <w:sz w:val="11"/>
                <w:szCs w:val="11"/>
                <w:color w:val="auto"/>
              </w:rPr>
            </w:pPr>
          </w:p>
        </w:tc>
        <w:tc>
          <w:tcPr>
            <w:tcW w:w="3800" w:type="dxa"/>
            <w:vAlign w:val="bottom"/>
            <w:tcBorders>
              <w:top w:val="single" w:sz="8" w:color="0000FF"/>
            </w:tcBorders>
            <w:gridSpan w:val="3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4"/>
                <w:szCs w:val="14"/>
                <w:color w:val="auto"/>
              </w:rPr>
              <w:t>March 27, 2018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tcPr>
          <w:p>
            <w:pPr>
              <w:spacing w:after="0" w:line="142" w:lineRule="exact"/>
              <w:rPr>
                <w:rFonts w:ascii="Arial" w:cs="Arial" w:eastAsia="Arial" w:hAnsi="Arial"/>
                <w:sz w:val="14"/>
                <w:szCs w:val="14"/>
                <w:color w:val="0000FF"/>
              </w:rPr>
            </w:pPr>
            <w:hyperlink r:id="rId214">
              <w:r>
                <w:rPr>
                  <w:rFonts w:ascii="Arial" w:cs="Arial" w:eastAsia="Arial" w:hAnsi="Arial"/>
                  <w:sz w:val="14"/>
                  <w:szCs w:val="14"/>
                  <w:color w:val="0000FF"/>
                </w:rPr>
                <w:t>Employment</w:t>
              </w:r>
            </w:hyperlink>
          </w:p>
        </w:tc>
        <w:tc>
          <w:tcPr>
            <w:tcW w:w="4000" w:type="dxa"/>
            <w:vAlign w:val="bottom"/>
            <w:gridSpan w:val="36"/>
          </w:tcPr>
          <w:p>
            <w:pPr>
              <w:jc w:val="right"/>
              <w:ind w:right="240"/>
              <w:spacing w:after="0" w:line="142" w:lineRule="exact"/>
              <w:rPr>
                <w:rFonts w:ascii="Arial" w:cs="Arial" w:eastAsia="Arial" w:hAnsi="Arial"/>
                <w:sz w:val="14"/>
                <w:szCs w:val="14"/>
                <w:color w:val="0000FF"/>
                <w:w w:val="90"/>
              </w:rPr>
            </w:pPr>
            <w:hyperlink r:id="rId214">
              <w:r>
                <w:rPr>
                  <w:rFonts w:ascii="Arial" w:cs="Arial" w:eastAsia="Arial" w:hAnsi="Arial"/>
                  <w:sz w:val="14"/>
                  <w:szCs w:val="14"/>
                  <w:color w:val="0000FF"/>
                  <w:w w:val="90"/>
                </w:rPr>
                <w:t>Agreement, dated March 26, 2018, by and between Red Violet and</w:t>
              </w:r>
            </w:hyperlink>
          </w:p>
        </w:tc>
        <w:tc>
          <w:tcPr>
            <w:tcW w:w="98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80" w:type="dxa"/>
            <w:vAlign w:val="bottom"/>
            <w:tcBorders>
              <w:top w:val="single" w:sz="8" w:color="0000FF"/>
            </w:tcBorders>
            <w:gridSpan w:val="37"/>
          </w:tcPr>
          <w:p>
            <w:pPr>
              <w:spacing w:after="0" w:line="129" w:lineRule="exact"/>
              <w:rPr>
                <w:rFonts w:ascii="Arial" w:cs="Arial" w:eastAsia="Arial" w:hAnsi="Arial"/>
                <w:sz w:val="14"/>
                <w:szCs w:val="14"/>
                <w:color w:val="0000FF"/>
              </w:rPr>
            </w:pPr>
            <w:hyperlink r:id="rId214">
              <w:r>
                <w:rPr>
                  <w:rFonts w:ascii="Arial" w:cs="Arial" w:eastAsia="Arial" w:hAnsi="Arial"/>
                  <w:sz w:val="14"/>
                  <w:szCs w:val="14"/>
                  <w:color w:val="0000FF"/>
                </w:rPr>
                <w:t>James Reilly.</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60" w:type="dxa"/>
            <w:vAlign w:val="bottom"/>
          </w:tcPr>
          <w:p>
            <w:pPr>
              <w:ind w:left="20"/>
              <w:spacing w:after="0" w:line="142" w:lineRule="exact"/>
              <w:rPr>
                <w:sz w:val="20"/>
                <w:szCs w:val="20"/>
                <w:color w:val="auto"/>
              </w:rPr>
            </w:pPr>
            <w:r>
              <w:rPr>
                <w:rFonts w:ascii="Arial" w:cs="Arial" w:eastAsia="Arial" w:hAnsi="Arial"/>
                <w:sz w:val="14"/>
                <w:szCs w:val="14"/>
                <w:color w:val="auto"/>
              </w:rPr>
              <w:t>10.4+</w:t>
            </w:r>
          </w:p>
        </w:tc>
        <w:tc>
          <w:tcPr>
            <w:tcW w:w="140" w:type="dxa"/>
            <w:vAlign w:val="bottom"/>
          </w:tcPr>
          <w:p>
            <w:pPr>
              <w:spacing w:after="0"/>
              <w:rPr>
                <w:sz w:val="12"/>
                <w:szCs w:val="12"/>
                <w:color w:val="auto"/>
              </w:rPr>
            </w:pPr>
          </w:p>
        </w:tc>
        <w:tc>
          <w:tcPr>
            <w:tcW w:w="800" w:type="dxa"/>
            <w:vAlign w:val="bottom"/>
            <w:tcBorders>
              <w:top w:val="single" w:sz="8" w:color="0000EE"/>
            </w:tcBorders>
            <w:gridSpan w:val="3"/>
          </w:tcPr>
          <w:p>
            <w:pPr>
              <w:spacing w:after="0" w:line="142" w:lineRule="exact"/>
              <w:rPr>
                <w:rFonts w:ascii="Arial" w:cs="Arial" w:eastAsia="Arial" w:hAnsi="Arial"/>
                <w:sz w:val="14"/>
                <w:szCs w:val="14"/>
                <w:color w:val="0000FF"/>
              </w:rPr>
            </w:pPr>
            <w:hyperlink r:id="rId215">
              <w:r>
                <w:rPr>
                  <w:rFonts w:ascii="Arial" w:cs="Arial" w:eastAsia="Arial" w:hAnsi="Arial"/>
                  <w:sz w:val="14"/>
                  <w:szCs w:val="14"/>
                  <w:color w:val="0000FF"/>
                </w:rPr>
                <w:t>Employment</w:t>
              </w:r>
            </w:hyperlink>
          </w:p>
        </w:tc>
        <w:tc>
          <w:tcPr>
            <w:tcW w:w="4080" w:type="dxa"/>
            <w:vAlign w:val="bottom"/>
            <w:gridSpan w:val="38"/>
          </w:tcPr>
          <w:p>
            <w:pPr>
              <w:jc w:val="right"/>
              <w:ind w:right="240"/>
              <w:spacing w:after="0" w:line="142" w:lineRule="exact"/>
              <w:rPr>
                <w:rFonts w:ascii="Arial" w:cs="Arial" w:eastAsia="Arial" w:hAnsi="Arial"/>
                <w:sz w:val="14"/>
                <w:szCs w:val="14"/>
                <w:color w:val="0000FF"/>
                <w:w w:val="92"/>
              </w:rPr>
            </w:pPr>
            <w:hyperlink r:id="rId215">
              <w:r>
                <w:rPr>
                  <w:rFonts w:ascii="Arial" w:cs="Arial" w:eastAsia="Arial" w:hAnsi="Arial"/>
                  <w:sz w:val="14"/>
                  <w:szCs w:val="14"/>
                  <w:color w:val="0000FF"/>
                  <w:w w:val="92"/>
                </w:rPr>
                <w:t>Agreement, dated March 26, 2018, by and between Red Violet and</w:t>
              </w:r>
            </w:hyperlink>
          </w:p>
        </w:tc>
        <w:tc>
          <w:tcPr>
            <w:tcW w:w="980" w:type="dxa"/>
            <w:vAlign w:val="bottom"/>
          </w:tcPr>
          <w:p>
            <w:pPr>
              <w:ind w:left="20"/>
              <w:spacing w:after="0" w:line="142" w:lineRule="exact"/>
              <w:rPr>
                <w:sz w:val="20"/>
                <w:szCs w:val="20"/>
                <w:color w:val="auto"/>
              </w:rPr>
            </w:pPr>
            <w:r>
              <w:rPr>
                <w:rFonts w:ascii="Arial" w:cs="Arial" w:eastAsia="Arial" w:hAnsi="Arial"/>
                <w:sz w:val="14"/>
                <w:szCs w:val="14"/>
                <w:color w:val="auto"/>
              </w:rPr>
              <w:t>8-K</w:t>
            </w:r>
          </w:p>
        </w:tc>
        <w:tc>
          <w:tcPr>
            <w:tcW w:w="1160" w:type="dxa"/>
            <w:vAlign w:val="bottom"/>
            <w:gridSpan w:val="2"/>
          </w:tcPr>
          <w:p>
            <w:pPr>
              <w:jc w:val="right"/>
              <w:ind w:right="314"/>
              <w:spacing w:after="0" w:line="142" w:lineRule="exact"/>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10.4</w:t>
            </w:r>
          </w:p>
        </w:tc>
        <w:tc>
          <w:tcPr>
            <w:tcW w:w="120" w:type="dxa"/>
            <w:vAlign w:val="bottom"/>
          </w:tcPr>
          <w:p>
            <w:pPr>
              <w:spacing w:after="0"/>
              <w:rPr>
                <w:sz w:val="12"/>
                <w:szCs w:val="12"/>
                <w:color w:val="auto"/>
              </w:rPr>
            </w:pPr>
          </w:p>
        </w:tc>
        <w:tc>
          <w:tcPr>
            <w:tcW w:w="1220" w:type="dxa"/>
            <w:vAlign w:val="bottom"/>
          </w:tcPr>
          <w:p>
            <w:pPr>
              <w:spacing w:after="0" w:line="142" w:lineRule="exact"/>
              <w:rPr>
                <w:sz w:val="20"/>
                <w:szCs w:val="20"/>
                <w:color w:val="auto"/>
              </w:rPr>
            </w:pPr>
            <w:r>
              <w:rPr>
                <w:rFonts w:ascii="Arial" w:cs="Arial" w:eastAsia="Arial" w:hAnsi="Arial"/>
                <w:sz w:val="14"/>
                <w:szCs w:val="14"/>
                <w:color w:val="auto"/>
              </w:rPr>
              <w:t>March 27, 2018</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11"/>
                <w:szCs w:val="11"/>
                <w:color w:val="auto"/>
              </w:rPr>
            </w:pPr>
          </w:p>
        </w:tc>
        <w:tc>
          <w:tcPr>
            <w:tcW w:w="104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3"/>
              </w:rPr>
            </w:pPr>
            <w:hyperlink r:id="rId215">
              <w:r>
                <w:rPr>
                  <w:rFonts w:ascii="Arial" w:cs="Arial" w:eastAsia="Arial" w:hAnsi="Arial"/>
                  <w:sz w:val="14"/>
                  <w:szCs w:val="14"/>
                  <w:color w:val="0000FF"/>
                  <w:w w:val="93"/>
                </w:rPr>
                <w:t>Dan MacLachlan.</w:t>
              </w:r>
            </w:hyperlink>
          </w:p>
        </w:tc>
        <w:tc>
          <w:tcPr>
            <w:tcW w:w="3640" w:type="dxa"/>
            <w:vAlign w:val="bottom"/>
            <w:tcBorders>
              <w:top w:val="single" w:sz="8" w:color="0000FF"/>
            </w:tcBorders>
            <w:gridSpan w:val="30"/>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4"/>
                <w:szCs w:val="14"/>
                <w:color w:val="auto"/>
              </w:rPr>
              <w:t>March 27, 2018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Borders>
              <w:bottom w:val="single" w:sz="8" w:color="0000EE"/>
            </w:tcBorders>
            <w:gridSpan w:val="17"/>
          </w:tcPr>
          <w:p>
            <w:pPr>
              <w:spacing w:after="0" w:line="142" w:lineRule="exact"/>
              <w:rPr>
                <w:rFonts w:ascii="Arial" w:cs="Arial" w:eastAsia="Arial" w:hAnsi="Arial"/>
                <w:sz w:val="14"/>
                <w:szCs w:val="14"/>
                <w:color w:val="0000FF"/>
                <w:w w:val="95"/>
              </w:rPr>
            </w:pPr>
            <w:hyperlink r:id="rId216">
              <w:r>
                <w:rPr>
                  <w:rFonts w:ascii="Arial" w:cs="Arial" w:eastAsia="Arial" w:hAnsi="Arial"/>
                  <w:sz w:val="14"/>
                  <w:szCs w:val="14"/>
                  <w:color w:val="0000FF"/>
                  <w:w w:val="95"/>
                </w:rPr>
                <w:t>Red Violet, Inc. 2018 Stock Incentive Plan.</w:t>
              </w:r>
            </w:hyperlink>
          </w:p>
        </w:tc>
        <w:tc>
          <w:tcPr>
            <w:tcW w:w="2340" w:type="dxa"/>
            <w:vAlign w:val="bottom"/>
            <w:gridSpan w:val="24"/>
          </w:tcPr>
          <w:p>
            <w:pPr>
              <w:spacing w:after="0"/>
              <w:rPr>
                <w:sz w:val="12"/>
                <w:szCs w:val="12"/>
                <w:color w:val="auto"/>
              </w:rPr>
            </w:pPr>
          </w:p>
        </w:tc>
        <w:tc>
          <w:tcPr>
            <w:tcW w:w="98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15"/>
                <w:szCs w:val="15"/>
                <w:color w:val="auto"/>
              </w:rPr>
            </w:pPr>
          </w:p>
        </w:tc>
        <w:tc>
          <w:tcPr>
            <w:tcW w:w="4880" w:type="dxa"/>
            <w:vAlign w:val="bottom"/>
            <w:gridSpan w:val="41"/>
          </w:tcPr>
          <w:p>
            <w:pPr>
              <w:spacing w:after="0"/>
              <w:rPr>
                <w:rFonts w:ascii="Arial" w:cs="Arial" w:eastAsia="Arial" w:hAnsi="Arial"/>
                <w:sz w:val="14"/>
                <w:szCs w:val="14"/>
                <w:color w:val="0000FF"/>
              </w:rPr>
            </w:pPr>
            <w:hyperlink r:id="rId217">
              <w:r>
                <w:rPr>
                  <w:rFonts w:ascii="Arial" w:cs="Arial" w:eastAsia="Arial" w:hAnsi="Arial"/>
                  <w:sz w:val="14"/>
                  <w:szCs w:val="14"/>
                  <w:color w:val="0000FF"/>
                </w:rPr>
                <w:t>Form of Indemnification Agreement.</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8-K</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March 27, 2018</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10.7+</w:t>
            </w:r>
          </w:p>
        </w:tc>
        <w:tc>
          <w:tcPr>
            <w:tcW w:w="140" w:type="dxa"/>
            <w:vAlign w:val="bottom"/>
          </w:tcPr>
          <w:p>
            <w:pPr>
              <w:spacing w:after="0"/>
              <w:rPr>
                <w:sz w:val="15"/>
                <w:szCs w:val="15"/>
                <w:color w:val="auto"/>
              </w:rPr>
            </w:pPr>
          </w:p>
        </w:tc>
        <w:tc>
          <w:tcPr>
            <w:tcW w:w="4880" w:type="dxa"/>
            <w:vAlign w:val="bottom"/>
            <w:gridSpan w:val="41"/>
          </w:tcPr>
          <w:p>
            <w:pPr>
              <w:spacing w:after="0"/>
              <w:rPr>
                <w:rFonts w:ascii="Arial" w:cs="Arial" w:eastAsia="Arial" w:hAnsi="Arial"/>
                <w:sz w:val="14"/>
                <w:szCs w:val="14"/>
                <w:color w:val="0000FF"/>
                <w:w w:val="97"/>
              </w:rPr>
            </w:pPr>
            <w:hyperlink r:id="rId218">
              <w:r>
                <w:rPr>
                  <w:rFonts w:ascii="Arial" w:cs="Arial" w:eastAsia="Arial" w:hAnsi="Arial"/>
                  <w:sz w:val="14"/>
                  <w:szCs w:val="14"/>
                  <w:color w:val="0000FF"/>
                  <w:w w:val="97"/>
                </w:rPr>
                <w:t>Executive Chairman Services Agreement, effective as of August 7, 2018, by and</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10-Q</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August 8, 2018</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00" w:type="dxa"/>
            <w:vAlign w:val="bottom"/>
            <w:tcBorders>
              <w:top w:val="single" w:sz="8" w:color="0000FF"/>
              <w:bottom w:val="single" w:sz="8" w:color="0000FF"/>
            </w:tcBorders>
            <w:gridSpan w:val="20"/>
          </w:tcPr>
          <w:p>
            <w:pPr>
              <w:spacing w:after="0" w:line="129" w:lineRule="exact"/>
              <w:rPr>
                <w:rFonts w:ascii="Arial" w:cs="Arial" w:eastAsia="Arial" w:hAnsi="Arial"/>
                <w:sz w:val="14"/>
                <w:szCs w:val="14"/>
                <w:color w:val="0000FF"/>
                <w:w w:val="93"/>
              </w:rPr>
            </w:pPr>
            <w:hyperlink r:id="rId218">
              <w:r>
                <w:rPr>
                  <w:rFonts w:ascii="Arial" w:cs="Arial" w:eastAsia="Arial" w:hAnsi="Arial"/>
                  <w:sz w:val="14"/>
                  <w:szCs w:val="14"/>
                  <w:color w:val="0000FF"/>
                  <w:w w:val="93"/>
                </w:rPr>
                <w:t>between Red Violet, Inc. and Michael Brauser.</w:t>
              </w:r>
            </w:hyperlink>
          </w:p>
        </w:tc>
        <w:tc>
          <w:tcPr>
            <w:tcW w:w="20" w:type="dxa"/>
            <w:vAlign w:val="bottom"/>
            <w:tcBorders>
              <w:top w:val="single" w:sz="8" w:color="0000FF"/>
              <w:bottom w:val="single" w:sz="8" w:color="0000EE"/>
            </w:tcBorders>
          </w:tcPr>
          <w:p>
            <w:pPr>
              <w:spacing w:after="0"/>
              <w:rPr>
                <w:sz w:val="11"/>
                <w:szCs w:val="11"/>
                <w:color w:val="auto"/>
              </w:rPr>
            </w:pPr>
          </w:p>
        </w:tc>
        <w:tc>
          <w:tcPr>
            <w:tcW w:w="1980" w:type="dxa"/>
            <w:vAlign w:val="bottom"/>
            <w:tcBorders>
              <w:top w:val="single" w:sz="8" w:color="0000FF"/>
            </w:tcBorders>
            <w:gridSpan w:val="17"/>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60" w:type="dxa"/>
            <w:vAlign w:val="bottom"/>
          </w:tcPr>
          <w:p>
            <w:pPr>
              <w:ind w:left="20"/>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20"/>
                <w:szCs w:val="20"/>
                <w:color w:val="auto"/>
              </w:rPr>
            </w:pPr>
          </w:p>
        </w:tc>
        <w:tc>
          <w:tcPr>
            <w:tcW w:w="4880" w:type="dxa"/>
            <w:vAlign w:val="bottom"/>
            <w:gridSpan w:val="41"/>
          </w:tcPr>
          <w:p>
            <w:pPr>
              <w:spacing w:after="0"/>
              <w:rPr>
                <w:rFonts w:ascii="Arial" w:cs="Arial" w:eastAsia="Arial" w:hAnsi="Arial"/>
                <w:sz w:val="14"/>
                <w:szCs w:val="14"/>
                <w:color w:val="0000FF"/>
              </w:rPr>
            </w:pPr>
            <w:hyperlink r:id="rId219">
              <w:r>
                <w:rPr>
                  <w:rFonts w:ascii="Arial" w:cs="Arial" w:eastAsia="Arial" w:hAnsi="Arial"/>
                  <w:sz w:val="14"/>
                  <w:szCs w:val="14"/>
                  <w:color w:val="0000FF"/>
                </w:rPr>
                <w:t>Form of 2018 Time- and Performance-Based Restricted Stock Unit Award</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10-Q</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November 7, 2018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10.9+</w:t>
            </w:r>
          </w:p>
        </w:tc>
        <w:tc>
          <w:tcPr>
            <w:tcW w:w="140" w:type="dxa"/>
            <w:vAlign w:val="bottom"/>
          </w:tcPr>
          <w:p>
            <w:pPr>
              <w:spacing w:after="0"/>
              <w:rPr>
                <w:sz w:val="11"/>
                <w:szCs w:val="11"/>
                <w:color w:val="auto"/>
              </w:rPr>
            </w:pPr>
          </w:p>
        </w:tc>
        <w:tc>
          <w:tcPr>
            <w:tcW w:w="432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219">
              <w:r>
                <w:rPr>
                  <w:rFonts w:ascii="Arial" w:cs="Arial" w:eastAsia="Arial" w:hAnsi="Arial"/>
                  <w:sz w:val="14"/>
                  <w:szCs w:val="14"/>
                  <w:color w:val="0000FF"/>
                </w:rPr>
                <w:t>Agreement.</w:t>
              </w:r>
            </w:hyperlink>
          </w:p>
        </w:tc>
        <w:tc>
          <w:tcPr>
            <w:tcW w:w="2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140" w:type="dxa"/>
            <w:vAlign w:val="bottom"/>
            <w:gridSpan w:val="2"/>
          </w:tcPr>
          <w:p>
            <w:pPr>
              <w:spacing w:after="0"/>
              <w:rPr>
                <w:sz w:val="11"/>
                <w:szCs w:val="11"/>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10-Q</w:t>
            </w:r>
          </w:p>
        </w:tc>
        <w:tc>
          <w:tcPr>
            <w:tcW w:w="1160" w:type="dxa"/>
            <w:vAlign w:val="bottom"/>
            <w:gridSpan w:val="2"/>
            <w:vMerge w:val="restart"/>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4"/>
                <w:szCs w:val="14"/>
                <w:color w:val="auto"/>
              </w:rPr>
              <w:t>August 5, 2019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0000FF"/>
            </w:tcBorders>
          </w:tcPr>
          <w:p>
            <w:pPr>
              <w:spacing w:after="0" w:line="142" w:lineRule="exact"/>
              <w:rPr>
                <w:rFonts w:ascii="Arial" w:cs="Arial" w:eastAsia="Arial" w:hAnsi="Arial"/>
                <w:sz w:val="14"/>
                <w:szCs w:val="14"/>
                <w:color w:val="0000FF"/>
                <w:w w:val="84"/>
              </w:rPr>
            </w:pPr>
            <w:hyperlink r:id="rId220">
              <w:r>
                <w:rPr>
                  <w:rFonts w:ascii="Arial" w:cs="Arial" w:eastAsia="Arial" w:hAnsi="Arial"/>
                  <w:sz w:val="14"/>
                  <w:szCs w:val="14"/>
                  <w:color w:val="0000FF"/>
                  <w:w w:val="84"/>
                </w:rPr>
                <w:t>Employment</w:t>
              </w:r>
            </w:hyperlink>
          </w:p>
        </w:tc>
        <w:tc>
          <w:tcPr>
            <w:tcW w:w="20" w:type="dxa"/>
            <w:vAlign w:val="bottom"/>
            <w:tcBorders>
              <w:top w:val="single" w:sz="8" w:color="0000EE"/>
            </w:tcBorders>
          </w:tcPr>
          <w:p>
            <w:pPr>
              <w:spacing w:after="0"/>
              <w:rPr>
                <w:sz w:val="12"/>
                <w:szCs w:val="12"/>
                <w:color w:val="auto"/>
              </w:rPr>
            </w:pPr>
          </w:p>
        </w:tc>
        <w:tc>
          <w:tcPr>
            <w:tcW w:w="4180" w:type="dxa"/>
            <w:vAlign w:val="bottom"/>
            <w:gridSpan w:val="39"/>
          </w:tcPr>
          <w:p>
            <w:pPr>
              <w:ind w:left="80"/>
              <w:spacing w:after="0" w:line="142" w:lineRule="exact"/>
              <w:rPr>
                <w:rFonts w:ascii="Arial" w:cs="Arial" w:eastAsia="Arial" w:hAnsi="Arial"/>
                <w:sz w:val="14"/>
                <w:szCs w:val="14"/>
                <w:color w:val="0000FF"/>
              </w:rPr>
            </w:pPr>
            <w:hyperlink r:id="rId220">
              <w:r>
                <w:rPr>
                  <w:rFonts w:ascii="Arial" w:cs="Arial" w:eastAsia="Arial" w:hAnsi="Arial"/>
                  <w:sz w:val="14"/>
                  <w:szCs w:val="14"/>
                  <w:color w:val="0000FF"/>
                </w:rPr>
                <w:t>Agreement between Red Violet, Inc. and Jeffrey Dell entered into</w:t>
              </w:r>
            </w:hyperlink>
          </w:p>
        </w:tc>
        <w:tc>
          <w:tcPr>
            <w:tcW w:w="98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10.10+</w:t>
            </w:r>
          </w:p>
        </w:tc>
        <w:tc>
          <w:tcPr>
            <w:tcW w:w="140" w:type="dxa"/>
            <w:vAlign w:val="bottom"/>
          </w:tcPr>
          <w:p>
            <w:pPr>
              <w:spacing w:after="0"/>
              <w:rPr>
                <w:sz w:val="11"/>
                <w:szCs w:val="11"/>
                <w:color w:val="auto"/>
              </w:rPr>
            </w:pPr>
          </w:p>
        </w:tc>
        <w:tc>
          <w:tcPr>
            <w:tcW w:w="460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220">
              <w:r>
                <w:rPr>
                  <w:rFonts w:ascii="Arial" w:cs="Arial" w:eastAsia="Arial" w:hAnsi="Arial"/>
                  <w:sz w:val="14"/>
                  <w:szCs w:val="14"/>
                  <w:color w:val="0000FF"/>
                </w:rPr>
                <w:t>on April 9, 2019.</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140" w:type="dxa"/>
            <w:vAlign w:val="bottom"/>
            <w:gridSpan w:val="2"/>
          </w:tcPr>
          <w:p>
            <w:pPr>
              <w:spacing w:after="0"/>
              <w:rPr>
                <w:sz w:val="11"/>
                <w:szCs w:val="11"/>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10-K</w:t>
            </w:r>
          </w:p>
        </w:tc>
        <w:tc>
          <w:tcPr>
            <w:tcW w:w="1160" w:type="dxa"/>
            <w:vAlign w:val="bottom"/>
            <w:gridSpan w:val="2"/>
            <w:vMerge w:val="restart"/>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4"/>
                <w:szCs w:val="14"/>
                <w:color w:val="auto"/>
              </w:rPr>
              <w:t>March 12, 2020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right w:val="single" w:sz="8" w:color="0000EE"/>
            </w:tcBorders>
            <w:gridSpan w:val="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80" w:type="dxa"/>
            <w:vAlign w:val="bottom"/>
            <w:gridSpan w:val="41"/>
          </w:tcPr>
          <w:p>
            <w:pPr>
              <w:spacing w:after="0" w:line="142" w:lineRule="exact"/>
              <w:rPr>
                <w:rFonts w:ascii="Arial" w:cs="Arial" w:eastAsia="Arial" w:hAnsi="Arial"/>
                <w:sz w:val="14"/>
                <w:szCs w:val="14"/>
                <w:color w:val="0000FF"/>
              </w:rPr>
            </w:pPr>
            <w:hyperlink r:id="rId221">
              <w:r>
                <w:rPr>
                  <w:rFonts w:ascii="Arial" w:cs="Arial" w:eastAsia="Arial" w:hAnsi="Arial"/>
                  <w:sz w:val="14"/>
                  <w:szCs w:val="14"/>
                  <w:color w:val="0000FF"/>
                </w:rPr>
                <w:t>Form of 2019 Time- and Performance-Based Restricted Stock Unit Award</w:t>
              </w:r>
            </w:hyperlink>
          </w:p>
        </w:tc>
        <w:tc>
          <w:tcPr>
            <w:tcW w:w="98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10.11</w:t>
            </w:r>
          </w:p>
        </w:tc>
        <w:tc>
          <w:tcPr>
            <w:tcW w:w="140" w:type="dxa"/>
            <w:vAlign w:val="bottom"/>
          </w:tcPr>
          <w:p>
            <w:pPr>
              <w:spacing w:after="0"/>
              <w:rPr>
                <w:sz w:val="11"/>
                <w:szCs w:val="11"/>
                <w:color w:val="auto"/>
              </w:rPr>
            </w:pPr>
          </w:p>
        </w:tc>
        <w:tc>
          <w:tcPr>
            <w:tcW w:w="4320" w:type="dxa"/>
            <w:vAlign w:val="bottom"/>
            <w:tcBorders>
              <w:top w:val="single" w:sz="8" w:color="0000FF"/>
            </w:tcBorders>
            <w:gridSpan w:val="29"/>
          </w:tcPr>
          <w:p>
            <w:pPr>
              <w:spacing w:after="0" w:line="129" w:lineRule="exact"/>
              <w:rPr>
                <w:rFonts w:ascii="Arial" w:cs="Arial" w:eastAsia="Arial" w:hAnsi="Arial"/>
                <w:sz w:val="14"/>
                <w:szCs w:val="14"/>
                <w:color w:val="0000FF"/>
              </w:rPr>
            </w:pPr>
            <w:hyperlink r:id="rId221">
              <w:r>
                <w:rPr>
                  <w:rFonts w:ascii="Arial" w:cs="Arial" w:eastAsia="Arial" w:hAnsi="Arial"/>
                  <w:sz w:val="14"/>
                  <w:szCs w:val="14"/>
                  <w:color w:val="0000FF"/>
                </w:rPr>
                <w:t>Agreement.</w:t>
              </w:r>
            </w:hyperlink>
          </w:p>
        </w:tc>
        <w:tc>
          <w:tcPr>
            <w:tcW w:w="2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140" w:type="dxa"/>
            <w:vAlign w:val="bottom"/>
            <w:gridSpan w:val="2"/>
          </w:tcPr>
          <w:p>
            <w:pPr>
              <w:spacing w:after="0"/>
              <w:rPr>
                <w:sz w:val="11"/>
                <w:szCs w:val="11"/>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10-Q</w:t>
            </w:r>
          </w:p>
        </w:tc>
        <w:tc>
          <w:tcPr>
            <w:tcW w:w="1160" w:type="dxa"/>
            <w:vAlign w:val="bottom"/>
            <w:gridSpan w:val="2"/>
            <w:vMerge w:val="restart"/>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4"/>
                <w:szCs w:val="14"/>
                <w:color w:val="auto"/>
              </w:rPr>
              <w:t>May 11, 2020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0000FF"/>
            </w:tcBorders>
          </w:tcPr>
          <w:p>
            <w:pPr>
              <w:spacing w:after="0" w:line="142" w:lineRule="exact"/>
              <w:rPr>
                <w:rFonts w:ascii="Arial" w:cs="Arial" w:eastAsia="Arial" w:hAnsi="Arial"/>
                <w:sz w:val="14"/>
                <w:szCs w:val="14"/>
                <w:color w:val="0000FF"/>
                <w:w w:val="94"/>
              </w:rPr>
            </w:pPr>
            <w:hyperlink r:id="rId222">
              <w:r>
                <w:rPr>
                  <w:rFonts w:ascii="Arial" w:cs="Arial" w:eastAsia="Arial" w:hAnsi="Arial"/>
                  <w:sz w:val="14"/>
                  <w:szCs w:val="14"/>
                  <w:color w:val="0000FF"/>
                  <w:w w:val="94"/>
                </w:rPr>
                <w:t>Promissory</w:t>
              </w:r>
            </w:hyperlink>
          </w:p>
        </w:tc>
        <w:tc>
          <w:tcPr>
            <w:tcW w:w="4200" w:type="dxa"/>
            <w:vAlign w:val="bottom"/>
            <w:gridSpan w:val="40"/>
          </w:tcPr>
          <w:p>
            <w:pPr>
              <w:ind w:left="20"/>
              <w:spacing w:after="0" w:line="142" w:lineRule="exact"/>
              <w:rPr>
                <w:rFonts w:ascii="Arial" w:cs="Arial" w:eastAsia="Arial" w:hAnsi="Arial"/>
                <w:sz w:val="14"/>
                <w:szCs w:val="14"/>
                <w:color w:val="0000FF"/>
                <w:w w:val="96"/>
              </w:rPr>
            </w:pPr>
            <w:hyperlink r:id="rId222">
              <w:r>
                <w:rPr>
                  <w:rFonts w:ascii="Arial" w:cs="Arial" w:eastAsia="Arial" w:hAnsi="Arial"/>
                  <w:sz w:val="14"/>
                  <w:szCs w:val="14"/>
                  <w:color w:val="0000FF"/>
                  <w:w w:val="96"/>
                </w:rPr>
                <w:t>Note dated May 5, 2020, by and between Red Violet, Inc. and Legacy</w:t>
              </w:r>
            </w:hyperlink>
          </w:p>
        </w:tc>
        <w:tc>
          <w:tcPr>
            <w:tcW w:w="98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10.12+</w:t>
            </w:r>
          </w:p>
        </w:tc>
        <w:tc>
          <w:tcPr>
            <w:tcW w:w="140" w:type="dxa"/>
            <w:vAlign w:val="bottom"/>
          </w:tcPr>
          <w:p>
            <w:pPr>
              <w:spacing w:after="0"/>
              <w:rPr>
                <w:sz w:val="11"/>
                <w:szCs w:val="11"/>
                <w:color w:val="auto"/>
              </w:rPr>
            </w:pPr>
          </w:p>
        </w:tc>
        <w:tc>
          <w:tcPr>
            <w:tcW w:w="100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w w:val="97"/>
              </w:rPr>
            </w:pPr>
            <w:hyperlink r:id="rId222">
              <w:r>
                <w:rPr>
                  <w:rFonts w:ascii="Arial" w:cs="Arial" w:eastAsia="Arial" w:hAnsi="Arial"/>
                  <w:sz w:val="14"/>
                  <w:szCs w:val="14"/>
                  <w:color w:val="0000FF"/>
                  <w:w w:val="97"/>
                </w:rPr>
                <w:t>Bank of Florida.</w:t>
              </w:r>
            </w:hyperlink>
          </w:p>
        </w:tc>
        <w:tc>
          <w:tcPr>
            <w:tcW w:w="3740" w:type="dxa"/>
            <w:vAlign w:val="bottom"/>
            <w:tcBorders>
              <w:top w:val="single" w:sz="8" w:color="0000FF"/>
            </w:tcBorders>
            <w:gridSpan w:val="33"/>
          </w:tcPr>
          <w:p>
            <w:pPr>
              <w:spacing w:after="0"/>
              <w:rPr>
                <w:sz w:val="11"/>
                <w:szCs w:val="11"/>
                <w:color w:val="auto"/>
              </w:rPr>
            </w:pPr>
          </w:p>
        </w:tc>
        <w:tc>
          <w:tcPr>
            <w:tcW w:w="140" w:type="dxa"/>
            <w:vAlign w:val="bottom"/>
            <w:gridSpan w:val="2"/>
          </w:tcPr>
          <w:p>
            <w:pPr>
              <w:spacing w:after="0"/>
              <w:rPr>
                <w:sz w:val="11"/>
                <w:szCs w:val="11"/>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8-K</w:t>
            </w:r>
          </w:p>
        </w:tc>
        <w:tc>
          <w:tcPr>
            <w:tcW w:w="1160" w:type="dxa"/>
            <w:vAlign w:val="bottom"/>
            <w:gridSpan w:val="2"/>
            <w:vMerge w:val="restart"/>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4"/>
                <w:szCs w:val="14"/>
                <w:color w:val="auto"/>
              </w:rPr>
              <w:t>June 4, 2020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0000FF"/>
            </w:tcBorders>
            <w:gridSpan w:val="6"/>
          </w:tcPr>
          <w:p>
            <w:pPr>
              <w:spacing w:after="0" w:line="142" w:lineRule="exact"/>
              <w:rPr>
                <w:rFonts w:ascii="Arial" w:cs="Arial" w:eastAsia="Arial" w:hAnsi="Arial"/>
                <w:sz w:val="14"/>
                <w:szCs w:val="14"/>
                <w:color w:val="0000FF"/>
              </w:rPr>
            </w:pPr>
            <w:hyperlink r:id="rId223">
              <w:r>
                <w:rPr>
                  <w:rFonts w:ascii="Arial" w:cs="Arial" w:eastAsia="Arial" w:hAnsi="Arial"/>
                  <w:sz w:val="14"/>
                  <w:szCs w:val="14"/>
                  <w:color w:val="0000FF"/>
                </w:rPr>
                <w:t>Amendment to</w:t>
              </w:r>
            </w:hyperlink>
          </w:p>
        </w:tc>
        <w:tc>
          <w:tcPr>
            <w:tcW w:w="2400" w:type="dxa"/>
            <w:vAlign w:val="bottom"/>
            <w:tcBorders>
              <w:bottom w:val="single" w:sz="8" w:color="0000FF"/>
            </w:tcBorders>
            <w:gridSpan w:val="18"/>
          </w:tcPr>
          <w:p>
            <w:pPr>
              <w:spacing w:after="0" w:line="142" w:lineRule="exact"/>
              <w:rPr>
                <w:rFonts w:ascii="Arial" w:cs="Arial" w:eastAsia="Arial" w:hAnsi="Arial"/>
                <w:sz w:val="14"/>
                <w:szCs w:val="14"/>
                <w:color w:val="0000FF"/>
                <w:w w:val="89"/>
              </w:rPr>
            </w:pPr>
            <w:hyperlink r:id="rId223">
              <w:r>
                <w:rPr>
                  <w:rFonts w:ascii="Arial" w:cs="Arial" w:eastAsia="Arial" w:hAnsi="Arial"/>
                  <w:sz w:val="14"/>
                  <w:szCs w:val="14"/>
                  <w:color w:val="0000FF"/>
                  <w:w w:val="89"/>
                </w:rPr>
                <w:t>Red Violet, Inc. 2018 Stock Incentive Plan.</w:t>
              </w:r>
            </w:hyperlink>
          </w:p>
        </w:tc>
        <w:tc>
          <w:tcPr>
            <w:tcW w:w="1480" w:type="dxa"/>
            <w:vAlign w:val="bottom"/>
            <w:gridSpan w:val="17"/>
          </w:tcPr>
          <w:p>
            <w:pPr>
              <w:spacing w:after="0"/>
              <w:rPr>
                <w:sz w:val="12"/>
                <w:szCs w:val="12"/>
                <w:color w:val="auto"/>
              </w:rPr>
            </w:pPr>
          </w:p>
        </w:tc>
        <w:tc>
          <w:tcPr>
            <w:tcW w:w="98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0" w:type="dxa"/>
            <w:vAlign w:val="bottom"/>
          </w:tcPr>
          <w:p>
            <w:pPr>
              <w:ind w:left="20"/>
              <w:spacing w:after="0"/>
              <w:rPr>
                <w:sz w:val="20"/>
                <w:szCs w:val="20"/>
                <w:color w:val="auto"/>
              </w:rPr>
            </w:pPr>
            <w:r>
              <w:rPr>
                <w:rFonts w:ascii="Arial" w:cs="Arial" w:eastAsia="Arial" w:hAnsi="Arial"/>
                <w:sz w:val="14"/>
                <w:szCs w:val="14"/>
                <w:color w:val="auto"/>
              </w:rPr>
              <w:t>10.13+</w:t>
            </w:r>
          </w:p>
        </w:tc>
        <w:tc>
          <w:tcPr>
            <w:tcW w:w="140" w:type="dxa"/>
            <w:vAlign w:val="bottom"/>
          </w:tcPr>
          <w:p>
            <w:pPr>
              <w:spacing w:after="0"/>
              <w:rPr>
                <w:sz w:val="18"/>
                <w:szCs w:val="18"/>
                <w:color w:val="auto"/>
              </w:rPr>
            </w:pPr>
          </w:p>
        </w:tc>
        <w:tc>
          <w:tcPr>
            <w:tcW w:w="4880" w:type="dxa"/>
            <w:vAlign w:val="bottom"/>
            <w:gridSpan w:val="41"/>
          </w:tcPr>
          <w:p>
            <w:pPr>
              <w:spacing w:after="0"/>
              <w:rPr>
                <w:rFonts w:ascii="Arial" w:cs="Arial" w:eastAsia="Arial" w:hAnsi="Arial"/>
                <w:sz w:val="14"/>
                <w:szCs w:val="14"/>
                <w:color w:val="0000FF"/>
                <w:w w:val="97"/>
              </w:rPr>
            </w:pPr>
            <w:hyperlink r:id="rId224">
              <w:r>
                <w:rPr>
                  <w:rFonts w:ascii="Arial" w:cs="Arial" w:eastAsia="Arial" w:hAnsi="Arial"/>
                  <w:sz w:val="14"/>
                  <w:szCs w:val="14"/>
                  <w:color w:val="0000FF"/>
                  <w:w w:val="97"/>
                </w:rPr>
                <w:t>Separation Agreement dated February 16, 2021 by and between Red Violet, Inc.</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8-K</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February 17, 2021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w w:val="92"/>
              </w:rPr>
            </w:pPr>
            <w:hyperlink r:id="rId224">
              <w:r>
                <w:rPr>
                  <w:rFonts w:ascii="Arial" w:cs="Arial" w:eastAsia="Arial" w:hAnsi="Arial"/>
                  <w:sz w:val="14"/>
                  <w:szCs w:val="14"/>
                  <w:color w:val="0000FF"/>
                  <w:w w:val="92"/>
                </w:rPr>
                <w:t>and Michael Brauser.</w:t>
              </w:r>
            </w:hyperlink>
          </w:p>
        </w:tc>
        <w:tc>
          <w:tcPr>
            <w:tcW w:w="20" w:type="dxa"/>
            <w:vAlign w:val="bottom"/>
            <w:tcBorders>
              <w:top w:val="single" w:sz="8" w:color="0000FF"/>
              <w:bottom w:val="single" w:sz="8" w:color="0000EE"/>
            </w:tcBorders>
          </w:tcPr>
          <w:p>
            <w:pPr>
              <w:spacing w:after="0"/>
              <w:rPr>
                <w:sz w:val="11"/>
                <w:szCs w:val="11"/>
                <w:color w:val="auto"/>
              </w:rPr>
            </w:pPr>
          </w:p>
        </w:tc>
        <w:tc>
          <w:tcPr>
            <w:tcW w:w="3400" w:type="dxa"/>
            <w:vAlign w:val="bottom"/>
            <w:tcBorders>
              <w:top w:val="single" w:sz="8" w:color="0000FF"/>
            </w:tcBorders>
            <w:gridSpan w:val="27"/>
          </w:tcPr>
          <w:p>
            <w:pPr>
              <w:spacing w:after="0"/>
              <w:rPr>
                <w:sz w:val="11"/>
                <w:szCs w:val="11"/>
                <w:color w:val="auto"/>
              </w:rPr>
            </w:pPr>
          </w:p>
        </w:tc>
        <w:tc>
          <w:tcPr>
            <w:tcW w:w="220" w:type="dxa"/>
            <w:vAlign w:val="bottom"/>
            <w:gridSpan w:val="5"/>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860" w:type="dxa"/>
            <w:vAlign w:val="bottom"/>
          </w:tcPr>
          <w:p>
            <w:pPr>
              <w:ind w:left="20"/>
              <w:spacing w:after="0"/>
              <w:rPr>
                <w:sz w:val="20"/>
                <w:szCs w:val="20"/>
                <w:color w:val="auto"/>
              </w:rPr>
            </w:pPr>
            <w:r>
              <w:rPr>
                <w:rFonts w:ascii="Arial" w:cs="Arial" w:eastAsia="Arial" w:hAnsi="Arial"/>
                <w:sz w:val="14"/>
                <w:szCs w:val="14"/>
                <w:color w:val="auto"/>
              </w:rPr>
              <w:t>10.14+</w:t>
            </w:r>
          </w:p>
        </w:tc>
        <w:tc>
          <w:tcPr>
            <w:tcW w:w="140" w:type="dxa"/>
            <w:vAlign w:val="bottom"/>
          </w:tcPr>
          <w:p>
            <w:pPr>
              <w:spacing w:after="0"/>
              <w:rPr>
                <w:sz w:val="20"/>
                <w:szCs w:val="20"/>
                <w:color w:val="auto"/>
              </w:rPr>
            </w:pPr>
          </w:p>
        </w:tc>
        <w:tc>
          <w:tcPr>
            <w:tcW w:w="4880" w:type="dxa"/>
            <w:vAlign w:val="bottom"/>
            <w:gridSpan w:val="41"/>
          </w:tcPr>
          <w:p>
            <w:pPr>
              <w:spacing w:after="0"/>
              <w:rPr>
                <w:rFonts w:ascii="Arial" w:cs="Arial" w:eastAsia="Arial" w:hAnsi="Arial"/>
                <w:sz w:val="14"/>
                <w:szCs w:val="14"/>
                <w:color w:val="0000FF"/>
              </w:rPr>
            </w:pPr>
            <w:hyperlink r:id="rId225">
              <w:r>
                <w:rPr>
                  <w:rFonts w:ascii="Arial" w:cs="Arial" w:eastAsia="Arial" w:hAnsi="Arial"/>
                  <w:sz w:val="14"/>
                  <w:szCs w:val="14"/>
                  <w:color w:val="0000FF"/>
                </w:rPr>
                <w:t>First Amendment to Employment Agreement dated November 9, 2020 by and</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10-K</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March 10, 2021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w w:val="92"/>
              </w:rPr>
            </w:pPr>
            <w:hyperlink r:id="rId225">
              <w:r>
                <w:rPr>
                  <w:rFonts w:ascii="Arial" w:cs="Arial" w:eastAsia="Arial" w:hAnsi="Arial"/>
                  <w:sz w:val="14"/>
                  <w:szCs w:val="14"/>
                  <w:color w:val="0000FF"/>
                  <w:w w:val="92"/>
                </w:rPr>
                <w:t>between Red Violet, Inc. and Derek Dubner.</w:t>
              </w:r>
            </w:hyperlink>
          </w:p>
        </w:tc>
        <w:tc>
          <w:tcPr>
            <w:tcW w:w="20" w:type="dxa"/>
            <w:vAlign w:val="bottom"/>
            <w:tcBorders>
              <w:top w:val="single" w:sz="8" w:color="0000FF"/>
              <w:bottom w:val="single" w:sz="8" w:color="0000EE"/>
            </w:tcBorders>
          </w:tcPr>
          <w:p>
            <w:pPr>
              <w:spacing w:after="0"/>
              <w:rPr>
                <w:sz w:val="11"/>
                <w:szCs w:val="11"/>
                <w:color w:val="auto"/>
              </w:rPr>
            </w:pPr>
          </w:p>
        </w:tc>
        <w:tc>
          <w:tcPr>
            <w:tcW w:w="1980" w:type="dxa"/>
            <w:vAlign w:val="bottom"/>
            <w:tcBorders>
              <w:top w:val="single" w:sz="8" w:color="0000FF"/>
            </w:tcBorders>
            <w:gridSpan w:val="13"/>
          </w:tcPr>
          <w:p>
            <w:pPr>
              <w:spacing w:after="0"/>
              <w:rPr>
                <w:sz w:val="11"/>
                <w:szCs w:val="11"/>
                <w:color w:val="auto"/>
              </w:rPr>
            </w:pPr>
          </w:p>
        </w:tc>
        <w:tc>
          <w:tcPr>
            <w:tcW w:w="80" w:type="dxa"/>
            <w:vAlign w:val="bottom"/>
            <w:gridSpan w:val="3"/>
          </w:tcPr>
          <w:p>
            <w:pPr>
              <w:spacing w:after="0"/>
              <w:rPr>
                <w:sz w:val="11"/>
                <w:szCs w:val="11"/>
                <w:color w:val="auto"/>
              </w:rPr>
            </w:pPr>
          </w:p>
        </w:tc>
        <w:tc>
          <w:tcPr>
            <w:tcW w:w="240" w:type="dxa"/>
            <w:vAlign w:val="bottom"/>
            <w:gridSpan w:val="6"/>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860" w:type="dxa"/>
            <w:vAlign w:val="bottom"/>
          </w:tcPr>
          <w:p>
            <w:pPr>
              <w:ind w:left="20"/>
              <w:spacing w:after="0"/>
              <w:rPr>
                <w:sz w:val="20"/>
                <w:szCs w:val="20"/>
                <w:color w:val="auto"/>
              </w:rPr>
            </w:pPr>
            <w:r>
              <w:rPr>
                <w:rFonts w:ascii="Arial" w:cs="Arial" w:eastAsia="Arial" w:hAnsi="Arial"/>
                <w:sz w:val="14"/>
                <w:szCs w:val="14"/>
                <w:color w:val="auto"/>
              </w:rPr>
              <w:t>10.15+</w:t>
            </w:r>
          </w:p>
        </w:tc>
        <w:tc>
          <w:tcPr>
            <w:tcW w:w="140" w:type="dxa"/>
            <w:vAlign w:val="bottom"/>
          </w:tcPr>
          <w:p>
            <w:pPr>
              <w:spacing w:after="0"/>
              <w:rPr>
                <w:sz w:val="20"/>
                <w:szCs w:val="20"/>
                <w:color w:val="auto"/>
              </w:rPr>
            </w:pPr>
          </w:p>
        </w:tc>
        <w:tc>
          <w:tcPr>
            <w:tcW w:w="4880" w:type="dxa"/>
            <w:vAlign w:val="bottom"/>
            <w:gridSpan w:val="41"/>
          </w:tcPr>
          <w:p>
            <w:pPr>
              <w:spacing w:after="0"/>
              <w:rPr>
                <w:rFonts w:ascii="Arial" w:cs="Arial" w:eastAsia="Arial" w:hAnsi="Arial"/>
                <w:sz w:val="14"/>
                <w:szCs w:val="14"/>
                <w:color w:val="0000FF"/>
              </w:rPr>
            </w:pPr>
            <w:hyperlink r:id="rId226">
              <w:r>
                <w:rPr>
                  <w:rFonts w:ascii="Arial" w:cs="Arial" w:eastAsia="Arial" w:hAnsi="Arial"/>
                  <w:sz w:val="14"/>
                  <w:szCs w:val="14"/>
                  <w:color w:val="0000FF"/>
                </w:rPr>
                <w:t>First Amendment to Employment Agreement dated November 9, 2020 by and</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10-K</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March 10, 2021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Borders>
              <w:top w:val="single" w:sz="8" w:color="0000FF"/>
              <w:bottom w:val="single" w:sz="8" w:color="0000FF"/>
            </w:tcBorders>
            <w:gridSpan w:val="15"/>
          </w:tcPr>
          <w:p>
            <w:pPr>
              <w:spacing w:after="0" w:line="129" w:lineRule="exact"/>
              <w:rPr>
                <w:rFonts w:ascii="Arial" w:cs="Arial" w:eastAsia="Arial" w:hAnsi="Arial"/>
                <w:sz w:val="14"/>
                <w:szCs w:val="14"/>
                <w:color w:val="0000FF"/>
                <w:w w:val="92"/>
              </w:rPr>
            </w:pPr>
            <w:hyperlink r:id="rId226">
              <w:r>
                <w:rPr>
                  <w:rFonts w:ascii="Arial" w:cs="Arial" w:eastAsia="Arial" w:hAnsi="Arial"/>
                  <w:sz w:val="14"/>
                  <w:szCs w:val="14"/>
                  <w:color w:val="0000FF"/>
                  <w:w w:val="92"/>
                </w:rPr>
                <w:t>between Red Violet, Inc. and James Reilly.</w:t>
              </w:r>
            </w:hyperlink>
          </w:p>
        </w:tc>
        <w:tc>
          <w:tcPr>
            <w:tcW w:w="20" w:type="dxa"/>
            <w:vAlign w:val="bottom"/>
            <w:tcBorders>
              <w:top w:val="single" w:sz="8" w:color="0000FF"/>
              <w:bottom w:val="single" w:sz="8" w:color="0000EE"/>
            </w:tcBorders>
          </w:tcPr>
          <w:p>
            <w:pPr>
              <w:spacing w:after="0"/>
              <w:rPr>
                <w:sz w:val="11"/>
                <w:szCs w:val="11"/>
                <w:color w:val="auto"/>
              </w:rPr>
            </w:pPr>
          </w:p>
        </w:tc>
        <w:tc>
          <w:tcPr>
            <w:tcW w:w="2060" w:type="dxa"/>
            <w:vAlign w:val="bottom"/>
            <w:tcBorders>
              <w:top w:val="single" w:sz="8" w:color="0000FF"/>
            </w:tcBorders>
            <w:gridSpan w:val="16"/>
          </w:tcPr>
          <w:p>
            <w:pPr>
              <w:spacing w:after="0"/>
              <w:rPr>
                <w:sz w:val="11"/>
                <w:szCs w:val="11"/>
                <w:color w:val="auto"/>
              </w:rPr>
            </w:pPr>
          </w:p>
        </w:tc>
        <w:tc>
          <w:tcPr>
            <w:tcW w:w="80" w:type="dxa"/>
            <w:vAlign w:val="bottom"/>
            <w:gridSpan w:val="3"/>
          </w:tcPr>
          <w:p>
            <w:pPr>
              <w:spacing w:after="0"/>
              <w:rPr>
                <w:sz w:val="11"/>
                <w:szCs w:val="11"/>
                <w:color w:val="auto"/>
              </w:rPr>
            </w:pPr>
          </w:p>
        </w:tc>
        <w:tc>
          <w:tcPr>
            <w:tcW w:w="240" w:type="dxa"/>
            <w:vAlign w:val="bottom"/>
            <w:gridSpan w:val="6"/>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860" w:type="dxa"/>
            <w:vAlign w:val="bottom"/>
          </w:tcPr>
          <w:p>
            <w:pPr>
              <w:ind w:left="20"/>
              <w:spacing w:after="0"/>
              <w:rPr>
                <w:sz w:val="20"/>
                <w:szCs w:val="20"/>
                <w:color w:val="auto"/>
              </w:rPr>
            </w:pPr>
            <w:r>
              <w:rPr>
                <w:rFonts w:ascii="Arial" w:cs="Arial" w:eastAsia="Arial" w:hAnsi="Arial"/>
                <w:sz w:val="14"/>
                <w:szCs w:val="14"/>
                <w:color w:val="auto"/>
              </w:rPr>
              <w:t>10.16+</w:t>
            </w:r>
          </w:p>
        </w:tc>
        <w:tc>
          <w:tcPr>
            <w:tcW w:w="140" w:type="dxa"/>
            <w:vAlign w:val="bottom"/>
          </w:tcPr>
          <w:p>
            <w:pPr>
              <w:spacing w:after="0"/>
              <w:rPr>
                <w:sz w:val="20"/>
                <w:szCs w:val="20"/>
                <w:color w:val="auto"/>
              </w:rPr>
            </w:pPr>
          </w:p>
        </w:tc>
        <w:tc>
          <w:tcPr>
            <w:tcW w:w="4880" w:type="dxa"/>
            <w:vAlign w:val="bottom"/>
            <w:gridSpan w:val="41"/>
          </w:tcPr>
          <w:p>
            <w:pPr>
              <w:spacing w:after="0"/>
              <w:rPr>
                <w:rFonts w:ascii="Arial" w:cs="Arial" w:eastAsia="Arial" w:hAnsi="Arial"/>
                <w:sz w:val="14"/>
                <w:szCs w:val="14"/>
                <w:color w:val="0000FF"/>
              </w:rPr>
            </w:pPr>
            <w:hyperlink r:id="rId227">
              <w:r>
                <w:rPr>
                  <w:rFonts w:ascii="Arial" w:cs="Arial" w:eastAsia="Arial" w:hAnsi="Arial"/>
                  <w:sz w:val="14"/>
                  <w:szCs w:val="14"/>
                  <w:color w:val="0000FF"/>
                </w:rPr>
                <w:t>First Amendment to Employment Agreement dated November 9, 2020 by and</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10-K</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March 10, 2021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6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227">
              <w:r>
                <w:rPr>
                  <w:rFonts w:ascii="Arial" w:cs="Arial" w:eastAsia="Arial" w:hAnsi="Arial"/>
                  <w:sz w:val="14"/>
                  <w:szCs w:val="14"/>
                  <w:color w:val="0000FF"/>
                </w:rPr>
                <w:t>between Red Violet, Inc. and Daniel MacLachlan.</w:t>
              </w:r>
            </w:hyperlink>
          </w:p>
        </w:tc>
        <w:tc>
          <w:tcPr>
            <w:tcW w:w="80" w:type="dxa"/>
            <w:vAlign w:val="bottom"/>
            <w:gridSpan w:val="3"/>
          </w:tcPr>
          <w:p>
            <w:pPr>
              <w:spacing w:after="0"/>
              <w:rPr>
                <w:sz w:val="11"/>
                <w:szCs w:val="11"/>
                <w:color w:val="auto"/>
              </w:rPr>
            </w:pPr>
          </w:p>
        </w:tc>
        <w:tc>
          <w:tcPr>
            <w:tcW w:w="240" w:type="dxa"/>
            <w:vAlign w:val="bottom"/>
            <w:gridSpan w:val="6"/>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11"/>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EE"/>
            </w:tcBorders>
            <w:gridSpan w:val="8"/>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ind w:left="20"/>
              <w:spacing w:after="0"/>
              <w:rPr>
                <w:sz w:val="20"/>
                <w:szCs w:val="20"/>
                <w:color w:val="auto"/>
              </w:rPr>
            </w:pPr>
            <w:r>
              <w:rPr>
                <w:rFonts w:ascii="Arial" w:cs="Arial" w:eastAsia="Arial" w:hAnsi="Arial"/>
                <w:sz w:val="14"/>
                <w:szCs w:val="14"/>
                <w:color w:val="auto"/>
              </w:rPr>
              <w:t>10.17+</w:t>
            </w:r>
          </w:p>
        </w:tc>
        <w:tc>
          <w:tcPr>
            <w:tcW w:w="140" w:type="dxa"/>
            <w:vAlign w:val="bottom"/>
          </w:tcPr>
          <w:p>
            <w:pPr>
              <w:spacing w:after="0"/>
              <w:rPr>
                <w:sz w:val="20"/>
                <w:szCs w:val="20"/>
                <w:color w:val="auto"/>
              </w:rPr>
            </w:pPr>
          </w:p>
        </w:tc>
        <w:tc>
          <w:tcPr>
            <w:tcW w:w="4880" w:type="dxa"/>
            <w:vAlign w:val="bottom"/>
            <w:gridSpan w:val="41"/>
          </w:tcPr>
          <w:p>
            <w:pPr>
              <w:spacing w:after="0"/>
              <w:rPr>
                <w:rFonts w:ascii="Arial" w:cs="Arial" w:eastAsia="Arial" w:hAnsi="Arial"/>
                <w:sz w:val="14"/>
                <w:szCs w:val="14"/>
                <w:color w:val="0000FF"/>
              </w:rPr>
            </w:pPr>
            <w:hyperlink r:id="rId228">
              <w:r>
                <w:rPr>
                  <w:rFonts w:ascii="Arial" w:cs="Arial" w:eastAsia="Arial" w:hAnsi="Arial"/>
                  <w:sz w:val="14"/>
                  <w:szCs w:val="14"/>
                  <w:color w:val="0000FF"/>
                </w:rPr>
                <w:t>First Amendment to Employment Agreement dated November 9, 2020 by and</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10-K</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March 10, 2021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6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228">
              <w:r>
                <w:rPr>
                  <w:rFonts w:ascii="Arial" w:cs="Arial" w:eastAsia="Arial" w:hAnsi="Arial"/>
                  <w:sz w:val="14"/>
                  <w:szCs w:val="14"/>
                  <w:color w:val="0000FF"/>
                </w:rPr>
                <w:t>between Red Violet, Inc. and Jeffrey Dell.</w:t>
              </w:r>
            </w:hyperlink>
          </w:p>
        </w:tc>
        <w:tc>
          <w:tcPr>
            <w:tcW w:w="80" w:type="dxa"/>
            <w:vAlign w:val="bottom"/>
            <w:gridSpan w:val="3"/>
          </w:tcPr>
          <w:p>
            <w:pPr>
              <w:spacing w:after="0"/>
              <w:rPr>
                <w:sz w:val="11"/>
                <w:szCs w:val="11"/>
                <w:color w:val="auto"/>
              </w:rPr>
            </w:pPr>
          </w:p>
        </w:tc>
        <w:tc>
          <w:tcPr>
            <w:tcW w:w="240" w:type="dxa"/>
            <w:vAlign w:val="bottom"/>
            <w:gridSpan w:val="6"/>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11"/>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ind w:left="20"/>
              <w:spacing w:after="0"/>
              <w:rPr>
                <w:sz w:val="20"/>
                <w:szCs w:val="20"/>
                <w:color w:val="auto"/>
              </w:rPr>
            </w:pPr>
            <w:r>
              <w:rPr>
                <w:rFonts w:ascii="Arial" w:cs="Arial" w:eastAsia="Arial" w:hAnsi="Arial"/>
                <w:sz w:val="14"/>
                <w:szCs w:val="14"/>
                <w:color w:val="auto"/>
              </w:rPr>
              <w:t>10.18</w:t>
            </w:r>
          </w:p>
        </w:tc>
        <w:tc>
          <w:tcPr>
            <w:tcW w:w="140" w:type="dxa"/>
            <w:vAlign w:val="bottom"/>
          </w:tcPr>
          <w:p>
            <w:pPr>
              <w:spacing w:after="0"/>
              <w:rPr>
                <w:sz w:val="20"/>
                <w:szCs w:val="20"/>
                <w:color w:val="auto"/>
              </w:rPr>
            </w:pPr>
          </w:p>
        </w:tc>
        <w:tc>
          <w:tcPr>
            <w:tcW w:w="4880" w:type="dxa"/>
            <w:vAlign w:val="bottom"/>
            <w:gridSpan w:val="41"/>
          </w:tcPr>
          <w:p>
            <w:pPr>
              <w:spacing w:after="0"/>
              <w:rPr>
                <w:rFonts w:ascii="Arial" w:cs="Arial" w:eastAsia="Arial" w:hAnsi="Arial"/>
                <w:sz w:val="14"/>
                <w:szCs w:val="14"/>
                <w:color w:val="0000FF"/>
              </w:rPr>
            </w:pPr>
            <w:hyperlink r:id="rId229">
              <w:r>
                <w:rPr>
                  <w:rFonts w:ascii="Arial" w:cs="Arial" w:eastAsia="Arial" w:hAnsi="Arial"/>
                  <w:sz w:val="14"/>
                  <w:szCs w:val="14"/>
                  <w:color w:val="0000FF"/>
                </w:rPr>
                <w:t>Form of Securities Purchase Agreement, dated as of November 19, 2021.</w:t>
              </w:r>
            </w:hyperlink>
          </w:p>
        </w:tc>
        <w:tc>
          <w:tcPr>
            <w:tcW w:w="980" w:type="dxa"/>
            <w:vAlign w:val="bottom"/>
          </w:tcPr>
          <w:p>
            <w:pPr>
              <w:ind w:left="20"/>
              <w:spacing w:after="0"/>
              <w:rPr>
                <w:sz w:val="20"/>
                <w:szCs w:val="20"/>
                <w:color w:val="auto"/>
              </w:rPr>
            </w:pPr>
            <w:r>
              <w:rPr>
                <w:rFonts w:ascii="Arial" w:cs="Arial" w:eastAsia="Arial" w:hAnsi="Arial"/>
                <w:sz w:val="14"/>
                <w:szCs w:val="14"/>
                <w:color w:val="auto"/>
              </w:rPr>
              <w:t>8-K</w:t>
            </w:r>
          </w:p>
        </w:tc>
        <w:tc>
          <w:tcPr>
            <w:tcW w:w="1160" w:type="dxa"/>
            <w:vAlign w:val="bottom"/>
            <w:gridSpan w:val="2"/>
          </w:tcPr>
          <w:p>
            <w:pPr>
              <w:jc w:val="right"/>
              <w:ind w:right="314"/>
              <w:spacing w:after="0"/>
              <w:rPr>
                <w:sz w:val="20"/>
                <w:szCs w:val="20"/>
                <w:color w:val="auto"/>
              </w:rPr>
            </w:pPr>
            <w:r>
              <w:rPr>
                <w:rFonts w:ascii="Arial" w:cs="Arial" w:eastAsia="Arial" w:hAnsi="Arial"/>
                <w:sz w:val="14"/>
                <w:szCs w:val="14"/>
                <w:color w:val="auto"/>
              </w:rPr>
              <w:t>001-38407</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4"/>
                <w:szCs w:val="14"/>
                <w:color w:val="auto"/>
                <w:w w:val="97"/>
              </w:rPr>
              <w:t>November 19, 2021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15"/>
                <w:szCs w:val="15"/>
                <w:color w:val="auto"/>
              </w:rPr>
            </w:pPr>
          </w:p>
        </w:tc>
        <w:tc>
          <w:tcPr>
            <w:tcW w:w="1820" w:type="dxa"/>
            <w:vAlign w:val="bottom"/>
            <w:tcBorders>
              <w:top w:val="single" w:sz="8" w:color="0000FF"/>
              <w:bottom w:val="single" w:sz="8" w:color="0000FF"/>
            </w:tcBorders>
            <w:gridSpan w:val="11"/>
          </w:tcPr>
          <w:p>
            <w:pPr>
              <w:spacing w:after="0"/>
              <w:rPr>
                <w:rFonts w:ascii="Arial" w:cs="Arial" w:eastAsia="Arial" w:hAnsi="Arial"/>
                <w:sz w:val="14"/>
                <w:szCs w:val="14"/>
                <w:color w:val="0000FF"/>
                <w:w w:val="94"/>
              </w:rPr>
            </w:pPr>
            <w:hyperlink w:anchor="page63">
              <w:r>
                <w:rPr>
                  <w:rFonts w:ascii="Arial" w:cs="Arial" w:eastAsia="Arial" w:hAnsi="Arial"/>
                  <w:sz w:val="14"/>
                  <w:szCs w:val="14"/>
                  <w:color w:val="0000FF"/>
                  <w:w w:val="94"/>
                </w:rPr>
                <w:t>Subsidiaries of Red Violet, Inc.</w:t>
              </w:r>
            </w:hyperlink>
          </w:p>
        </w:tc>
        <w:tc>
          <w:tcPr>
            <w:tcW w:w="2400" w:type="dxa"/>
            <w:vAlign w:val="bottom"/>
            <w:tcBorders>
              <w:top w:val="single" w:sz="8" w:color="0000FF"/>
            </w:tcBorders>
            <w:gridSpan w:val="17"/>
          </w:tcPr>
          <w:p>
            <w:pPr>
              <w:spacing w:after="0"/>
              <w:rPr>
                <w:sz w:val="15"/>
                <w:szCs w:val="15"/>
                <w:color w:val="auto"/>
              </w:rPr>
            </w:pPr>
          </w:p>
        </w:tc>
        <w:tc>
          <w:tcPr>
            <w:tcW w:w="660" w:type="dxa"/>
            <w:vAlign w:val="bottom"/>
            <w:gridSpan w:val="13"/>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5"/>
                <w:szCs w:val="15"/>
                <w:color w:val="auto"/>
              </w:rPr>
            </w:pPr>
          </w:p>
        </w:tc>
        <w:tc>
          <w:tcPr>
            <w:tcW w:w="4880" w:type="dxa"/>
            <w:vAlign w:val="bottom"/>
            <w:gridSpan w:val="41"/>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Consent of Grant Thornton LLP.</w:t>
              </w:r>
            </w:hyperlink>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gridSpan w:val="12"/>
            <w:shd w:val="clear" w:color="auto" w:fill="0000FF"/>
          </w:tcPr>
          <w:p>
            <w:pPr>
              <w:spacing w:after="0" w:line="20" w:lineRule="exact"/>
              <w:rPr>
                <w:sz w:val="1"/>
                <w:szCs w:val="1"/>
                <w:color w:val="auto"/>
              </w:rPr>
            </w:pPr>
          </w:p>
        </w:tc>
        <w:tc>
          <w:tcPr>
            <w:tcW w:w="15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31.1</w:t>
            </w:r>
          </w:p>
        </w:tc>
        <w:tc>
          <w:tcPr>
            <w:tcW w:w="140" w:type="dxa"/>
            <w:vAlign w:val="bottom"/>
          </w:tcPr>
          <w:p>
            <w:pPr>
              <w:spacing w:after="0"/>
              <w:rPr>
                <w:sz w:val="15"/>
                <w:szCs w:val="15"/>
                <w:color w:val="auto"/>
              </w:rPr>
            </w:pPr>
          </w:p>
        </w:tc>
        <w:tc>
          <w:tcPr>
            <w:tcW w:w="4880" w:type="dxa"/>
            <w:vAlign w:val="bottom"/>
            <w:gridSpan w:val="41"/>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Certification of Chief Executive Officer filed pursuant to Exchange Act Rules</w:t>
              </w:r>
            </w:hyperlink>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40" w:type="dxa"/>
            <w:vAlign w:val="bottom"/>
            <w:tcBorders>
              <w:top w:val="single" w:sz="8" w:color="0000FF"/>
              <w:bottom w:val="single" w:sz="8" w:color="0000FF"/>
            </w:tcBorders>
            <w:gridSpan w:val="31"/>
          </w:tcPr>
          <w:p>
            <w:pPr>
              <w:spacing w:after="0" w:line="129" w:lineRule="exact"/>
              <w:rPr>
                <w:rFonts w:ascii="Arial" w:cs="Arial" w:eastAsia="Arial" w:hAnsi="Arial"/>
                <w:sz w:val="14"/>
                <w:szCs w:val="14"/>
                <w:color w:val="0000FF"/>
                <w:w w:val="90"/>
              </w:rPr>
            </w:pPr>
            <w:hyperlink w:anchor="page65">
              <w:r>
                <w:rPr>
                  <w:rFonts w:ascii="Arial" w:cs="Arial" w:eastAsia="Arial" w:hAnsi="Arial"/>
                  <w:sz w:val="14"/>
                  <w:szCs w:val="14"/>
                  <w:color w:val="0000FF"/>
                  <w:w w:val="90"/>
                </w:rPr>
                <w:t>13a-14(a) and 15d-14(a) of the Securities and Exchange Act of 1934 as adopted</w:t>
              </w:r>
            </w:hyperlink>
          </w:p>
        </w:tc>
        <w:tc>
          <w:tcPr>
            <w:tcW w:w="100" w:type="dxa"/>
            <w:vAlign w:val="bottom"/>
            <w:tcBorders>
              <w:bottom w:val="single" w:sz="8" w:color="0000FF"/>
            </w:tcBorders>
            <w:gridSpan w:val="4"/>
          </w:tcPr>
          <w:p>
            <w:pPr>
              <w:spacing w:after="0"/>
              <w:rPr>
                <w:sz w:val="11"/>
                <w:szCs w:val="11"/>
                <w:color w:val="auto"/>
              </w:rPr>
            </w:pPr>
          </w:p>
        </w:tc>
        <w:tc>
          <w:tcPr>
            <w:tcW w:w="240" w:type="dxa"/>
            <w:vAlign w:val="bottom"/>
            <w:gridSpan w:val="6"/>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tcBorders>
              <w:bottom w:val="single" w:sz="8" w:color="0000FF"/>
            </w:tcBorders>
            <w:gridSpan w:val="25"/>
          </w:tcPr>
          <w:p>
            <w:pPr>
              <w:spacing w:after="0" w:line="129" w:lineRule="exact"/>
              <w:rPr>
                <w:rFonts w:ascii="Arial" w:cs="Arial" w:eastAsia="Arial" w:hAnsi="Arial"/>
                <w:sz w:val="14"/>
                <w:szCs w:val="14"/>
                <w:color w:val="0000FF"/>
                <w:w w:val="93"/>
              </w:rPr>
            </w:pPr>
            <w:hyperlink w:anchor="page65">
              <w:r>
                <w:rPr>
                  <w:rFonts w:ascii="Arial" w:cs="Arial" w:eastAsia="Arial" w:hAnsi="Arial"/>
                  <w:sz w:val="14"/>
                  <w:szCs w:val="14"/>
                  <w:color w:val="0000FF"/>
                  <w:w w:val="93"/>
                </w:rPr>
                <w:t>pursuant to Section 302 of the Sarbanes-Oxley Act of 2002.</w:t>
              </w:r>
            </w:hyperlink>
          </w:p>
        </w:tc>
        <w:tc>
          <w:tcPr>
            <w:tcW w:w="20" w:type="dxa"/>
            <w:vAlign w:val="bottom"/>
            <w:tcBorders>
              <w:bottom w:val="single" w:sz="8" w:color="0000EE"/>
            </w:tcBorders>
          </w:tcPr>
          <w:p>
            <w:pPr>
              <w:spacing w:after="0"/>
              <w:rPr>
                <w:sz w:val="11"/>
                <w:szCs w:val="11"/>
                <w:color w:val="auto"/>
              </w:rPr>
            </w:pPr>
          </w:p>
        </w:tc>
        <w:tc>
          <w:tcPr>
            <w:tcW w:w="1160" w:type="dxa"/>
            <w:vAlign w:val="bottom"/>
            <w:gridSpan w:val="9"/>
          </w:tcPr>
          <w:p>
            <w:pPr>
              <w:spacing w:after="0"/>
              <w:rPr>
                <w:sz w:val="11"/>
                <w:szCs w:val="11"/>
                <w:color w:val="auto"/>
              </w:rPr>
            </w:pPr>
          </w:p>
        </w:tc>
        <w:tc>
          <w:tcPr>
            <w:tcW w:w="240" w:type="dxa"/>
            <w:vAlign w:val="bottom"/>
            <w:gridSpan w:val="6"/>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9" w:name="page40"/>
    <w:bookmarkEnd w:id="39"/>
    <w:tbl>
      <w:tblPr>
        <w:tblLayout w:type="fixed"/>
        <w:tblInd w:w="2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color w:val="auto"/>
              </w:rPr>
              <w:t>31.2</w:t>
            </w:r>
          </w:p>
        </w:tc>
        <w:tc>
          <w:tcPr>
            <w:tcW w:w="7260" w:type="dxa"/>
            <w:vAlign w:val="bottom"/>
            <w:gridSpan w:val="8"/>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Certification of Chief Financial Officer filed pursuant to Exchange Act Rules</w:t>
              </w:r>
            </w:hyperlink>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128"/>
        </w:trPr>
        <w:tc>
          <w:tcPr>
            <w:tcW w:w="980" w:type="dxa"/>
            <w:vAlign w:val="bottom"/>
          </w:tcPr>
          <w:p>
            <w:pPr>
              <w:spacing w:after="0"/>
              <w:rPr>
                <w:sz w:val="11"/>
                <w:szCs w:val="11"/>
                <w:color w:val="auto"/>
              </w:rPr>
            </w:pPr>
          </w:p>
        </w:tc>
        <w:tc>
          <w:tcPr>
            <w:tcW w:w="450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89"/>
              </w:rPr>
            </w:pPr>
            <w:hyperlink w:anchor="page66">
              <w:r>
                <w:rPr>
                  <w:rFonts w:ascii="Arial" w:cs="Arial" w:eastAsia="Arial" w:hAnsi="Arial"/>
                  <w:sz w:val="14"/>
                  <w:szCs w:val="14"/>
                  <w:color w:val="0000FF"/>
                  <w:w w:val="89"/>
                </w:rPr>
                <w:t>13a-14(a) and 15d-14(a) of the Securities and Exchange Act of 1934 as adopted</w:t>
              </w:r>
            </w:hyperlink>
          </w:p>
        </w:tc>
        <w:tc>
          <w:tcPr>
            <w:tcW w:w="10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600" w:type="dxa"/>
            <w:vAlign w:val="bottom"/>
          </w:tcPr>
          <w:p>
            <w:pPr>
              <w:spacing w:after="0"/>
              <w:rPr>
                <w:sz w:val="11"/>
                <w:szCs w:val="11"/>
                <w:color w:val="auto"/>
              </w:rPr>
            </w:pPr>
          </w:p>
        </w:tc>
        <w:tc>
          <w:tcPr>
            <w:tcW w:w="2720" w:type="dxa"/>
            <w:vAlign w:val="bottom"/>
          </w:tcPr>
          <w:p>
            <w:pPr>
              <w:spacing w:after="0"/>
              <w:rPr>
                <w:sz w:val="11"/>
                <w:szCs w:val="11"/>
                <w:color w:val="auto"/>
              </w:rPr>
            </w:pPr>
          </w:p>
        </w:tc>
      </w:tr>
      <w:tr>
        <w:trPr>
          <w:trHeight w:val="129"/>
        </w:trPr>
        <w:tc>
          <w:tcPr>
            <w:tcW w:w="980" w:type="dxa"/>
            <w:vAlign w:val="bottom"/>
          </w:tcPr>
          <w:p>
            <w:pPr>
              <w:spacing w:after="0"/>
              <w:rPr>
                <w:sz w:val="11"/>
                <w:szCs w:val="11"/>
                <w:color w:val="auto"/>
              </w:rPr>
            </w:pPr>
          </w:p>
        </w:tc>
        <w:tc>
          <w:tcPr>
            <w:tcW w:w="3460" w:type="dxa"/>
            <w:vAlign w:val="bottom"/>
            <w:tcBorders>
              <w:bottom w:val="single" w:sz="8" w:color="0000FF"/>
            </w:tcBorders>
          </w:tcPr>
          <w:p>
            <w:pPr>
              <w:spacing w:after="0" w:line="129" w:lineRule="exact"/>
              <w:rPr>
                <w:rFonts w:ascii="Arial" w:cs="Arial" w:eastAsia="Arial" w:hAnsi="Arial"/>
                <w:sz w:val="14"/>
                <w:szCs w:val="14"/>
                <w:color w:val="0000FF"/>
                <w:w w:val="93"/>
              </w:rPr>
            </w:pPr>
            <w:hyperlink w:anchor="page66">
              <w:r>
                <w:rPr>
                  <w:rFonts w:ascii="Arial" w:cs="Arial" w:eastAsia="Arial" w:hAnsi="Arial"/>
                  <w:sz w:val="14"/>
                  <w:szCs w:val="14"/>
                  <w:color w:val="0000FF"/>
                  <w:w w:val="93"/>
                </w:rPr>
                <w:t>pursuant to Section 302 of the Sarbanes-Oxley Act of 2002.</w:t>
              </w:r>
            </w:hyperlink>
          </w:p>
        </w:tc>
        <w:tc>
          <w:tcPr>
            <w:tcW w:w="20" w:type="dxa"/>
            <w:vAlign w:val="bottom"/>
            <w:tcBorders>
              <w:bottom w:val="single" w:sz="8" w:color="0000EE"/>
            </w:tcBorders>
          </w:tcPr>
          <w:p>
            <w:pPr>
              <w:spacing w:after="0"/>
              <w:rPr>
                <w:sz w:val="11"/>
                <w:szCs w:val="11"/>
                <w:color w:val="auto"/>
              </w:rPr>
            </w:pPr>
          </w:p>
        </w:tc>
        <w:tc>
          <w:tcPr>
            <w:tcW w:w="1180" w:type="dxa"/>
            <w:vAlign w:val="bottom"/>
            <w:gridSpan w:val="5"/>
          </w:tcPr>
          <w:p>
            <w:pPr>
              <w:spacing w:after="0"/>
              <w:rPr>
                <w:sz w:val="11"/>
                <w:szCs w:val="11"/>
                <w:color w:val="auto"/>
              </w:rPr>
            </w:pPr>
          </w:p>
        </w:tc>
        <w:tc>
          <w:tcPr>
            <w:tcW w:w="2600" w:type="dxa"/>
            <w:vAlign w:val="bottom"/>
          </w:tcPr>
          <w:p>
            <w:pPr>
              <w:spacing w:after="0"/>
              <w:rPr>
                <w:sz w:val="11"/>
                <w:szCs w:val="11"/>
                <w:color w:val="auto"/>
              </w:rPr>
            </w:pPr>
          </w:p>
        </w:tc>
        <w:tc>
          <w:tcPr>
            <w:tcW w:w="2720" w:type="dxa"/>
            <w:vAlign w:val="bottom"/>
          </w:tcPr>
          <w:p>
            <w:pPr>
              <w:spacing w:after="0"/>
              <w:rPr>
                <w:sz w:val="11"/>
                <w:szCs w:val="11"/>
                <w:color w:val="auto"/>
              </w:rPr>
            </w:pPr>
          </w:p>
        </w:tc>
      </w:tr>
      <w:tr>
        <w:trPr>
          <w:trHeight w:val="290"/>
        </w:trPr>
        <w:tc>
          <w:tcPr>
            <w:tcW w:w="980" w:type="dxa"/>
            <w:vAlign w:val="bottom"/>
          </w:tcPr>
          <w:p>
            <w:pPr>
              <w:spacing w:after="0"/>
              <w:rPr>
                <w:sz w:val="20"/>
                <w:szCs w:val="20"/>
                <w:color w:val="auto"/>
              </w:rPr>
            </w:pPr>
            <w:r>
              <w:rPr>
                <w:rFonts w:ascii="Arial" w:cs="Arial" w:eastAsia="Arial" w:hAnsi="Arial"/>
                <w:sz w:val="14"/>
                <w:szCs w:val="14"/>
                <w:color w:val="auto"/>
              </w:rPr>
              <w:t>32.1*</w:t>
            </w:r>
          </w:p>
        </w:tc>
        <w:tc>
          <w:tcPr>
            <w:tcW w:w="7260" w:type="dxa"/>
            <w:vAlign w:val="bottom"/>
            <w:gridSpan w:val="8"/>
          </w:tcPr>
          <w:p>
            <w:pPr>
              <w:spacing w:after="0"/>
              <w:rPr>
                <w:rFonts w:ascii="Arial" w:cs="Arial" w:eastAsia="Arial" w:hAnsi="Arial"/>
                <w:sz w:val="14"/>
                <w:szCs w:val="14"/>
                <w:color w:val="0000FF"/>
              </w:rPr>
            </w:pPr>
            <w:hyperlink w:anchor="page67">
              <w:r>
                <w:rPr>
                  <w:rFonts w:ascii="Arial" w:cs="Arial" w:eastAsia="Arial" w:hAnsi="Arial"/>
                  <w:sz w:val="14"/>
                  <w:szCs w:val="14"/>
                  <w:color w:val="0000FF"/>
                </w:rPr>
                <w:t>Certification by Chief Executive Officer pursuant to 18 U.S.C. Section 1350, as</w:t>
              </w:r>
            </w:hyperlink>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128"/>
        </w:trPr>
        <w:tc>
          <w:tcPr>
            <w:tcW w:w="980" w:type="dxa"/>
            <w:vAlign w:val="bottom"/>
          </w:tcPr>
          <w:p>
            <w:pPr>
              <w:spacing w:after="0"/>
              <w:rPr>
                <w:sz w:val="11"/>
                <w:szCs w:val="11"/>
                <w:color w:val="auto"/>
              </w:rPr>
            </w:pPr>
          </w:p>
        </w:tc>
        <w:tc>
          <w:tcPr>
            <w:tcW w:w="4640" w:type="dxa"/>
            <w:vAlign w:val="bottom"/>
            <w:tcBorders>
              <w:top w:val="single" w:sz="8" w:color="0000FF"/>
            </w:tcBorders>
            <w:gridSpan w:val="6"/>
          </w:tcPr>
          <w:p>
            <w:pPr>
              <w:spacing w:after="0" w:line="129" w:lineRule="exact"/>
              <w:rPr>
                <w:rFonts w:ascii="Arial" w:cs="Arial" w:eastAsia="Arial" w:hAnsi="Arial"/>
                <w:sz w:val="14"/>
                <w:szCs w:val="14"/>
                <w:color w:val="0000FF"/>
              </w:rPr>
            </w:pPr>
            <w:hyperlink w:anchor="page67">
              <w:r>
                <w:rPr>
                  <w:rFonts w:ascii="Arial" w:cs="Arial" w:eastAsia="Arial" w:hAnsi="Arial"/>
                  <w:sz w:val="14"/>
                  <w:szCs w:val="14"/>
                  <w:color w:val="0000FF"/>
                </w:rPr>
                <w:t>adopted pursuant to Section 906 of the Sarbanes-Oxley Act of 2002.</w:t>
              </w:r>
            </w:hyperlink>
          </w:p>
        </w:tc>
        <w:tc>
          <w:tcPr>
            <w:tcW w:w="2620" w:type="dxa"/>
            <w:vAlign w:val="bottom"/>
            <w:gridSpan w:val="2"/>
          </w:tcPr>
          <w:p>
            <w:pPr>
              <w:spacing w:after="0"/>
              <w:rPr>
                <w:sz w:val="11"/>
                <w:szCs w:val="11"/>
                <w:color w:val="auto"/>
              </w:rPr>
            </w:pPr>
          </w:p>
        </w:tc>
        <w:tc>
          <w:tcPr>
            <w:tcW w:w="2720" w:type="dxa"/>
            <w:vAlign w:val="bottom"/>
          </w:tcPr>
          <w:p>
            <w:pPr>
              <w:spacing w:after="0"/>
              <w:rPr>
                <w:sz w:val="11"/>
                <w:szCs w:val="11"/>
                <w:color w:val="auto"/>
              </w:rPr>
            </w:pPr>
          </w:p>
        </w:tc>
      </w:tr>
      <w:tr>
        <w:trPr>
          <w:trHeight w:val="20"/>
        </w:trPr>
        <w:tc>
          <w:tcPr>
            <w:tcW w:w="980" w:type="dxa"/>
            <w:vAlign w:val="bottom"/>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4"/>
                <w:szCs w:val="14"/>
                <w:color w:val="auto"/>
              </w:rPr>
              <w:t>32.2*</w:t>
            </w:r>
          </w:p>
        </w:tc>
        <w:tc>
          <w:tcPr>
            <w:tcW w:w="7260" w:type="dxa"/>
            <w:vAlign w:val="bottom"/>
            <w:gridSpan w:val="8"/>
          </w:tcPr>
          <w:p>
            <w:pPr>
              <w:spacing w:after="0"/>
              <w:rPr>
                <w:rFonts w:ascii="Arial" w:cs="Arial" w:eastAsia="Arial" w:hAnsi="Arial"/>
                <w:sz w:val="14"/>
                <w:szCs w:val="14"/>
                <w:color w:val="0000FF"/>
              </w:rPr>
            </w:pPr>
            <w:hyperlink w:anchor="page68">
              <w:r>
                <w:rPr>
                  <w:rFonts w:ascii="Arial" w:cs="Arial" w:eastAsia="Arial" w:hAnsi="Arial"/>
                  <w:sz w:val="14"/>
                  <w:szCs w:val="14"/>
                  <w:color w:val="0000FF"/>
                </w:rPr>
                <w:t>Certification by Chief Financial Officer pursuant to 18 U.S.C. Section 1350, as</w:t>
              </w:r>
            </w:hyperlink>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128"/>
        </w:trPr>
        <w:tc>
          <w:tcPr>
            <w:tcW w:w="980" w:type="dxa"/>
            <w:vAlign w:val="bottom"/>
          </w:tcPr>
          <w:p>
            <w:pPr>
              <w:spacing w:after="0"/>
              <w:rPr>
                <w:sz w:val="11"/>
                <w:szCs w:val="11"/>
                <w:color w:val="auto"/>
              </w:rPr>
            </w:pPr>
          </w:p>
        </w:tc>
        <w:tc>
          <w:tcPr>
            <w:tcW w:w="4600" w:type="dxa"/>
            <w:vAlign w:val="bottom"/>
            <w:tcBorders>
              <w:top w:val="single" w:sz="8" w:color="0000FF"/>
            </w:tcBorders>
            <w:gridSpan w:val="5"/>
          </w:tcPr>
          <w:p>
            <w:pPr>
              <w:spacing w:after="0" w:line="129" w:lineRule="exact"/>
              <w:rPr>
                <w:rFonts w:ascii="Arial" w:cs="Arial" w:eastAsia="Arial" w:hAnsi="Arial"/>
                <w:sz w:val="14"/>
                <w:szCs w:val="14"/>
                <w:color w:val="0000FF"/>
              </w:rPr>
            </w:pPr>
            <w:hyperlink w:anchor="page68">
              <w:r>
                <w:rPr>
                  <w:rFonts w:ascii="Arial" w:cs="Arial" w:eastAsia="Arial" w:hAnsi="Arial"/>
                  <w:sz w:val="14"/>
                  <w:szCs w:val="14"/>
                  <w:color w:val="0000FF"/>
                </w:rPr>
                <w:t>adopted pursuant to Section 906 of the Sarbanes-Oxley Act of 2002.</w:t>
              </w:r>
            </w:hyperlink>
          </w:p>
        </w:tc>
        <w:tc>
          <w:tcPr>
            <w:tcW w:w="2660" w:type="dxa"/>
            <w:vAlign w:val="bottom"/>
            <w:gridSpan w:val="3"/>
          </w:tcPr>
          <w:p>
            <w:pPr>
              <w:spacing w:after="0"/>
              <w:rPr>
                <w:sz w:val="11"/>
                <w:szCs w:val="11"/>
                <w:color w:val="auto"/>
              </w:rPr>
            </w:pPr>
          </w:p>
        </w:tc>
        <w:tc>
          <w:tcPr>
            <w:tcW w:w="2720" w:type="dxa"/>
            <w:vAlign w:val="bottom"/>
          </w:tcPr>
          <w:p>
            <w:pPr>
              <w:spacing w:after="0"/>
              <w:rPr>
                <w:sz w:val="11"/>
                <w:szCs w:val="11"/>
                <w:color w:val="auto"/>
              </w:rPr>
            </w:pPr>
          </w:p>
        </w:tc>
      </w:tr>
      <w:tr>
        <w:trPr>
          <w:trHeight w:val="20"/>
        </w:trPr>
        <w:tc>
          <w:tcPr>
            <w:tcW w:w="980" w:type="dxa"/>
            <w:vAlign w:val="bottom"/>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1"/>
        </w:trPr>
        <w:tc>
          <w:tcPr>
            <w:tcW w:w="980" w:type="dxa"/>
            <w:vAlign w:val="bottom"/>
          </w:tcPr>
          <w:p>
            <w:pPr>
              <w:spacing w:after="0"/>
              <w:rPr>
                <w:sz w:val="20"/>
                <w:szCs w:val="20"/>
                <w:color w:val="auto"/>
              </w:rPr>
            </w:pPr>
            <w:r>
              <w:rPr>
                <w:rFonts w:ascii="Arial" w:cs="Arial" w:eastAsia="Arial" w:hAnsi="Arial"/>
                <w:sz w:val="14"/>
                <w:szCs w:val="14"/>
                <w:color w:val="auto"/>
              </w:rPr>
              <w:t>101.INS</w:t>
            </w:r>
          </w:p>
        </w:tc>
        <w:tc>
          <w:tcPr>
            <w:tcW w:w="7260" w:type="dxa"/>
            <w:vAlign w:val="bottom"/>
            <w:gridSpan w:val="8"/>
          </w:tcPr>
          <w:p>
            <w:pPr>
              <w:spacing w:after="0"/>
              <w:rPr>
                <w:sz w:val="20"/>
                <w:szCs w:val="20"/>
                <w:color w:val="auto"/>
              </w:rPr>
            </w:pPr>
            <w:r>
              <w:rPr>
                <w:rFonts w:ascii="Arial" w:cs="Arial" w:eastAsia="Arial" w:hAnsi="Arial"/>
                <w:sz w:val="14"/>
                <w:szCs w:val="14"/>
                <w:color w:val="auto"/>
              </w:rPr>
              <w:t>Inline XBRL Instance Document – the instance document does not appear in the</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148"/>
        </w:trPr>
        <w:tc>
          <w:tcPr>
            <w:tcW w:w="980" w:type="dxa"/>
            <w:vAlign w:val="bottom"/>
          </w:tcPr>
          <w:p>
            <w:pPr>
              <w:spacing w:after="0"/>
              <w:rPr>
                <w:sz w:val="12"/>
                <w:szCs w:val="12"/>
                <w:color w:val="auto"/>
              </w:rPr>
            </w:pPr>
          </w:p>
        </w:tc>
        <w:tc>
          <w:tcPr>
            <w:tcW w:w="7260" w:type="dxa"/>
            <w:vAlign w:val="bottom"/>
            <w:gridSpan w:val="8"/>
          </w:tcPr>
          <w:p>
            <w:pPr>
              <w:spacing w:after="0" w:line="149" w:lineRule="exact"/>
              <w:rPr>
                <w:sz w:val="20"/>
                <w:szCs w:val="20"/>
                <w:color w:val="auto"/>
              </w:rPr>
            </w:pPr>
            <w:r>
              <w:rPr>
                <w:rFonts w:ascii="Arial" w:cs="Arial" w:eastAsia="Arial" w:hAnsi="Arial"/>
                <w:sz w:val="14"/>
                <w:szCs w:val="14"/>
                <w:color w:val="auto"/>
              </w:rPr>
              <w:t>Interactive Data File because its XBRL tags are embedded within the Inline</w:t>
            </w:r>
          </w:p>
        </w:tc>
        <w:tc>
          <w:tcPr>
            <w:tcW w:w="2720" w:type="dxa"/>
            <w:vAlign w:val="bottom"/>
          </w:tcPr>
          <w:p>
            <w:pPr>
              <w:spacing w:after="0"/>
              <w:rPr>
                <w:sz w:val="12"/>
                <w:szCs w:val="12"/>
                <w:color w:val="auto"/>
              </w:rPr>
            </w:pPr>
          </w:p>
        </w:tc>
      </w:tr>
      <w:tr>
        <w:trPr>
          <w:trHeight w:val="162"/>
        </w:trPr>
        <w:tc>
          <w:tcPr>
            <w:tcW w:w="980" w:type="dxa"/>
            <w:vAlign w:val="bottom"/>
          </w:tcPr>
          <w:p>
            <w:pPr>
              <w:spacing w:after="0"/>
              <w:rPr>
                <w:sz w:val="14"/>
                <w:szCs w:val="14"/>
                <w:color w:val="auto"/>
              </w:rPr>
            </w:pPr>
          </w:p>
        </w:tc>
        <w:tc>
          <w:tcPr>
            <w:tcW w:w="7260" w:type="dxa"/>
            <w:vAlign w:val="bottom"/>
            <w:gridSpan w:val="8"/>
          </w:tcPr>
          <w:p>
            <w:pPr>
              <w:spacing w:after="0"/>
              <w:rPr>
                <w:sz w:val="20"/>
                <w:szCs w:val="20"/>
                <w:color w:val="auto"/>
              </w:rPr>
            </w:pPr>
            <w:r>
              <w:rPr>
                <w:rFonts w:ascii="Arial" w:cs="Arial" w:eastAsia="Arial" w:hAnsi="Arial"/>
                <w:sz w:val="14"/>
                <w:szCs w:val="14"/>
                <w:color w:val="auto"/>
              </w:rPr>
              <w:t>XBRL document.</w:t>
            </w:r>
          </w:p>
        </w:tc>
        <w:tc>
          <w:tcPr>
            <w:tcW w:w="2720" w:type="dxa"/>
            <w:vAlign w:val="bottom"/>
          </w:tcPr>
          <w:p>
            <w:pPr>
              <w:spacing w:after="0"/>
              <w:rPr>
                <w:sz w:val="14"/>
                <w:szCs w:val="14"/>
                <w:color w:val="auto"/>
              </w:rPr>
            </w:pPr>
          </w:p>
        </w:tc>
      </w:tr>
      <w:tr>
        <w:trPr>
          <w:trHeight w:val="182"/>
        </w:trPr>
        <w:tc>
          <w:tcPr>
            <w:tcW w:w="980" w:type="dxa"/>
            <w:vAlign w:val="bottom"/>
          </w:tcPr>
          <w:p>
            <w:pPr>
              <w:spacing w:after="0"/>
              <w:rPr>
                <w:sz w:val="20"/>
                <w:szCs w:val="20"/>
                <w:color w:val="auto"/>
              </w:rPr>
            </w:pPr>
            <w:r>
              <w:rPr>
                <w:rFonts w:ascii="Arial" w:cs="Arial" w:eastAsia="Arial" w:hAnsi="Arial"/>
                <w:sz w:val="14"/>
                <w:szCs w:val="14"/>
                <w:color w:val="auto"/>
              </w:rPr>
              <w:t>101.SCH</w:t>
            </w:r>
          </w:p>
        </w:tc>
        <w:tc>
          <w:tcPr>
            <w:tcW w:w="7260" w:type="dxa"/>
            <w:vAlign w:val="bottom"/>
            <w:gridSpan w:val="8"/>
          </w:tcPr>
          <w:p>
            <w:pPr>
              <w:spacing w:after="0"/>
              <w:rPr>
                <w:sz w:val="20"/>
                <w:szCs w:val="20"/>
                <w:color w:val="auto"/>
              </w:rPr>
            </w:pPr>
            <w:r>
              <w:rPr>
                <w:rFonts w:ascii="Arial" w:cs="Arial" w:eastAsia="Arial" w:hAnsi="Arial"/>
                <w:sz w:val="14"/>
                <w:szCs w:val="14"/>
                <w:color w:val="auto"/>
              </w:rPr>
              <w:t>Inline XBRL Taxonomy Extension Schema Document.</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229"/>
        </w:trPr>
        <w:tc>
          <w:tcPr>
            <w:tcW w:w="980" w:type="dxa"/>
            <w:vAlign w:val="bottom"/>
          </w:tcPr>
          <w:p>
            <w:pPr>
              <w:spacing w:after="0"/>
              <w:rPr>
                <w:sz w:val="20"/>
                <w:szCs w:val="20"/>
                <w:color w:val="auto"/>
              </w:rPr>
            </w:pPr>
            <w:r>
              <w:rPr>
                <w:rFonts w:ascii="Arial" w:cs="Arial" w:eastAsia="Arial" w:hAnsi="Arial"/>
                <w:sz w:val="14"/>
                <w:szCs w:val="14"/>
                <w:color w:val="auto"/>
              </w:rPr>
              <w:t>101.CAL</w:t>
            </w:r>
          </w:p>
        </w:tc>
        <w:tc>
          <w:tcPr>
            <w:tcW w:w="7260" w:type="dxa"/>
            <w:vAlign w:val="bottom"/>
            <w:gridSpan w:val="8"/>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229"/>
        </w:trPr>
        <w:tc>
          <w:tcPr>
            <w:tcW w:w="980" w:type="dxa"/>
            <w:vAlign w:val="bottom"/>
          </w:tcPr>
          <w:p>
            <w:pPr>
              <w:spacing w:after="0"/>
              <w:rPr>
                <w:sz w:val="20"/>
                <w:szCs w:val="20"/>
                <w:color w:val="auto"/>
              </w:rPr>
            </w:pPr>
            <w:r>
              <w:rPr>
                <w:rFonts w:ascii="Arial" w:cs="Arial" w:eastAsia="Arial" w:hAnsi="Arial"/>
                <w:sz w:val="14"/>
                <w:szCs w:val="14"/>
                <w:color w:val="auto"/>
              </w:rPr>
              <w:t>101.DEF</w:t>
            </w:r>
          </w:p>
        </w:tc>
        <w:tc>
          <w:tcPr>
            <w:tcW w:w="7260" w:type="dxa"/>
            <w:vAlign w:val="bottom"/>
            <w:gridSpan w:val="8"/>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230"/>
        </w:trPr>
        <w:tc>
          <w:tcPr>
            <w:tcW w:w="980" w:type="dxa"/>
            <w:vAlign w:val="bottom"/>
          </w:tcPr>
          <w:p>
            <w:pPr>
              <w:spacing w:after="0"/>
              <w:rPr>
                <w:sz w:val="20"/>
                <w:szCs w:val="20"/>
                <w:color w:val="auto"/>
              </w:rPr>
            </w:pPr>
            <w:r>
              <w:rPr>
                <w:rFonts w:ascii="Arial" w:cs="Arial" w:eastAsia="Arial" w:hAnsi="Arial"/>
                <w:sz w:val="14"/>
                <w:szCs w:val="14"/>
                <w:color w:val="auto"/>
              </w:rPr>
              <w:t>101.LAB</w:t>
            </w:r>
          </w:p>
        </w:tc>
        <w:tc>
          <w:tcPr>
            <w:tcW w:w="7260" w:type="dxa"/>
            <w:vAlign w:val="bottom"/>
            <w:gridSpan w:val="8"/>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229"/>
        </w:trPr>
        <w:tc>
          <w:tcPr>
            <w:tcW w:w="980" w:type="dxa"/>
            <w:vAlign w:val="bottom"/>
          </w:tcPr>
          <w:p>
            <w:pPr>
              <w:spacing w:after="0"/>
              <w:rPr>
                <w:sz w:val="20"/>
                <w:szCs w:val="20"/>
                <w:color w:val="auto"/>
              </w:rPr>
            </w:pPr>
            <w:r>
              <w:rPr>
                <w:rFonts w:ascii="Arial" w:cs="Arial" w:eastAsia="Arial" w:hAnsi="Arial"/>
                <w:sz w:val="14"/>
                <w:szCs w:val="14"/>
                <w:color w:val="auto"/>
              </w:rPr>
              <w:t>101.PRE</w:t>
            </w:r>
          </w:p>
        </w:tc>
        <w:tc>
          <w:tcPr>
            <w:tcW w:w="7260" w:type="dxa"/>
            <w:vAlign w:val="bottom"/>
            <w:gridSpan w:val="8"/>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r>
        <w:trPr>
          <w:trHeight w:val="230"/>
        </w:trPr>
        <w:tc>
          <w:tcPr>
            <w:tcW w:w="980" w:type="dxa"/>
            <w:vAlign w:val="bottom"/>
          </w:tcPr>
          <w:p>
            <w:pPr>
              <w:spacing w:after="0"/>
              <w:rPr>
                <w:sz w:val="20"/>
                <w:szCs w:val="20"/>
                <w:color w:val="auto"/>
              </w:rPr>
            </w:pPr>
            <w:r>
              <w:rPr>
                <w:rFonts w:ascii="Arial" w:cs="Arial" w:eastAsia="Arial" w:hAnsi="Arial"/>
                <w:sz w:val="14"/>
                <w:szCs w:val="14"/>
                <w:color w:val="auto"/>
              </w:rPr>
              <w:t>104</w:t>
            </w:r>
          </w:p>
        </w:tc>
        <w:tc>
          <w:tcPr>
            <w:tcW w:w="7260" w:type="dxa"/>
            <w:vAlign w:val="bottom"/>
            <w:gridSpan w:val="8"/>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2720" w:type="dxa"/>
            <w:vAlign w:val="bottom"/>
          </w:tcPr>
          <w:p>
            <w:pPr>
              <w:ind w:left="2620"/>
              <w:spacing w:after="0"/>
              <w:rPr>
                <w:sz w:val="20"/>
                <w:szCs w:val="20"/>
                <w:color w:val="auto"/>
              </w:rPr>
            </w:pPr>
            <w:r>
              <w:rPr>
                <w:rFonts w:ascii="Arial" w:cs="Arial" w:eastAsia="Arial" w:hAnsi="Arial"/>
                <w:sz w:val="14"/>
                <w:szCs w:val="14"/>
                <w:color w:val="auto"/>
                <w:w w:val="85"/>
              </w:rPr>
              <w:t>X</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w:t>
      </w:r>
    </w:p>
    <w:p>
      <w:pPr>
        <w:spacing w:after="0" w:line="109" w:lineRule="exact"/>
        <w:rPr>
          <w:sz w:val="20"/>
          <w:szCs w:val="20"/>
          <w:color w:val="auto"/>
        </w:rPr>
      </w:pPr>
    </w:p>
    <w:p>
      <w:pPr>
        <w:ind w:right="40" w:firstLine="8"/>
        <w:spacing w:after="0" w:line="273" w:lineRule="auto"/>
        <w:tabs>
          <w:tab w:leader="none" w:pos="108"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Registrants may voluntarily include a summary of information required by Form 10-K under this Item 16. The Company has elected not to include such summary information.</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519" w:right="5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20"/>
        <w:spacing w:after="0"/>
        <w:tabs>
          <w:tab w:leader="none" w:pos="6660" w:val="left"/>
        </w:tabs>
        <w:rPr>
          <w:sz w:val="20"/>
          <w:szCs w:val="20"/>
          <w:color w:val="auto"/>
        </w:rPr>
      </w:pPr>
      <w:r>
        <w:rPr>
          <w:rFonts w:ascii="Arial" w:cs="Arial" w:eastAsia="Arial" w:hAnsi="Arial"/>
          <w:sz w:val="18"/>
          <w:szCs w:val="18"/>
          <w:color w:val="auto"/>
        </w:rPr>
        <w:t>March 9, 2022</w:t>
      </w:r>
      <w:r>
        <w:rPr>
          <w:sz w:val="20"/>
          <w:szCs w:val="20"/>
          <w:color w:val="auto"/>
        </w:rPr>
        <w:tab/>
      </w:r>
      <w:r>
        <w:rPr>
          <w:rFonts w:ascii="Arial" w:cs="Arial" w:eastAsia="Arial" w:hAnsi="Arial"/>
          <w:sz w:val="18"/>
          <w:szCs w:val="18"/>
          <w:b w:val="1"/>
          <w:bCs w:val="1"/>
          <w:color w:val="auto"/>
        </w:rPr>
        <w:t>RED VIOLET, INC.</w:t>
      </w:r>
    </w:p>
    <w:p>
      <w:pPr>
        <w:spacing w:after="0" w:line="200" w:lineRule="exact"/>
        <w:rPr>
          <w:sz w:val="20"/>
          <w:szCs w:val="20"/>
          <w:color w:val="auto"/>
        </w:rPr>
      </w:pPr>
    </w:p>
    <w:p>
      <w:pPr>
        <w:spacing w:after="0" w:line="218" w:lineRule="exact"/>
        <w:rPr>
          <w:sz w:val="20"/>
          <w:szCs w:val="20"/>
          <w:color w:val="auto"/>
        </w:rPr>
      </w:pPr>
    </w:p>
    <w:p>
      <w:pPr>
        <w:ind w:left="6200"/>
        <w:spacing w:after="0"/>
        <w:tabs>
          <w:tab w:leader="none" w:pos="6660" w:val="left"/>
        </w:tabs>
        <w:rPr>
          <w:sz w:val="20"/>
          <w:szCs w:val="20"/>
          <w:color w:val="auto"/>
        </w:rPr>
      </w:pPr>
      <w:r>
        <w:rPr>
          <w:rFonts w:ascii="Arial" w:cs="Arial" w:eastAsia="Arial" w:hAnsi="Arial"/>
          <w:sz w:val="18"/>
          <w:szCs w:val="18"/>
          <w:color w:val="auto"/>
        </w:rPr>
        <w:t>By:</w:t>
        <w:tab/>
        <w:t>/s/ Derek Dubner</w:t>
      </w:r>
    </w:p>
    <w:p>
      <w:pPr>
        <w:spacing w:after="0" w:line="171"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-130175</wp:posOffset>
            </wp:positionV>
            <wp:extent cx="29057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51"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4" w:lineRule="exact"/>
        <w:rPr>
          <w:sz w:val="20"/>
          <w:szCs w:val="20"/>
          <w:color w:val="auto"/>
        </w:rPr>
      </w:pPr>
    </w:p>
    <w:p>
      <w:pPr>
        <w:ind w:left="6200"/>
        <w:spacing w:after="0"/>
        <w:tabs>
          <w:tab w:leader="none" w:pos="6660" w:val="left"/>
        </w:tabs>
        <w:rPr>
          <w:sz w:val="20"/>
          <w:szCs w:val="20"/>
          <w:color w:val="auto"/>
        </w:rPr>
      </w:pPr>
      <w:r>
        <w:rPr>
          <w:rFonts w:ascii="Arial" w:cs="Arial" w:eastAsia="Arial" w:hAnsi="Arial"/>
          <w:sz w:val="18"/>
          <w:szCs w:val="18"/>
          <w:color w:val="auto"/>
        </w:rPr>
        <w:t>By:</w:t>
        <w:tab/>
        <w:t>/s/ Daniel MacLachlan</w:t>
      </w:r>
    </w:p>
    <w:p>
      <w:pPr>
        <w:spacing w:after="0" w:line="171"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-130175</wp:posOffset>
            </wp:positionV>
            <wp:extent cx="29057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51"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Signature</w:t>
            </w:r>
          </w:p>
        </w:tc>
        <w:tc>
          <w:tcPr>
            <w:tcW w:w="600" w:type="dxa"/>
            <w:vAlign w:val="bottom"/>
          </w:tcPr>
          <w:p>
            <w:pPr>
              <w:spacing w:after="0"/>
              <w:rPr>
                <w:sz w:val="16"/>
                <w:szCs w:val="16"/>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54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9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Derek Dubner</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24"/>
        </w:trPr>
        <w:tc>
          <w:tcPr>
            <w:tcW w:w="3760" w:type="dxa"/>
            <w:vAlign w:val="bottom"/>
          </w:tcPr>
          <w:p>
            <w:pPr>
              <w:ind w:left="20"/>
              <w:spacing w:after="0"/>
              <w:rPr>
                <w:sz w:val="20"/>
                <w:szCs w:val="20"/>
                <w:color w:val="auto"/>
              </w:rPr>
            </w:pPr>
            <w:r>
              <w:rPr>
                <w:rFonts w:ascii="Arial" w:cs="Arial" w:eastAsia="Arial" w:hAnsi="Arial"/>
                <w:sz w:val="18"/>
                <w:szCs w:val="18"/>
                <w:color w:val="auto"/>
              </w:rPr>
              <w:t>Derek Dubner</w:t>
            </w:r>
          </w:p>
        </w:tc>
        <w:tc>
          <w:tcPr>
            <w:tcW w:w="60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MacLachlan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24"/>
        </w:trPr>
        <w:tc>
          <w:tcPr>
            <w:tcW w:w="3760" w:type="dxa"/>
            <w:vAlign w:val="bottom"/>
          </w:tcPr>
          <w:p>
            <w:pPr>
              <w:ind w:left="20"/>
              <w:spacing w:after="0"/>
              <w:rPr>
                <w:sz w:val="20"/>
                <w:szCs w:val="20"/>
                <w:color w:val="auto"/>
              </w:rPr>
            </w:pPr>
            <w:r>
              <w:rPr>
                <w:rFonts w:ascii="Arial" w:cs="Arial" w:eastAsia="Arial" w:hAnsi="Arial"/>
                <w:sz w:val="18"/>
                <w:szCs w:val="18"/>
                <w:color w:val="auto"/>
              </w:rPr>
              <w:t>Daniel MacLachlan</w:t>
            </w:r>
          </w:p>
        </w:tc>
        <w:tc>
          <w:tcPr>
            <w:tcW w:w="600" w:type="dxa"/>
            <w:vAlign w:val="bottom"/>
          </w:tcPr>
          <w:p>
            <w:pPr>
              <w:spacing w:after="0"/>
              <w:rPr>
                <w:sz w:val="19"/>
                <w:szCs w:val="19"/>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Benz</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24"/>
        </w:trPr>
        <w:tc>
          <w:tcPr>
            <w:tcW w:w="3760" w:type="dxa"/>
            <w:vAlign w:val="bottom"/>
          </w:tcPr>
          <w:p>
            <w:pPr>
              <w:ind w:left="20"/>
              <w:spacing w:after="0"/>
              <w:rPr>
                <w:sz w:val="20"/>
                <w:szCs w:val="20"/>
                <w:color w:val="auto"/>
              </w:rPr>
            </w:pPr>
            <w:r>
              <w:rPr>
                <w:rFonts w:ascii="Arial" w:cs="Arial" w:eastAsia="Arial" w:hAnsi="Arial"/>
                <w:sz w:val="18"/>
                <w:szCs w:val="18"/>
                <w:color w:val="auto"/>
              </w:rPr>
              <w:t>Peter Benz</w:t>
            </w:r>
          </w:p>
        </w:tc>
        <w:tc>
          <w:tcPr>
            <w:tcW w:w="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D. Rubin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24"/>
        </w:trPr>
        <w:tc>
          <w:tcPr>
            <w:tcW w:w="3760" w:type="dxa"/>
            <w:vAlign w:val="bottom"/>
          </w:tcPr>
          <w:p>
            <w:pPr>
              <w:ind w:left="20"/>
              <w:spacing w:after="0"/>
              <w:rPr>
                <w:sz w:val="20"/>
                <w:szCs w:val="20"/>
                <w:color w:val="auto"/>
              </w:rPr>
            </w:pPr>
            <w:r>
              <w:rPr>
                <w:rFonts w:ascii="Arial" w:cs="Arial" w:eastAsia="Arial" w:hAnsi="Arial"/>
                <w:sz w:val="18"/>
                <w:szCs w:val="18"/>
                <w:color w:val="auto"/>
              </w:rPr>
              <w:t>Steven D. Rubin</w:t>
            </w:r>
          </w:p>
        </w:tc>
        <w:tc>
          <w:tcPr>
            <w:tcW w:w="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Swayman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24"/>
        </w:trPr>
        <w:tc>
          <w:tcPr>
            <w:tcW w:w="3760" w:type="dxa"/>
            <w:vAlign w:val="bottom"/>
          </w:tcPr>
          <w:p>
            <w:pPr>
              <w:ind w:left="20"/>
              <w:spacing w:after="0"/>
              <w:rPr>
                <w:sz w:val="20"/>
                <w:szCs w:val="20"/>
                <w:color w:val="auto"/>
              </w:rPr>
            </w:pPr>
            <w:r>
              <w:rPr>
                <w:rFonts w:ascii="Arial" w:cs="Arial" w:eastAsia="Arial" w:hAnsi="Arial"/>
                <w:sz w:val="18"/>
                <w:szCs w:val="18"/>
                <w:color w:val="auto"/>
              </w:rPr>
              <w:t>Robert Swayman</w:t>
            </w:r>
          </w:p>
        </w:tc>
        <w:tc>
          <w:tcPr>
            <w:tcW w:w="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1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Stanton</w:t>
            </w:r>
          </w:p>
        </w:tc>
        <w:tc>
          <w:tcPr>
            <w:tcW w:w="600" w:type="dxa"/>
            <w:vAlign w:val="bottom"/>
          </w:tcPr>
          <w:p>
            <w:pPr>
              <w:spacing w:after="0"/>
              <w:rPr>
                <w:sz w:val="24"/>
                <w:szCs w:val="24"/>
                <w:color w:val="auto"/>
              </w:rPr>
            </w:pPr>
          </w:p>
        </w:tc>
        <w:tc>
          <w:tcPr>
            <w:tcW w:w="47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March 9, 2022</w:t>
            </w:r>
          </w:p>
        </w:tc>
      </w:tr>
      <w:tr>
        <w:trPr>
          <w:trHeight w:val="224"/>
        </w:trPr>
        <w:tc>
          <w:tcPr>
            <w:tcW w:w="3760" w:type="dxa"/>
            <w:vAlign w:val="bottom"/>
          </w:tcPr>
          <w:p>
            <w:pPr>
              <w:ind w:left="20"/>
              <w:spacing w:after="0"/>
              <w:rPr>
                <w:sz w:val="20"/>
                <w:szCs w:val="20"/>
                <w:color w:val="auto"/>
              </w:rPr>
            </w:pPr>
            <w:r>
              <w:rPr>
                <w:rFonts w:ascii="Arial" w:cs="Arial" w:eastAsia="Arial" w:hAnsi="Arial"/>
                <w:sz w:val="18"/>
                <w:szCs w:val="18"/>
                <w:color w:val="auto"/>
              </w:rPr>
              <w:t>Lisa Stanton</w:t>
            </w:r>
          </w:p>
        </w:tc>
        <w:tc>
          <w:tcPr>
            <w:tcW w:w="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742"/>
        </w:trPr>
        <w:tc>
          <w:tcPr>
            <w:tcW w:w="3760" w:type="dxa"/>
            <w:vAlign w:val="bottom"/>
          </w:tcPr>
          <w:p>
            <w:pPr>
              <w:spacing w:after="0"/>
              <w:rPr>
                <w:sz w:val="24"/>
                <w:szCs w:val="24"/>
                <w:color w:val="auto"/>
              </w:rPr>
            </w:pPr>
          </w:p>
        </w:tc>
        <w:tc>
          <w:tcPr>
            <w:tcW w:w="5300" w:type="dxa"/>
            <w:vAlign w:val="bottom"/>
            <w:gridSpan w:val="2"/>
          </w:tcPr>
          <w:p>
            <w:pPr>
              <w:jc w:val="right"/>
              <w:ind w:right="3252"/>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04"/>
        </w:trPr>
        <w:tc>
          <w:tcPr>
            <w:tcW w:w="3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9380" w:type="dxa"/>
            <w:vAlign w:val="bottom"/>
            <w:gridSpan w:val="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Report of independent registered public accounting firm (PCAOB ID number: 248)</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000" w:type="dxa"/>
            <w:vAlign w:val="bottom"/>
            <w:tcBorders>
              <w:top w:val="single" w:sz="8" w:color="0000EE"/>
            </w:tcBorders>
            <w:gridSpan w:val="3"/>
          </w:tcPr>
          <w:p>
            <w:pPr>
              <w:spacing w:after="0" w:line="169" w:lineRule="exact"/>
              <w:rPr>
                <w:rFonts w:ascii="Arial" w:cs="Arial" w:eastAsia="Arial" w:hAnsi="Arial"/>
                <w:sz w:val="18"/>
                <w:szCs w:val="18"/>
                <w:color w:val="0000FF"/>
              </w:rPr>
            </w:pPr>
            <w:hyperlink w:anchor="page44">
              <w:r>
                <w:rPr>
                  <w:rFonts w:ascii="Arial" w:cs="Arial" w:eastAsia="Arial" w:hAnsi="Arial"/>
                  <w:sz w:val="18"/>
                  <w:szCs w:val="18"/>
                  <w:color w:val="0000FF"/>
                </w:rPr>
                <w:t>Consolidated balance sheets as of December 31, 2021 and 2020</w:t>
              </w:r>
            </w:hyperlink>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20" w:type="dxa"/>
            <w:vAlign w:val="bottom"/>
          </w:tcPr>
          <w:p>
            <w:pPr>
              <w:jc w:val="right"/>
              <w:spacing w:after="0" w:line="169"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F-4</w:t>
            </w: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9380" w:type="dxa"/>
            <w:vAlign w:val="bottom"/>
            <w:gridSpan w:val="8"/>
          </w:tcPr>
          <w:p>
            <w:pPr>
              <w:spacing w:after="0" w:line="169" w:lineRule="exact"/>
              <w:rPr>
                <w:rFonts w:ascii="Arial" w:cs="Arial" w:eastAsia="Arial" w:hAnsi="Arial"/>
                <w:sz w:val="18"/>
                <w:szCs w:val="18"/>
                <w:color w:val="0000FF"/>
              </w:rPr>
            </w:pPr>
            <w:hyperlink w:anchor="page45">
              <w:r>
                <w:rPr>
                  <w:rFonts w:ascii="Arial" w:cs="Arial" w:eastAsia="Arial" w:hAnsi="Arial"/>
                  <w:sz w:val="18"/>
                  <w:szCs w:val="18"/>
                  <w:color w:val="0000FF"/>
                </w:rPr>
                <w:t>Consolidated statements of operations for the years ended December 31, 2021 and 2020</w:t>
              </w:r>
            </w:hyperlink>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320" w:type="dxa"/>
            <w:vAlign w:val="bottom"/>
            <w:tcBorders>
              <w:top w:val="single" w:sz="8" w:color="0000FF"/>
            </w:tcBorders>
            <w:gridSpan w:val="4"/>
          </w:tcPr>
          <w:p>
            <w:pPr>
              <w:spacing w:after="0" w:line="169" w:lineRule="exact"/>
              <w:rPr>
                <w:rFonts w:ascii="Arial" w:cs="Arial" w:eastAsia="Arial" w:hAnsi="Arial"/>
                <w:sz w:val="18"/>
                <w:szCs w:val="18"/>
                <w:color w:val="0000FF"/>
                <w:w w:val="86"/>
              </w:rPr>
            </w:pPr>
            <w:hyperlink w:anchor="page46">
              <w:r>
                <w:rPr>
                  <w:rFonts w:ascii="Arial" w:cs="Arial" w:eastAsia="Arial" w:hAnsi="Arial"/>
                  <w:sz w:val="18"/>
                  <w:szCs w:val="18"/>
                  <w:color w:val="0000FF"/>
                  <w:w w:val="86"/>
                </w:rPr>
                <w:t>Consolidated statements of changes in shareholders’ equity for the years ended December</w:t>
              </w:r>
            </w:hyperlink>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gridSpan w:val="2"/>
          </w:tcPr>
          <w:p>
            <w:pPr>
              <w:ind w:left="160"/>
              <w:spacing w:after="0" w:line="169" w:lineRule="exact"/>
              <w:rPr>
                <w:rFonts w:ascii="Arial" w:cs="Arial" w:eastAsia="Arial" w:hAnsi="Arial"/>
                <w:sz w:val="18"/>
                <w:szCs w:val="18"/>
                <w:color w:val="0000FF"/>
              </w:rPr>
            </w:pPr>
            <w:hyperlink w:anchor="page46">
              <w:r>
                <w:rPr>
                  <w:rFonts w:ascii="Arial" w:cs="Arial" w:eastAsia="Arial" w:hAnsi="Arial"/>
                  <w:sz w:val="18"/>
                  <w:szCs w:val="18"/>
                  <w:color w:val="0000FF"/>
                </w:rPr>
                <w:t>31, 2021 and 2020</w:t>
              </w:r>
            </w:hyperlink>
          </w:p>
        </w:tc>
        <w:tc>
          <w:tcPr>
            <w:tcW w:w="1820" w:type="dxa"/>
            <w:vAlign w:val="bottom"/>
          </w:tcPr>
          <w:p>
            <w:pPr>
              <w:jc w:val="right"/>
              <w:spacing w:after="0" w:line="169"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84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w:anchor="page47">
              <w:r>
                <w:rPr>
                  <w:rFonts w:ascii="Arial" w:cs="Arial" w:eastAsia="Arial" w:hAnsi="Arial"/>
                  <w:sz w:val="18"/>
                  <w:szCs w:val="18"/>
                  <w:color w:val="0000FF"/>
                </w:rPr>
                <w:t>Consolidated statements of cash flows for the years ended December 31, 2021 and 2020</w:t>
              </w:r>
            </w:hyperlink>
          </w:p>
        </w:tc>
        <w:tc>
          <w:tcPr>
            <w:tcW w:w="1540" w:type="dxa"/>
            <w:vAlign w:val="bottom"/>
          </w:tcPr>
          <w:p>
            <w:pPr>
              <w:spacing w:after="0"/>
              <w:rPr>
                <w:sz w:val="14"/>
                <w:szCs w:val="14"/>
                <w:color w:val="auto"/>
              </w:rPr>
            </w:pPr>
          </w:p>
        </w:tc>
        <w:tc>
          <w:tcPr>
            <w:tcW w:w="1820" w:type="dxa"/>
            <w:vAlign w:val="bottom"/>
          </w:tcPr>
          <w:p>
            <w:pPr>
              <w:jc w:val="right"/>
              <w:spacing w:after="0" w:line="169"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636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w:anchor="page48">
              <w:r>
                <w:rPr>
                  <w:rFonts w:ascii="Arial" w:cs="Arial" w:eastAsia="Arial" w:hAnsi="Arial"/>
                  <w:sz w:val="18"/>
                  <w:szCs w:val="18"/>
                  <w:color w:val="0000FF"/>
                </w:rPr>
                <w:t>Notes to consolidated financial statements</w:t>
              </w:r>
            </w:hyperlink>
          </w:p>
        </w:tc>
        <w:tc>
          <w:tcPr>
            <w:tcW w:w="3020" w:type="dxa"/>
            <w:vAlign w:val="bottom"/>
            <w:gridSpan w:val="2"/>
          </w:tcPr>
          <w:p>
            <w:pPr>
              <w:spacing w:after="0"/>
              <w:rPr>
                <w:sz w:val="14"/>
                <w:szCs w:val="14"/>
                <w:color w:val="auto"/>
              </w:rPr>
            </w:pPr>
          </w:p>
        </w:tc>
        <w:tc>
          <w:tcPr>
            <w:tcW w:w="1820" w:type="dxa"/>
            <w:vAlign w:val="bottom"/>
          </w:tcPr>
          <w:p>
            <w:pPr>
              <w:jc w:val="right"/>
              <w:spacing w:after="0" w:line="169"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817"/>
        </w:trPr>
        <w:tc>
          <w:tcPr>
            <w:tcW w:w="40" w:type="dxa"/>
            <w:vAlign w:val="bottom"/>
          </w:tcPr>
          <w:p>
            <w:pPr>
              <w:spacing w:after="0"/>
              <w:rPr>
                <w:sz w:val="24"/>
                <w:szCs w:val="24"/>
                <w:color w:val="auto"/>
              </w:rPr>
            </w:pPr>
          </w:p>
        </w:tc>
        <w:tc>
          <w:tcPr>
            <w:tcW w:w="3040" w:type="dxa"/>
            <w:vAlign w:val="bottom"/>
            <w:tcBorders>
              <w:top w:val="single" w:sz="8" w:color="0000FF"/>
            </w:tcBorders>
          </w:tcPr>
          <w:p>
            <w:pPr>
              <w:spacing w:after="0"/>
              <w:rPr>
                <w:sz w:val="24"/>
                <w:szCs w:val="24"/>
                <w:color w:val="auto"/>
              </w:rPr>
            </w:pPr>
          </w:p>
        </w:tc>
        <w:tc>
          <w:tcPr>
            <w:tcW w:w="1560" w:type="dxa"/>
            <w:vAlign w:val="bottom"/>
          </w:tcPr>
          <w:p>
            <w:pPr>
              <w:spacing w:after="0"/>
              <w:rPr>
                <w:sz w:val="24"/>
                <w:szCs w:val="24"/>
                <w:color w:val="auto"/>
              </w:rPr>
            </w:pPr>
          </w:p>
        </w:tc>
        <w:tc>
          <w:tcPr>
            <w:tcW w:w="4780" w:type="dxa"/>
            <w:vAlign w:val="bottom"/>
            <w:gridSpan w:val="6"/>
          </w:tcPr>
          <w:p>
            <w:pPr>
              <w:ind w:left="860"/>
              <w:spacing w:after="0"/>
              <w:rPr>
                <w:sz w:val="20"/>
                <w:szCs w:val="20"/>
                <w:color w:val="auto"/>
              </w:rPr>
            </w:pPr>
            <w:r>
              <w:rPr>
                <w:rFonts w:ascii="Arial" w:cs="Arial" w:eastAsia="Arial" w:hAnsi="Arial"/>
                <w:sz w:val="18"/>
                <w:szCs w:val="18"/>
                <w:color w:val="auto"/>
              </w:rPr>
              <w:t>F-1</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1"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We have audited the accompanying consolidated balance sheets of Red Violet, Inc. (a Delaware corporation) and subsidiaries (the “Company”) as of December 31, 2021 and 2020, the related consolidated statements of operations, changes in shareholders’ equity, and cash flows for the years then ended,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December 31, 2021</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8"/>
                <w:szCs w:val="18"/>
                <w:b w:val="1"/>
                <w:bCs w:val="1"/>
                <w:color w:val="auto"/>
                <w:w w:val="92"/>
              </w:rPr>
              <w:t>ASSETS:</w:t>
            </w:r>
          </w:p>
        </w:tc>
        <w:tc>
          <w:tcPr>
            <w:tcW w:w="6940" w:type="dxa"/>
            <w:vAlign w:val="bottom"/>
            <w:tcBorders>
              <w:bottom w:val="single" w:sz="8" w:color="CFF0FC"/>
            </w:tcBorders>
            <w:gridSpan w:val="2"/>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spacing w:after="0"/>
              <w:rPr>
                <w:sz w:val="15"/>
                <w:szCs w:val="15"/>
                <w:color w:val="auto"/>
              </w:rPr>
            </w:pPr>
          </w:p>
        </w:tc>
        <w:tc>
          <w:tcPr>
            <w:tcW w:w="1460" w:type="dxa"/>
            <w:vAlign w:val="bottom"/>
            <w:tcBorders>
              <w:top w:val="single" w:sz="8" w:color="auto"/>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CFF0FC"/>
            </w:tcBorders>
            <w:shd w:val="clear" w:color="auto" w:fill="CFF0FC"/>
          </w:tcPr>
          <w:p>
            <w:pPr>
              <w:spacing w:after="0"/>
              <w:rPr>
                <w:sz w:val="15"/>
                <w:szCs w:val="15"/>
                <w:color w:val="auto"/>
              </w:rPr>
            </w:pPr>
          </w:p>
        </w:tc>
        <w:tc>
          <w:tcPr>
            <w:tcW w:w="1440" w:type="dxa"/>
            <w:vAlign w:val="bottom"/>
            <w:tcBorders>
              <w:top w:val="single" w:sz="8" w:color="auto"/>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34,258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12,957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00" w:type="dxa"/>
            <w:vAlign w:val="bottom"/>
            <w:gridSpan w:val="4"/>
          </w:tcPr>
          <w:p>
            <w:pPr>
              <w:ind w:left="20"/>
              <w:spacing w:after="0" w:line="162" w:lineRule="exact"/>
              <w:rPr>
                <w:sz w:val="20"/>
                <w:szCs w:val="20"/>
                <w:color w:val="auto"/>
              </w:rPr>
            </w:pPr>
            <w:r>
              <w:rPr>
                <w:rFonts w:ascii="Arial" w:cs="Arial" w:eastAsia="Arial" w:hAnsi="Arial"/>
                <w:sz w:val="18"/>
                <w:szCs w:val="18"/>
                <w:color w:val="auto"/>
              </w:rPr>
              <w:t>Accounts receivable, net of allowance for doubtful accounts of $28 and $38 as of</w:t>
            </w: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3,736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3,201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ind w:left="100"/>
              <w:spacing w:after="0"/>
              <w:rPr>
                <w:sz w:val="20"/>
                <w:szCs w:val="20"/>
                <w:color w:val="auto"/>
              </w:rPr>
            </w:pPr>
            <w:r>
              <w:rPr>
                <w:rFonts w:ascii="Arial" w:cs="Arial" w:eastAsia="Arial" w:hAnsi="Arial"/>
                <w:sz w:val="18"/>
                <w:szCs w:val="18"/>
                <w:color w:val="auto"/>
              </w:rPr>
              <w:t>December 31, 2021 and 2020, respectively</w:t>
            </w:r>
          </w:p>
        </w:tc>
        <w:tc>
          <w:tcPr>
            <w:tcW w:w="1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599</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38,593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16,739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28,181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27,170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1,661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2,161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137</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74,376</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FF0FC"/>
            </w:tcBorders>
            <w:shd w:val="clear" w:color="auto" w:fill="CFF0FC"/>
          </w:tcPr>
          <w:p>
            <w:pPr>
              <w:spacing w:after="0"/>
              <w:rPr>
                <w:sz w:val="14"/>
                <w:szCs w:val="14"/>
                <w:color w:val="auto"/>
              </w:rPr>
            </w:pPr>
          </w:p>
        </w:tc>
        <w:tc>
          <w:tcPr>
            <w:tcW w:w="3940" w:type="dxa"/>
            <w:vAlign w:val="bottom"/>
            <w:tcBorders>
              <w:bottom w:val="single" w:sz="8" w:color="auto"/>
            </w:tcBorders>
            <w:gridSpan w:val="2"/>
            <w:shd w:val="clear" w:color="auto" w:fill="CFF0FC"/>
          </w:tcPr>
          <w:p>
            <w:pPr>
              <w:spacing w:after="0" w:line="156" w:lineRule="exact"/>
              <w:rPr>
                <w:sz w:val="20"/>
                <w:szCs w:val="20"/>
                <w:color w:val="auto"/>
              </w:rPr>
            </w:pPr>
            <w:r>
              <w:rPr>
                <w:rFonts w:ascii="Arial" w:cs="Arial" w:eastAsia="Arial" w:hAnsi="Arial"/>
                <w:sz w:val="18"/>
                <w:szCs w:val="18"/>
                <w:b w:val="1"/>
                <w:bCs w:val="1"/>
                <w:color w:val="auto"/>
              </w:rPr>
              <w:t>LIABILITIES AND SHAREHOLDERS' EQUITY:</w:t>
            </w:r>
          </w:p>
        </w:tc>
        <w:tc>
          <w:tcPr>
            <w:tcW w:w="37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Current portion of long-term loan</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841</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3,458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5,038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Long-term loan</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1,703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198</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4,947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8,649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00" w:type="dxa"/>
            <w:vAlign w:val="bottom"/>
            <w:gridSpan w:val="4"/>
          </w:tcPr>
          <w:p>
            <w:pPr>
              <w:ind w:left="20"/>
              <w:spacing w:after="0" w:line="162" w:lineRule="exact"/>
              <w:rPr>
                <w:sz w:val="20"/>
                <w:szCs w:val="20"/>
                <w:color w:val="auto"/>
              </w:rPr>
            </w:pPr>
            <w:r>
              <w:rPr>
                <w:rFonts w:ascii="Arial" w:cs="Arial" w:eastAsia="Arial" w:hAnsi="Arial"/>
                <w:sz w:val="18"/>
                <w:szCs w:val="18"/>
                <w:color w:val="auto"/>
              </w:rPr>
              <w:t>Preferred stock—$0.001 par value, 10,000,000 shares authorized, and 0 shares</w:t>
            </w: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3"/>
          </w:tcPr>
          <w:p>
            <w:pPr>
              <w:ind w:left="100"/>
              <w:spacing w:after="0"/>
              <w:rPr>
                <w:sz w:val="20"/>
                <w:szCs w:val="20"/>
                <w:color w:val="auto"/>
              </w:rPr>
            </w:pPr>
            <w:r>
              <w:rPr>
                <w:rFonts w:ascii="Arial" w:cs="Arial" w:eastAsia="Arial" w:hAnsi="Arial"/>
                <w:sz w:val="18"/>
                <w:szCs w:val="18"/>
                <w:color w:val="auto"/>
              </w:rPr>
              <w:t>issued and outstanding, as of December 31, 2021 and 2020</w:t>
            </w:r>
          </w:p>
        </w:tc>
        <w:tc>
          <w:tcPr>
            <w:tcW w:w="1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00" w:type="dxa"/>
            <w:vAlign w:val="bottom"/>
            <w:gridSpan w:val="4"/>
            <w:shd w:val="clear" w:color="auto" w:fill="CFF0FC"/>
          </w:tcPr>
          <w:p>
            <w:pPr>
              <w:ind w:left="20"/>
              <w:spacing w:after="0" w:line="162" w:lineRule="exact"/>
              <w:rPr>
                <w:sz w:val="20"/>
                <w:szCs w:val="20"/>
                <w:color w:val="auto"/>
              </w:rPr>
            </w:pPr>
            <w:r>
              <w:rPr>
                <w:rFonts w:ascii="Arial" w:cs="Arial" w:eastAsia="Arial" w:hAnsi="Arial"/>
                <w:sz w:val="18"/>
                <w:szCs w:val="18"/>
                <w:color w:val="auto"/>
              </w:rPr>
              <w:t>Common stock—$0.001 par value, 200,000,000 shares authorized, 13,488,540 and</w:t>
            </w:r>
          </w:p>
        </w:tc>
        <w:tc>
          <w:tcPr>
            <w:tcW w:w="160" w:type="dxa"/>
            <w:vAlign w:val="bottom"/>
            <w:shd w:val="clear" w:color="auto" w:fill="CFF0FC"/>
          </w:tcPr>
          <w:p>
            <w:pPr>
              <w:spacing w:after="0"/>
              <w:rPr>
                <w:sz w:val="14"/>
                <w:szCs w:val="14"/>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12,167,327 shares issued and outstanding, as of December 31, 2021 and 2020</w:t>
            </w:r>
          </w:p>
        </w:tc>
        <w:tc>
          <w:tcPr>
            <w:tcW w:w="160" w:type="dxa"/>
            <w:vAlign w:val="bottom"/>
            <w:shd w:val="clear" w:color="auto" w:fill="CFF0FC"/>
          </w:tcPr>
          <w:p>
            <w:pPr>
              <w:spacing w:after="0"/>
              <w:rPr>
                <w:sz w:val="18"/>
                <w:szCs w:val="18"/>
                <w:color w:val="auto"/>
              </w:rPr>
            </w:pPr>
          </w:p>
        </w:tc>
        <w:tc>
          <w:tcPr>
            <w:tcW w:w="14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91,434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66,005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(22,018 )</w:t>
            </w: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(22,673 )</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69,429</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43,345</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gridSpan w:val="4"/>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74,376</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51,994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-3665220</wp:posOffset>
            </wp:positionV>
            <wp:extent cx="514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-3665220</wp:posOffset>
            </wp:positionV>
            <wp:extent cx="5143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-2885440</wp:posOffset>
            </wp:positionV>
            <wp:extent cx="5143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-2885440</wp:posOffset>
            </wp:positionV>
            <wp:extent cx="5143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-1822450</wp:posOffset>
            </wp:positionV>
            <wp:extent cx="514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-1822450</wp:posOffset>
            </wp:positionV>
            <wp:extent cx="514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-1299210</wp:posOffset>
            </wp:positionV>
            <wp:extent cx="5143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-1299210</wp:posOffset>
            </wp:positionV>
            <wp:extent cx="5143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-296545</wp:posOffset>
            </wp:positionV>
            <wp:extent cx="514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5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44,022</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34,586</w:t>
            </w:r>
          </w:p>
        </w:tc>
        <w:tc>
          <w:tcPr>
            <w:tcW w:w="8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Costs and expenses:</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 (exclusive of depreciation and amortization)</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11,195</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11,276</w:t>
            </w:r>
          </w:p>
        </w:tc>
        <w:tc>
          <w:tcPr>
            <w:tcW w:w="8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 expenses</w:t>
            </w:r>
          </w:p>
        </w:tc>
        <w:tc>
          <w:tcPr>
            <w:tcW w:w="4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8,932</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8,098</w:t>
            </w:r>
          </w:p>
        </w:tc>
        <w:tc>
          <w:tcPr>
            <w:tcW w:w="80" w:type="dxa"/>
            <w:vAlign w:val="bottom"/>
          </w:tcPr>
          <w:p>
            <w:pPr>
              <w:spacing w:after="0"/>
              <w:rPr>
                <w:sz w:val="17"/>
                <w:szCs w:val="17"/>
                <w:color w:val="auto"/>
              </w:rPr>
            </w:pPr>
          </w:p>
        </w:tc>
      </w:tr>
      <w:tr>
        <w:trPr>
          <w:trHeight w:val="202"/>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 expenses</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19,811</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17,827</w:t>
            </w:r>
          </w:p>
        </w:tc>
        <w:tc>
          <w:tcPr>
            <w:tcW w:w="8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5,399</w:t>
            </w:r>
          </w:p>
        </w:tc>
        <w:tc>
          <w:tcPr>
            <w:tcW w:w="2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4,216</w:t>
            </w:r>
          </w:p>
        </w:tc>
        <w:tc>
          <w:tcPr>
            <w:tcW w:w="80" w:type="dxa"/>
            <w:vAlign w:val="bottom"/>
          </w:tcPr>
          <w:p>
            <w:pPr>
              <w:spacing w:after="0"/>
              <w:rPr>
                <w:sz w:val="17"/>
                <w:szCs w:val="17"/>
                <w:color w:val="auto"/>
              </w:rPr>
            </w:pPr>
          </w:p>
        </w:tc>
      </w:tr>
      <w:tr>
        <w:trPr>
          <w:trHeight w:val="196"/>
        </w:trPr>
        <w:tc>
          <w:tcPr>
            <w:tcW w:w="7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costs and expenses</w:t>
            </w:r>
          </w:p>
        </w:tc>
        <w:tc>
          <w:tcPr>
            <w:tcW w:w="4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45,337</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41,417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5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Loss from operations</w:t>
            </w:r>
          </w:p>
        </w:tc>
        <w:tc>
          <w:tcPr>
            <w:tcW w:w="400" w:type="dxa"/>
            <w:vAlign w:val="bottom"/>
          </w:tcPr>
          <w:p>
            <w:pPr>
              <w:spacing w:after="0"/>
              <w:rPr>
                <w:sz w:val="17"/>
                <w:szCs w:val="17"/>
                <w:color w:val="auto"/>
              </w:rPr>
            </w:pPr>
          </w:p>
        </w:tc>
        <w:tc>
          <w:tcPr>
            <w:tcW w:w="15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(1,315 )</w:t>
            </w:r>
          </w:p>
        </w:tc>
        <w:tc>
          <w:tcPr>
            <w:tcW w:w="68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(6,831 )</w:t>
            </w: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income, net</w:t>
            </w:r>
          </w:p>
        </w:tc>
        <w:tc>
          <w:tcPr>
            <w:tcW w:w="4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(7 )</w:t>
            </w: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Gain on extinguishment of debt</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2,175</w:t>
            </w:r>
          </w:p>
        </w:tc>
        <w:tc>
          <w:tcPr>
            <w:tcW w:w="2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Income (loss) before income taxes</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853</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(6,813</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w:t>
            </w:r>
          </w:p>
        </w:tc>
        <w:tc>
          <w:tcPr>
            <w:tcW w:w="2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36"/>
        </w:trPr>
        <w:tc>
          <w:tcPr>
            <w:tcW w:w="7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(loss)</w:t>
            </w: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655</w:t>
            </w:r>
          </w:p>
        </w:tc>
        <w:tc>
          <w:tcPr>
            <w:tcW w:w="2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(6,813</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83"/>
        </w:trPr>
        <w:tc>
          <w:tcPr>
            <w:tcW w:w="75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Earnings (loss) per share:</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w:t>
            </w:r>
          </w:p>
        </w:tc>
        <w:tc>
          <w:tcPr>
            <w:tcW w:w="400" w:type="dxa"/>
            <w:vAlign w:val="bottom"/>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0.05</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(0.57 )</w:t>
            </w: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7520" w:type="dxa"/>
            <w:vAlign w:val="bottom"/>
          </w:tcPr>
          <w:p>
            <w:pPr>
              <w:ind w:left="20"/>
              <w:spacing w:after="0" w:line="183" w:lineRule="exact"/>
              <w:rPr>
                <w:sz w:val="20"/>
                <w:szCs w:val="20"/>
                <w:color w:val="auto"/>
              </w:rPr>
            </w:pPr>
            <w:r>
              <w:rPr>
                <w:rFonts w:ascii="Arial" w:cs="Arial" w:eastAsia="Arial" w:hAnsi="Arial"/>
                <w:sz w:val="18"/>
                <w:szCs w:val="18"/>
                <w:color w:val="auto"/>
              </w:rPr>
              <w:t>Diluted</w:t>
            </w:r>
          </w:p>
        </w:tc>
        <w:tc>
          <w:tcPr>
            <w:tcW w:w="400" w:type="dxa"/>
            <w:vAlign w:val="bottom"/>
          </w:tcPr>
          <w:p>
            <w:pPr>
              <w:jc w:val="right"/>
              <w:ind w:right="210"/>
              <w:spacing w:after="0" w:line="183"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83" w:lineRule="exact"/>
              <w:rPr>
                <w:sz w:val="20"/>
                <w:szCs w:val="20"/>
                <w:color w:val="auto"/>
              </w:rPr>
            </w:pPr>
            <w:r>
              <w:rPr>
                <w:rFonts w:ascii="Arial" w:cs="Arial" w:eastAsia="Arial" w:hAnsi="Arial"/>
                <w:sz w:val="18"/>
                <w:szCs w:val="18"/>
                <w:color w:val="auto"/>
              </w:rPr>
              <w:t>0.05</w:t>
            </w:r>
          </w:p>
        </w:tc>
        <w:tc>
          <w:tcPr>
            <w:tcW w:w="280" w:type="dxa"/>
            <w:vAlign w:val="bottom"/>
          </w:tcPr>
          <w:p>
            <w:pPr>
              <w:spacing w:after="0"/>
              <w:rPr>
                <w:sz w:val="15"/>
                <w:szCs w:val="15"/>
                <w:color w:val="auto"/>
              </w:rPr>
            </w:pPr>
          </w:p>
        </w:tc>
        <w:tc>
          <w:tcPr>
            <w:tcW w:w="680" w:type="dxa"/>
            <w:vAlign w:val="bottom"/>
          </w:tcPr>
          <w:p>
            <w:pPr>
              <w:jc w:val="right"/>
              <w:ind w:right="49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(0.57 )</w:t>
            </w:r>
          </w:p>
        </w:tc>
      </w:tr>
      <w:tr>
        <w:trPr>
          <w:trHeight w:val="20"/>
        </w:trPr>
        <w:tc>
          <w:tcPr>
            <w:tcW w:w="7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5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Weighted average number of shares outstanding:</w:t>
            </w:r>
          </w:p>
        </w:tc>
        <w:tc>
          <w:tcPr>
            <w:tcW w:w="4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12,597,316</w:t>
            </w:r>
          </w:p>
        </w:tc>
        <w:tc>
          <w:tcPr>
            <w:tcW w:w="2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11,863,413</w:t>
            </w:r>
          </w:p>
        </w:tc>
        <w:tc>
          <w:tcPr>
            <w:tcW w:w="8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5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13,403,041</w:t>
            </w:r>
          </w:p>
        </w:tc>
        <w:tc>
          <w:tcPr>
            <w:tcW w:w="2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11,863,413</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-1693545</wp:posOffset>
            </wp:positionV>
            <wp:extent cx="5143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-1693545</wp:posOffset>
            </wp:positionV>
            <wp:extent cx="5143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-899795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-882015</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-899795</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-882015</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-616585</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-599440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-616585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-599440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280" w:type="dxa"/>
            <w:vAlign w:val="bottom"/>
            <w:gridSpan w:val="4"/>
            <w:vMerge w:val="restart"/>
          </w:tcPr>
          <w:p>
            <w:pPr>
              <w:jc w:val="right"/>
              <w:ind w:right="591"/>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2260" w:type="dxa"/>
            <w:vAlign w:val="bottom"/>
            <w:gridSpan w:val="5"/>
            <w:vMerge w:val="restart"/>
          </w:tcPr>
          <w:p>
            <w:pPr>
              <w:jc w:val="right"/>
              <w:ind w:right="69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22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34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12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2019</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11,657,912</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(103,147</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(1,255</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59,187</w:t>
            </w: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(15,860</w:t>
            </w:r>
          </w:p>
        </w:tc>
        <w:tc>
          <w:tcPr>
            <w:tcW w:w="1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42,084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Vesting of restricted stock units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734,170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(1 )</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Increase in treasury stock resulting</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120"/>
              <w:spacing w:after="0" w:line="176" w:lineRule="exact"/>
              <w:rPr>
                <w:sz w:val="20"/>
                <w:szCs w:val="20"/>
                <w:color w:val="auto"/>
              </w:rPr>
            </w:pPr>
            <w:r>
              <w:rPr>
                <w:rFonts w:ascii="Arial" w:cs="Arial" w:eastAsia="Arial" w:hAnsi="Arial"/>
                <w:sz w:val="18"/>
                <w:szCs w:val="18"/>
                <w:color w:val="auto"/>
              </w:rPr>
              <w:t>from shares withheld to cover</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(121,608 )</w:t>
            </w:r>
          </w:p>
        </w:tc>
        <w:tc>
          <w:tcPr>
            <w:tcW w:w="16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(1,828 )</w:t>
            </w:r>
          </w:p>
        </w:tc>
        <w:tc>
          <w:tcPr>
            <w:tcW w:w="10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(1,828 )</w:t>
            </w: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statutory taxes</w:t>
            </w:r>
          </w:p>
        </w:tc>
        <w:tc>
          <w:tcPr>
            <w:tcW w:w="11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300" w:type="dxa"/>
            <w:vAlign w:val="bottom"/>
            <w:gridSpan w:val="3"/>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Retirement of treasury stock</w:t>
            </w:r>
          </w:p>
        </w:tc>
        <w:tc>
          <w:tcPr>
            <w:tcW w:w="1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(224,755 )</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224,755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3,083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(3,083 )</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9,902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9,902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(6,813 )</w:t>
            </w:r>
          </w:p>
        </w:tc>
        <w:tc>
          <w:tcPr>
            <w:tcW w:w="2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(6,813 )</w:t>
            </w:r>
          </w:p>
        </w:tc>
        <w:tc>
          <w:tcPr>
            <w:tcW w:w="0" w:type="dxa"/>
            <w:vAlign w:val="bottom"/>
          </w:tcPr>
          <w:p>
            <w:pPr>
              <w:spacing w:after="0"/>
              <w:rPr>
                <w:sz w:val="1"/>
                <w:szCs w:val="1"/>
                <w:color w:val="auto"/>
              </w:rPr>
            </w:pPr>
          </w:p>
        </w:tc>
      </w:tr>
      <w:tr>
        <w:trPr>
          <w:trHeight w:val="196"/>
        </w:trPr>
        <w:tc>
          <w:tcPr>
            <w:tcW w:w="3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12,167,327</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66,005</w:t>
            </w: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(22,673</w:t>
            </w:r>
          </w:p>
        </w:tc>
        <w:tc>
          <w:tcPr>
            <w:tcW w:w="18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43,345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Vesting of restricted stock units</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911,698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Increase in treasury stock resulting</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120"/>
              <w:spacing w:after="0" w:line="176" w:lineRule="exact"/>
              <w:rPr>
                <w:sz w:val="20"/>
                <w:szCs w:val="20"/>
                <w:color w:val="auto"/>
              </w:rPr>
            </w:pPr>
            <w:r>
              <w:rPr>
                <w:rFonts w:ascii="Arial" w:cs="Arial" w:eastAsia="Arial" w:hAnsi="Arial"/>
                <w:sz w:val="18"/>
                <w:szCs w:val="18"/>
                <w:color w:val="auto"/>
              </w:rPr>
              <w:t>from shares withheld to cover</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(143,400 )</w:t>
            </w:r>
          </w:p>
        </w:tc>
        <w:tc>
          <w:tcPr>
            <w:tcW w:w="16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(3,327 )</w:t>
            </w:r>
          </w:p>
        </w:tc>
        <w:tc>
          <w:tcPr>
            <w:tcW w:w="10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(3,327 )</w:t>
            </w: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statutory taxes</w:t>
            </w:r>
          </w:p>
        </w:tc>
        <w:tc>
          <w:tcPr>
            <w:tcW w:w="11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300" w:type="dxa"/>
            <w:vAlign w:val="bottom"/>
            <w:gridSpan w:val="3"/>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Retirement of treasury stock</w:t>
            </w:r>
          </w:p>
        </w:tc>
        <w:tc>
          <w:tcPr>
            <w:tcW w:w="1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(143,400 )</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143,400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3,327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(3,327 )</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Issuance of common stock upon</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120"/>
              <w:spacing w:after="0" w:line="176" w:lineRule="exact"/>
              <w:rPr>
                <w:sz w:val="20"/>
                <w:szCs w:val="20"/>
                <w:color w:val="auto"/>
              </w:rPr>
            </w:pPr>
            <w:r>
              <w:rPr>
                <w:rFonts w:ascii="Arial" w:cs="Arial" w:eastAsia="Arial" w:hAnsi="Arial"/>
                <w:sz w:val="18"/>
                <w:szCs w:val="18"/>
                <w:color w:val="auto"/>
              </w:rPr>
              <w:t>direct offering to certain investors,</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552,915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20,924</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20,924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of issuance costs of $86</w:t>
            </w:r>
          </w:p>
        </w:tc>
        <w:tc>
          <w:tcPr>
            <w:tcW w:w="11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7,832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7,832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655</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13,488,540</w:t>
            </w:r>
          </w:p>
        </w:tc>
        <w:tc>
          <w:tcPr>
            <w:tcW w:w="2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91,434</w:t>
            </w:r>
          </w:p>
        </w:tc>
        <w:tc>
          <w:tcPr>
            <w:tcW w:w="1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(22,018 )</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69,429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-159385</wp:posOffset>
            </wp:positionV>
            <wp:extent cx="6032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-159385</wp:posOffset>
            </wp:positionV>
            <wp:extent cx="431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-159385</wp:posOffset>
            </wp:positionV>
            <wp:extent cx="6032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-159385</wp:posOffset>
            </wp:positionV>
            <wp:extent cx="6032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-159385</wp:posOffset>
            </wp:positionV>
            <wp:extent cx="5143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-159385</wp:posOffset>
            </wp:positionV>
            <wp:extent cx="5143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040" w:type="dxa"/>
            <w:vAlign w:val="bottom"/>
          </w:tcPr>
          <w:p>
            <w:pPr>
              <w:jc w:val="right"/>
              <w:ind w:right="854"/>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655</w:t>
            </w:r>
          </w:p>
        </w:tc>
        <w:tc>
          <w:tcPr>
            <w:tcW w:w="240" w:type="dxa"/>
            <w:vAlign w:val="bottom"/>
          </w:tcPr>
          <w:p>
            <w:pPr>
              <w:spacing w:after="0"/>
              <w:rPr>
                <w:sz w:val="17"/>
                <w:szCs w:val="17"/>
                <w:color w:val="auto"/>
              </w:rPr>
            </w:pPr>
          </w:p>
        </w:tc>
        <w:tc>
          <w:tcPr>
            <w:tcW w:w="1020" w:type="dxa"/>
            <w:vAlign w:val="bottom"/>
          </w:tcPr>
          <w:p>
            <w:pPr>
              <w:jc w:val="right"/>
              <w:ind w:right="832"/>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(6,813 )</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5,399</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4,216</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Share-based compensation expense</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6,615</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8,064</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Write-off of long-lived assets</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bad debts</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406</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Noncash lease expenses</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459</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Gain on extinguishment of debt</w:t>
            </w:r>
          </w:p>
        </w:tc>
        <w:tc>
          <w:tcPr>
            <w:tcW w:w="10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(2,175 )</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 expense</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Changes in assets and liabilities:</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10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(630 )</w:t>
            </w: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(64 )</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(18 )</w:t>
            </w: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(470 )</w:t>
            </w:r>
          </w:p>
        </w:tc>
        <w:tc>
          <w:tcPr>
            <w:tcW w:w="10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(63 )</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0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(1,051 )</w:t>
            </w: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(125 )</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10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(552 )</w:t>
            </w: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(490 )</w:t>
            </w:r>
          </w:p>
        </w:tc>
      </w:tr>
      <w:tr>
        <w:trPr>
          <w:trHeight w:val="196"/>
        </w:trPr>
        <w:tc>
          <w:tcPr>
            <w:tcW w:w="77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8,948</w:t>
            </w:r>
          </w:p>
        </w:tc>
        <w:tc>
          <w:tcPr>
            <w:tcW w:w="240" w:type="dxa"/>
            <w:vAlign w:val="bottom"/>
            <w:tcBorders>
              <w:top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6,519</w:t>
            </w:r>
          </w:p>
        </w:tc>
        <w:tc>
          <w:tcPr>
            <w:tcW w:w="80" w:type="dxa"/>
            <w:vAlign w:val="bottom"/>
            <w:tcBorders>
              <w:top w:val="single" w:sz="8" w:color="CFF0FC"/>
            </w:tcBorders>
          </w:tcPr>
          <w:p>
            <w:pPr>
              <w:spacing w:after="0"/>
              <w:rPr>
                <w:sz w:val="17"/>
                <w:szCs w:val="17"/>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INVESTING ACTIVITIES:</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Purchase of property and equipment</w:t>
            </w:r>
          </w:p>
        </w:tc>
        <w:tc>
          <w:tcPr>
            <w:tcW w:w="10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(280 )</w:t>
            </w:r>
          </w:p>
        </w:tc>
        <w:tc>
          <w:tcPr>
            <w:tcW w:w="10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(154 )</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Capitalized costs included in intangible assets</w:t>
            </w:r>
          </w:p>
        </w:tc>
        <w:tc>
          <w:tcPr>
            <w:tcW w:w="10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(4,964 )</w:t>
            </w: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(5,508 )</w:t>
            </w:r>
          </w:p>
        </w:tc>
      </w:tr>
      <w:tr>
        <w:trPr>
          <w:trHeight w:val="20"/>
        </w:trPr>
        <w:tc>
          <w:tcPr>
            <w:tcW w:w="77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7"/>
                <w:szCs w:val="17"/>
                <w:color w:val="auto"/>
              </w:rPr>
            </w:pPr>
          </w:p>
        </w:tc>
        <w:tc>
          <w:tcPr>
            <w:tcW w:w="8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(5,244 )</w:t>
            </w:r>
          </w:p>
        </w:tc>
        <w:tc>
          <w:tcPr>
            <w:tcW w:w="102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(5,662 )</w:t>
            </w: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FROM FINANCING ACTIVITIES:</w:t>
            </w:r>
          </w:p>
        </w:tc>
        <w:tc>
          <w:tcPr>
            <w:tcW w:w="10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Proceeds from issuance of shares, net of issuance costs</w:t>
            </w:r>
          </w:p>
        </w:tc>
        <w:tc>
          <w:tcPr>
            <w:tcW w:w="10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20,924</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Proceeds from long-term loan</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2,152</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Taxes paid related to net share settlement of vesting of restricted stock units</w:t>
            </w:r>
          </w:p>
        </w:tc>
        <w:tc>
          <w:tcPr>
            <w:tcW w:w="10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(3,327 )</w:t>
            </w:r>
          </w:p>
        </w:tc>
        <w:tc>
          <w:tcPr>
            <w:tcW w:w="10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(1,828 )</w:t>
            </w:r>
          </w:p>
        </w:tc>
      </w:tr>
      <w:tr>
        <w:trPr>
          <w:trHeight w:val="196"/>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17,597</w:t>
            </w:r>
          </w:p>
        </w:tc>
        <w:tc>
          <w:tcPr>
            <w:tcW w:w="2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increase in cash and cash equivalents</w:t>
            </w:r>
          </w:p>
        </w:tc>
        <w:tc>
          <w:tcPr>
            <w:tcW w:w="1040" w:type="dxa"/>
            <w:vAlign w:val="bottom"/>
          </w:tcPr>
          <w:p>
            <w:pPr>
              <w:jc w:val="right"/>
              <w:ind w:right="854"/>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98"/>
              </w:rPr>
              <w:t>21,301</w:t>
            </w:r>
          </w:p>
        </w:tc>
        <w:tc>
          <w:tcPr>
            <w:tcW w:w="240" w:type="dxa"/>
            <w:vAlign w:val="bottom"/>
          </w:tcPr>
          <w:p>
            <w:pPr>
              <w:spacing w:after="0"/>
              <w:rPr>
                <w:sz w:val="17"/>
                <w:szCs w:val="17"/>
                <w:color w:val="auto"/>
              </w:rPr>
            </w:pPr>
          </w:p>
        </w:tc>
        <w:tc>
          <w:tcPr>
            <w:tcW w:w="1020" w:type="dxa"/>
            <w:vAlign w:val="bottom"/>
          </w:tcPr>
          <w:p>
            <w:pPr>
              <w:jc w:val="right"/>
              <w:ind w:right="832"/>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1,181</w:t>
            </w:r>
          </w:p>
        </w:tc>
        <w:tc>
          <w:tcPr>
            <w:tcW w:w="8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0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12,957</w:t>
            </w:r>
          </w:p>
        </w:tc>
        <w:tc>
          <w:tcPr>
            <w:tcW w:w="2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11,776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1040" w:type="dxa"/>
            <w:vAlign w:val="bottom"/>
            <w:tcBorders>
              <w:bottom w:val="single" w:sz="8" w:color="auto"/>
            </w:tcBorders>
          </w:tcPr>
          <w:p>
            <w:pPr>
              <w:jc w:val="right"/>
              <w:ind w:right="854"/>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34,258</w:t>
            </w:r>
          </w:p>
        </w:tc>
        <w:tc>
          <w:tcPr>
            <w:tcW w:w="240" w:type="dxa"/>
            <w:vAlign w:val="bottom"/>
          </w:tcPr>
          <w:p>
            <w:pPr>
              <w:spacing w:after="0"/>
              <w:rPr>
                <w:sz w:val="17"/>
                <w:szCs w:val="17"/>
                <w:color w:val="auto"/>
              </w:rPr>
            </w:pPr>
          </w:p>
        </w:tc>
        <w:tc>
          <w:tcPr>
            <w:tcW w:w="1020" w:type="dxa"/>
            <w:vAlign w:val="bottom"/>
            <w:tcBorders>
              <w:bottom w:val="single" w:sz="8" w:color="auto"/>
            </w:tcBorders>
          </w:tcPr>
          <w:p>
            <w:pPr>
              <w:jc w:val="right"/>
              <w:ind w:right="832"/>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12,957</w:t>
            </w:r>
          </w:p>
        </w:tc>
        <w:tc>
          <w:tcPr>
            <w:tcW w:w="8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SUPPLEMENTAL DISCLOSURE INFORMATION</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Cash paid for interest</w:t>
            </w:r>
          </w:p>
        </w:tc>
        <w:tc>
          <w:tcPr>
            <w:tcW w:w="1040" w:type="dxa"/>
            <w:vAlign w:val="bottom"/>
          </w:tcPr>
          <w:p>
            <w:pPr>
              <w:jc w:val="right"/>
              <w:ind w:right="854"/>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20" w:type="dxa"/>
            <w:vAlign w:val="bottom"/>
          </w:tcPr>
          <w:p>
            <w:pPr>
              <w:jc w:val="right"/>
              <w:ind w:right="832"/>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paid for income taxes</w:t>
            </w:r>
          </w:p>
        </w:tc>
        <w:tc>
          <w:tcPr>
            <w:tcW w:w="1040" w:type="dxa"/>
            <w:vAlign w:val="bottom"/>
            <w:shd w:val="clear" w:color="auto" w:fill="CFF0FC"/>
          </w:tcPr>
          <w:p>
            <w:pPr>
              <w:jc w:val="right"/>
              <w:ind w:right="854"/>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32"/>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Share-based compensation capitalized in intangible assets</w:t>
            </w:r>
          </w:p>
        </w:tc>
        <w:tc>
          <w:tcPr>
            <w:tcW w:w="1040" w:type="dxa"/>
            <w:vAlign w:val="bottom"/>
          </w:tcPr>
          <w:p>
            <w:pPr>
              <w:jc w:val="right"/>
              <w:ind w:right="854"/>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1,217</w:t>
            </w:r>
          </w:p>
        </w:tc>
        <w:tc>
          <w:tcPr>
            <w:tcW w:w="240" w:type="dxa"/>
            <w:vAlign w:val="bottom"/>
          </w:tcPr>
          <w:p>
            <w:pPr>
              <w:spacing w:after="0"/>
              <w:rPr>
                <w:sz w:val="17"/>
                <w:szCs w:val="17"/>
                <w:color w:val="auto"/>
              </w:rPr>
            </w:pPr>
          </w:p>
        </w:tc>
        <w:tc>
          <w:tcPr>
            <w:tcW w:w="1020" w:type="dxa"/>
            <w:vAlign w:val="bottom"/>
          </w:tcPr>
          <w:p>
            <w:pPr>
              <w:jc w:val="right"/>
              <w:ind w:right="832"/>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1,838</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Retirement of treasury stock</w:t>
            </w:r>
          </w:p>
        </w:tc>
        <w:tc>
          <w:tcPr>
            <w:tcW w:w="1040" w:type="dxa"/>
            <w:vAlign w:val="bottom"/>
            <w:shd w:val="clear" w:color="auto" w:fill="CFF0FC"/>
          </w:tcPr>
          <w:p>
            <w:pPr>
              <w:jc w:val="right"/>
              <w:ind w:right="854"/>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3,327</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32"/>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3,083</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-2396490</wp:posOffset>
            </wp:positionV>
            <wp:extent cx="5143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-2396490</wp:posOffset>
            </wp:positionV>
            <wp:extent cx="514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-1864995</wp:posOffset>
            </wp:positionV>
            <wp:extent cx="5143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-1864995</wp:posOffset>
            </wp:positionV>
            <wp:extent cx="5143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-1068070</wp:posOffset>
            </wp:positionV>
            <wp:extent cx="5143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-1068070</wp:posOffset>
            </wp:positionV>
            <wp:extent cx="5143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-802005</wp:posOffset>
            </wp:positionV>
            <wp:extent cx="5143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-802005</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RED VIOLET,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Principal activities</w:t>
      </w:r>
    </w:p>
    <w:p>
      <w:pPr>
        <w:spacing w:after="0" w:line="17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Red Violet, Inc. (“red violet,” or the “Company”), a Delaware corporation, is a software and services company building proprietary technologies and applying analytical capabilities to deliver identity intelligence. The Company’s technology powers critical solutions, which empower organizations to operate with confidence. The Company’s solutions enable the real-time identification and location of people, businesses, assets and their interrelationships. These solutions are used for purposes including risk mitigation, due diligence, fraud detection and prevention, regulatory compliance, and customer acquisition. The Company’s intelligent platform, CORE</w:t>
      </w:r>
      <w:r>
        <w:rPr>
          <w:rFonts w:ascii="Arial" w:cs="Arial" w:eastAsia="Arial" w:hAnsi="Arial"/>
          <w:sz w:val="24"/>
          <w:szCs w:val="24"/>
          <w:color w:val="auto"/>
          <w:vertAlign w:val="superscript"/>
        </w:rPr>
        <w:t>TM</w:t>
      </w:r>
      <w:r>
        <w:rPr>
          <w:rFonts w:ascii="Arial" w:cs="Arial" w:eastAsia="Arial" w:hAnsi="Arial"/>
          <w:sz w:val="18"/>
          <w:szCs w:val="18"/>
          <w:color w:val="auto"/>
        </w:rPr>
        <w:t>, is purpose-built for the enterprise, yet flexible enough for organizations of all sizes, bringing clarity to massive datasets by transforming data into intelligence. The Company drives workflow efficiency and enables organizations to make better data-driven decisions.</w:t>
      </w:r>
    </w:p>
    <w:p>
      <w:pPr>
        <w:spacing w:after="0" w:line="16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the Company’s differentiated information and innovative platform and solutions deliver identity intelligence – entities, relationships, affiliations, interactions, and events. The Company’s solutions are used today to enable frictionless commerce, to ensure safety, and to reduce fraud and the concomitant expense borne by society.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Accounting Standards Codification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liquidity</w:t>
      </w:r>
    </w:p>
    <w:p>
      <w:pPr>
        <w:spacing w:after="0" w:line="18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accompanying consolidated financial statements have been prepared by red violet in accordance with accounting principles generally accepted in the United States (“US GAAP”).</w:t>
      </w:r>
    </w:p>
    <w:p>
      <w:pPr>
        <w:spacing w:after="0" w:line="13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Company reported net income of $655 and a net loss of $6,813 for the years ended December 31, 2021 and 2020, respectively. Net cash provided by operating activities was $8,948 and $6,519 for the years ended December 31, 2021 and 2020, respectively. As of December 31, 2021, the Company had an accumulated deficit of $22,018.</w:t>
      </w:r>
    </w:p>
    <w:p>
      <w:pPr>
        <w:spacing w:after="0" w:line="14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As of December 31, 2021, the Company had available cash and cash equivalents of $34,258, an increase of $21,301 from $12,957 as of December 31, 2020. Based on this available cash and cash equivalents, and the projections of growth in revenue and operating results in the coming year, the Company believes that it will have sufficient cash resources to finance its operations and expected capital expenditures for the next twelve months from the date the financials are issued.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consolidated financial statements include the financial statements of the Company and its subsidiaries. All significant transactions among the Company and its subsidiaries have been eliminated upon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8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preparation of consolidated financial statements in accordance with US GAAP requires red violet’s management to make estimates and assumptions relating to the reported amounts of assets and liabilities and the disclosure of contingent assets and liabilities at the date of the consolidated financial statements and the reported amounts of revenue and expenses during the reporting periods. Significant items subject to such estimates and assumptions include the allowance for doubtful accounts, useful lives of intangible assets, recoverability of the carrying amount of goodwill and intangible assets, share-based compensation and income tax provision. These estimates are often based on complex judgments and assumptions that management believes to be reasonable but are inherently uncertain and unpredictable. Actual results could differ from these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and cash equivalents</w:t>
      </w:r>
    </w:p>
    <w:p>
      <w:pPr>
        <w:spacing w:after="0" w:line="17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Cash and cash equivalents consist of cash on hand and bank deposits with original maturities of three months or less, which are unrestricted as to withdrawal and use.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jc w:val="both"/>
        <w:ind w:right="100"/>
        <w:spacing w:after="0" w:line="248" w:lineRule="auto"/>
        <w:rPr>
          <w:sz w:val="20"/>
          <w:szCs w:val="20"/>
          <w:color w:val="auto"/>
        </w:rPr>
      </w:pPr>
      <w:r>
        <w:rPr>
          <w:rFonts w:ascii="Arial" w:cs="Arial" w:eastAsia="Arial" w:hAnsi="Arial"/>
          <w:sz w:val="18"/>
          <w:szCs w:val="18"/>
          <w:color w:val="auto"/>
        </w:rPr>
        <w:t>The Company’s cash and bank deposits were held in major financial institutions located in the United States, which management believes have high credit ratings. The cash and bank deposits held in the United States, denominated in USD, amounted to $34,258 and $12,957 as of December 31, 2021 and 2020, respectively.</w:t>
      </w:r>
    </w:p>
    <w:p>
      <w:pPr>
        <w:spacing w:after="0" w:line="15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Financial instruments and related items, which potentially subject the Company to concentrations of credit risk, consist principally of cash investments. The Company places its temporary cash instruments with well-known financial institutions within the United States, and, at times, may maintain balances in United States banks in excess of the $250 US Federal Deposit Insurance Corporation insurance limit. The Company monitors the credit ratings of the financial institutions to mitigate this risk.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Accounts receivable</w:t>
      </w:r>
    </w:p>
    <w:p>
      <w:pPr>
        <w:spacing w:after="0" w:line="17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Accounts receivable are due from customers and are generally unsecured, which consist of amounts earned but not yet collected. None of the Company’s accounts receivable bear interest.</w:t>
      </w:r>
    </w:p>
    <w:p>
      <w:pPr>
        <w:spacing w:after="0" w:line="14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The allowance for doubtful accounts is management’s best estimate of the amount of probable credit losses in the Company’s existing accounts receivable. Management determines the allowance based on reviews of customer-specific facts and economic conditions. Account balances are charged off against the allowance after all means of collection have been exhausted and the potential for recovery is considered remote. The Company does not have any off-balance-sheet credit exposure related to its customers. The amount of the allowance for doubtful accounts was $28 and $38 as of December 31, 2021 and 2020,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Property and equipment</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Property and equipment are stated at cost, net of accumulated depreciation or amortization. Expenditures for maintenance, repairs, and minor renewals are charged to expense in the period incurred. Betterments and additions are capitalized. Property and equipment are depreciated on the straight-line basis over the estimated useful lives of the assets. Leasehold improvements are depreciated over the shorter of their estimated useful lives or lease terms that are reasonably assured. The estimated useful lives of property and equipment are as follows:</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Computer and network equipment</w:t>
      </w:r>
    </w:p>
    <w:p>
      <w:pPr>
        <w:ind w:left="6820"/>
        <w:spacing w:after="0" w:line="234" w:lineRule="auto"/>
        <w:rPr>
          <w:sz w:val="20"/>
          <w:szCs w:val="20"/>
          <w:color w:val="auto"/>
        </w:rPr>
      </w:pPr>
      <w:r>
        <w:rPr>
          <w:rFonts w:ascii="Arial" w:cs="Arial" w:eastAsia="Arial" w:hAnsi="Arial"/>
          <w:sz w:val="18"/>
          <w:szCs w:val="18"/>
          <w:color w:val="auto"/>
        </w:rPr>
        <w:t>5-7 years</w:t>
      </w:r>
    </w:p>
    <w:p>
      <w:pPr>
        <w:ind w:left="20"/>
        <w:spacing w:after="0" w:line="204" w:lineRule="auto"/>
        <w:rPr>
          <w:sz w:val="20"/>
          <w:szCs w:val="20"/>
          <w:color w:val="auto"/>
        </w:rPr>
      </w:pPr>
      <w:r>
        <w:rPr>
          <w:rFonts w:ascii="Arial" w:cs="Arial" w:eastAsia="Arial" w:hAnsi="Arial"/>
          <w:sz w:val="18"/>
          <w:szCs w:val="18"/>
          <w:color w:val="auto"/>
        </w:rPr>
        <w:t>Furniture, fixtures and office equipment</w:t>
      </w:r>
    </w:p>
    <w:p>
      <w:pPr>
        <w:ind w:left="6980"/>
        <w:spacing w:after="0" w:line="235" w:lineRule="auto"/>
        <w:rPr>
          <w:sz w:val="20"/>
          <w:szCs w:val="20"/>
          <w:color w:val="auto"/>
        </w:rPr>
      </w:pPr>
      <w:r>
        <w:rPr>
          <w:rFonts w:ascii="Arial" w:cs="Arial" w:eastAsia="Arial" w:hAnsi="Arial"/>
          <w:sz w:val="18"/>
          <w:szCs w:val="18"/>
          <w:color w:val="auto"/>
        </w:rPr>
        <w:t>5 years</w:t>
      </w:r>
    </w:p>
    <w:p>
      <w:pPr>
        <w:ind w:left="20"/>
        <w:spacing w:after="0" w:line="203" w:lineRule="auto"/>
        <w:rPr>
          <w:sz w:val="20"/>
          <w:szCs w:val="20"/>
          <w:color w:val="auto"/>
        </w:rPr>
      </w:pPr>
      <w:r>
        <w:rPr>
          <w:rFonts w:ascii="Arial" w:cs="Arial" w:eastAsia="Arial" w:hAnsi="Arial"/>
          <w:sz w:val="18"/>
          <w:szCs w:val="18"/>
          <w:color w:val="auto"/>
        </w:rPr>
        <w:t>Leasehold improvements</w:t>
      </w:r>
    </w:p>
    <w:p>
      <w:pPr>
        <w:spacing w:after="0" w:line="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7 years</w:t>
      </w:r>
    </w:p>
    <w:p>
      <w:pPr>
        <w:spacing w:after="0" w:line="18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When items of property and equipment are retired or otherwise disposed of, loss/income is charged or credited for the difference between the net book value and proceeds received thereon.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Intangible assets other than goodwill</w:t>
      </w:r>
    </w:p>
    <w:p>
      <w:pPr>
        <w:spacing w:after="0" w:line="171" w:lineRule="exact"/>
        <w:rPr>
          <w:sz w:val="20"/>
          <w:szCs w:val="20"/>
          <w:color w:val="auto"/>
        </w:rPr>
      </w:pPr>
    </w:p>
    <w:p>
      <w:pPr>
        <w:jc w:val="both"/>
        <w:ind w:right="300"/>
        <w:spacing w:after="0" w:line="243" w:lineRule="auto"/>
        <w:rPr>
          <w:sz w:val="20"/>
          <w:szCs w:val="20"/>
          <w:color w:val="auto"/>
        </w:rPr>
      </w:pPr>
      <w:r>
        <w:rPr>
          <w:rFonts w:ascii="Arial" w:cs="Arial" w:eastAsia="Arial" w:hAnsi="Arial"/>
          <w:sz w:val="18"/>
          <w:szCs w:val="18"/>
          <w:color w:val="auto"/>
        </w:rPr>
        <w:t>The Company’s intangible assets are initially recorded at the capitalized actual costs incurred, their acquisition cost, or fair value if acquired as part of a business combination, and amortized on a straight-line basis over their respective estimated useful lives, which are the periods over which the assets are expected to contribute directly or indirectly to the future cash flows of the Company. The Company’s intangible assets represent software developed for internal use. Intangible assets have estimated useful lives of 5-10 years.</w:t>
      </w:r>
    </w:p>
    <w:p>
      <w:pPr>
        <w:spacing w:after="0" w:line="14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In accordance with ASC 350-40, </w:t>
      </w:r>
      <w:r>
        <w:rPr>
          <w:rFonts w:ascii="Arial" w:cs="Arial" w:eastAsia="Arial" w:hAnsi="Arial"/>
          <w:sz w:val="18"/>
          <w:szCs w:val="18"/>
          <w:i w:val="1"/>
          <w:iCs w:val="1"/>
          <w:color w:val="auto"/>
        </w:rPr>
        <w:t>“Software — Internal use software,”</w:t>
      </w:r>
      <w:r>
        <w:rPr>
          <w:rFonts w:ascii="Arial" w:cs="Arial" w:eastAsia="Arial" w:hAnsi="Arial"/>
          <w:sz w:val="18"/>
          <w:szCs w:val="18"/>
          <w:color w:val="auto"/>
        </w:rPr>
        <w:t xml:space="preserve"> the Company capitalizes eligible costs, including salaries and staff benefits, share-based compensation expense, travel expenses incurred by relevant employees, and other relevant costs of developing internal-use software that are incurred in the application development stage when developing or obtaining software for internal use. Once the software developed for internal use is ready for its intended use, it is amortized on a straight-line basis over its useful life.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Goodwill</w:t>
      </w:r>
    </w:p>
    <w:p>
      <w:pPr>
        <w:spacing w:after="0" w:line="171"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December 31, 2021 and 2020, the balance of goodwill of $5,227 was as a result of the acquisition of Interactive Data, LLC (“Interactive Data”), a wholly-owned subsidiary of red violet, effective on October 2, 2014.</w:t>
      </w:r>
    </w:p>
    <w:p>
      <w:pPr>
        <w:spacing w:after="0" w:line="14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In accordance with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A quantitative step one assessment involves determining the fair value of each reporting unit using market participant assumptions. Should an impairment exist, the Company would recognize an impairment charge for the amount by which the carrying amount of a reporting unit exceeds its fair value up to the amount of goodwill allocated to that reporting unit.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9" w:name="page50"/>
    <w:bookmarkEnd w:id="49"/>
    <w:p>
      <w:pPr>
        <w:jc w:val="both"/>
        <w:ind w:right="100"/>
        <w:spacing w:after="0" w:line="294" w:lineRule="auto"/>
        <w:rPr>
          <w:sz w:val="20"/>
          <w:szCs w:val="20"/>
          <w:color w:val="auto"/>
        </w:rPr>
      </w:pPr>
      <w:r>
        <w:rPr>
          <w:rFonts w:ascii="Arial" w:cs="Arial" w:eastAsia="Arial" w:hAnsi="Arial"/>
          <w:sz w:val="16"/>
          <w:szCs w:val="16"/>
          <w:color w:val="auto"/>
        </w:rPr>
        <w:t>The measurement date of the Company’s annual goodwill impairment test is October 1. On October 1, 2021 and 2020, the Company performed qualitative assessments on the reporting unit and, based on this assessment, no events have occurred to indicate that it is more likely than not that the fair value of the reporting unit is less than its carry amount. The Company concluded that goodwill was not impaired as of December 31, 2021 and 2020.</w:t>
      </w:r>
    </w:p>
    <w:p>
      <w:pPr>
        <w:spacing w:after="0" w:line="12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For purposes of reviewing impairment and the recoverability of goodwill, the Company must make various assumptions regarding estimated future cash flows and other factors in determining the fair values, including market multiples, discount rates, etc.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Impairment of long-lived assets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Finite-lived intangible assets are amortized over their respective useful lives and, along with other long-lived assets, are evaluated for impairment periodically whenever events or changes in circumstances indicate that their related carrying amounts may not be recoverable in accordance with ASC 360-10-15,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In evaluating long-lived assets for recoverability, including finite-lived intangibles and property and equipment, the Company uses its best estimate of future cash flows expected to result from the use of the asset and eventual disposition in accordance with ASC 360-10-15. To the extent that estimated future undiscounted cash inflows attributable to the asset, less estimated future undiscounted cash outflows, are less than the carrying amount, an impairment loss is recognized in an amount equal to the difference between the carrying value of such asset and its fair value. Assets to be disposed of and for which there is a committed plan of disposal, whether through sale or abandonment, are reported at the lower of carrying value or fair value less costs to sell.</w:t>
      </w:r>
    </w:p>
    <w:p>
      <w:pPr>
        <w:spacing w:after="0" w:line="15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Asset recoverability is an area involving management judgment, requiring assessment as to whether the carrying value of assets can be supported by the undiscounted future cash flows. In calculating the future cash flows, certain assumptions are required to be made in respect of highly uncertain matters such as revenue growth rates, gross margin percentages and terminal growth rates.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concluded there was no impairment as of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Fair value of financial instruments</w:t>
      </w:r>
    </w:p>
    <w:p>
      <w:pPr>
        <w:spacing w:after="0" w:line="185"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establishes a three-tier fair value hierarchy, which prioritizes the inputs used in measuring fair value. The hierarchy prioritizes the inputs into three levels based on the extent to which inputs used in measuring fair value are observable in the market.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These tiers include:</w:t>
      </w:r>
    </w:p>
    <w:p>
      <w:pPr>
        <w:spacing w:after="0" w:line="104"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 defined as observable inputs such as quoted prices in active markets;</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 – defined as inputs other than quoted prices in active markets that are either directly or indirectly observable; and</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Level 3 – defined as unobservable inputs in which little or no market data exists, therefore requiring an entity to develop its own assumptions.</w:t>
      </w:r>
    </w:p>
    <w:p>
      <w:pPr>
        <w:spacing w:after="0" w:line="18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fair value of the Company’s cash and cash equivalents, receivables and payables approximate their carrying amount because of the short-term nature of these instruments. In May 2020, the Company received funding under a promissory note dated May 5, 2020 evidencing an unsecured non-recourse loan in the principal amount of $2,152 under the Coronavirus Aid, Relief, and Economic Security Act (“CARES Act”) (the “Loan”). The fair value of the Loan approximates its carrying amount as of December 31, 2020 as the interest rate approximates market rates for similar loans. On June 16, 2021, the Company received a notice from Legacy Bank of Florida (the “Lender”) that the full principal amount of the Loan of $2,152 and the accrued interest of $23 had been fully forgiven.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Revenue recognition</w:t>
      </w:r>
    </w:p>
    <w:p>
      <w:pPr>
        <w:spacing w:after="0" w:line="171" w:lineRule="exact"/>
        <w:rPr>
          <w:sz w:val="20"/>
          <w:szCs w:val="20"/>
          <w:color w:val="auto"/>
        </w:rPr>
      </w:pPr>
    </w:p>
    <w:p>
      <w:pPr>
        <w:ind w:right="80"/>
        <w:spacing w:after="0" w:line="208" w:lineRule="exact"/>
        <w:rPr>
          <w:sz w:val="20"/>
          <w:szCs w:val="20"/>
          <w:color w:val="auto"/>
        </w:rPr>
      </w:pPr>
      <w:r>
        <w:rPr>
          <w:rFonts w:ascii="Arial" w:cs="Arial" w:eastAsia="Arial" w:hAnsi="Arial"/>
          <w:sz w:val="17"/>
          <w:szCs w:val="17"/>
          <w:color w:val="auto"/>
        </w:rPr>
        <w:t xml:space="preserve">The Company recognized revenue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Under this standard, revenue is recognized when control of goods or services is transferred to the Company’s customers, in an amount that re</w:t>
      </w:r>
      <w:r>
        <w:rPr>
          <w:rFonts w:ascii="Arial Unicode MS" w:cs="Arial Unicode MS" w:eastAsia="Arial Unicode MS" w:hAnsi="Arial Unicode MS"/>
          <w:sz w:val="17"/>
          <w:szCs w:val="17"/>
          <w:color w:val="auto"/>
        </w:rPr>
        <w:t></w:t>
      </w:r>
      <w:r>
        <w:rPr>
          <w:rFonts w:ascii="Arial" w:cs="Arial" w:eastAsia="Arial" w:hAnsi="Arial"/>
          <w:sz w:val="17"/>
          <w:szCs w:val="17"/>
          <w:color w:val="auto"/>
        </w:rPr>
        <w:t>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0" w:name="page51"/>
    <w:bookmarkEnd w:id="50"/>
    <w:p>
      <w:pPr>
        <w:ind w:right="40"/>
        <w:spacing w:after="0" w:line="255" w:lineRule="auto"/>
        <w:rPr>
          <w:sz w:val="20"/>
          <w:szCs w:val="20"/>
          <w:color w:val="auto"/>
        </w:rPr>
      </w:pPr>
      <w:r>
        <w:rPr>
          <w:rFonts w:ascii="Arial" w:cs="Arial" w:eastAsia="Arial" w:hAnsi="Arial"/>
          <w:sz w:val="17"/>
          <w:szCs w:val="17"/>
          <w:color w:val="auto"/>
        </w:rPr>
        <w:t>Revenue is generally recognized on (a) a transactional basis determined by the customers’ usage, (b) a monthly fee or (c) a combination of both. Revenue pursuant to transactions determined by the customers’ usage is recognized when the transaction is complete, and either party may terminate the transactional agreement at any time. Revenue pursuant to contracts containing a monthly fee is considered to be a single performance obligation consisting of a series of distinct services, and is recognized ratably over the contract period, which is generally 12 months, and the contract shall automatically renew for additional, successive 12-month terms unless written notice of intent not to renew is provided by one party to the other at least 30 days or 60 days prior to the expiration of the then current term. Variable fees are allocated to each distinct month in the series for which they are earned. The Company’s revenue is recorded net of applicable sales taxes billed to customers.</w:t>
      </w:r>
    </w:p>
    <w:p>
      <w:pPr>
        <w:spacing w:after="0" w:line="15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4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47"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For the years ended December 31, 2021 and 2020, 80% and 73% of total revenue was attributable to customers with pricing contracts, respectively, versus 20% and 27% attributable to transactional customers, respectively. Pricing contracts are generally annual contracts or longer, with auto renewal.</w:t>
      </w:r>
    </w:p>
    <w:p>
      <w:pPr>
        <w:spacing w:after="0" w:line="97" w:lineRule="exact"/>
        <w:rPr>
          <w:sz w:val="20"/>
          <w:szCs w:val="20"/>
          <w:color w:val="auto"/>
        </w:rPr>
      </w:pPr>
    </w:p>
    <w:p>
      <w:pPr>
        <w:ind w:right="100"/>
        <w:spacing w:after="0" w:line="212" w:lineRule="exact"/>
        <w:rPr>
          <w:sz w:val="20"/>
          <w:szCs w:val="20"/>
          <w:color w:val="auto"/>
        </w:rPr>
      </w:pPr>
      <w:r>
        <w:rPr>
          <w:rFonts w:ascii="Arial" w:cs="Arial" w:eastAsia="Arial" w:hAnsi="Arial"/>
          <w:sz w:val="16"/>
          <w:szCs w:val="16"/>
          <w:color w:val="auto"/>
        </w:rPr>
        <w:t>If a customer pays consideration before the Company transfers services to the customer, those amounts are classi</w:t>
      </w:r>
      <w:r>
        <w:rPr>
          <w:rFonts w:ascii="Arial Unicode MS" w:cs="Arial Unicode MS" w:eastAsia="Arial Unicode MS" w:hAnsi="Arial Unicode MS"/>
          <w:sz w:val="16"/>
          <w:szCs w:val="16"/>
          <w:color w:val="auto"/>
        </w:rPr>
        <w:t></w:t>
      </w:r>
      <w:r>
        <w:rPr>
          <w:rFonts w:ascii="Arial" w:cs="Arial" w:eastAsia="Arial" w:hAnsi="Arial"/>
          <w:sz w:val="16"/>
          <w:szCs w:val="16"/>
          <w:color w:val="auto"/>
        </w:rPr>
        <w:t>ed as deferred revenue. As of December 31, 2021 and 2020, the balance of deferred revenue was $841 and $504, respectively, all of which is expected to be realized in the next 12 months. In relation to the deferred revenue balance as of December 31, 2020, $504 was recognized into revenue during the year ended December 31, 2021.</w:t>
      </w:r>
    </w:p>
    <w:p>
      <w:pPr>
        <w:spacing w:after="0" w:line="150"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As of December 31, 2021, $7,691 of revenue is expected to be recognized in the future for performance obligations that are unsatisfied or partially unsatisfied, related to pricing contracts that have a term of more than 12 months, of which $4,430 of revenue will be recognized in 2022, $2,589 in 2023, and $672 in 2024.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9"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44" w:lineRule="exact"/>
        <w:rPr>
          <w:sz w:val="20"/>
          <w:szCs w:val="20"/>
          <w:color w:val="auto"/>
        </w:rPr>
      </w:pPr>
    </w:p>
    <w:p>
      <w:pPr>
        <w:ind w:right="200"/>
        <w:spacing w:after="0" w:line="212" w:lineRule="exact"/>
        <w:rPr>
          <w:sz w:val="20"/>
          <w:szCs w:val="20"/>
          <w:color w:val="auto"/>
        </w:rPr>
      </w:pPr>
      <w:r>
        <w:rPr>
          <w:rFonts w:ascii="Arial" w:cs="Arial" w:eastAsia="Arial" w:hAnsi="Arial"/>
          <w:sz w:val="18"/>
          <w:szCs w:val="18"/>
          <w:color w:val="auto"/>
        </w:rPr>
        <w:t>In addition, the Company elected the practical expedient to not disclose the value of unsatis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obligations for (i) contracts with an original expected length of one year or less and (ii) contracts for which the Company recognizes revenue at the amount to which it has the right to invoice for services performed.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Cost of revenue (exclusive of depreciation and amortization)</w:t>
      </w:r>
    </w:p>
    <w:p>
      <w:pPr>
        <w:spacing w:after="0" w:line="171"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The Company’s cost of revenue primarily includes data acquisition costs and other cost of revenue. Data acquisition costs consist primarily of the costs to acquire data either on a transactional basis or through flat-fee data licensing agreements, including unlimited usage agreements. Data acquisition costs are recognized based on a straight-line amortization method. Other cost of revenue includes expenses related to third-party infrastructure fees.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Advertising and promotion costs</w:t>
      </w:r>
    </w:p>
    <w:p>
      <w:pPr>
        <w:spacing w:after="0" w:line="171"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Advertising and promotion costs are charged to operations as incurred. Advertising and promotion costs, included in sales and marketing expenses amounted to $97 and $85 for the years ended December 31, 2021 and 2020,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(m) Share-based compensation</w:t>
      </w:r>
    </w:p>
    <w:p>
      <w:pPr>
        <w:spacing w:after="0" w:line="18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The Company accounts for share-based compensation to employees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Under ASC 718, the Company measures the cost of employee services received in exchange for an award of equity instruments based on the grant-date fair value of the award and, for those awards subject only to service conditions, the Company recognizes the costs on a straight-line basis over the requisite service period for the entire award the employee is required to provide service in exchange for the award, which generally is the vesting period. For awards with performance and service conditions, we begin recording share-based compensation when achieving the performance criteria is probable and we recognize the costs using the accelerated attribution method.</w:t>
      </w:r>
    </w:p>
    <w:p>
      <w:pPr>
        <w:spacing w:after="0" w:line="149" w:lineRule="exact"/>
        <w:rPr>
          <w:sz w:val="20"/>
          <w:szCs w:val="20"/>
          <w:color w:val="auto"/>
        </w:rPr>
      </w:pPr>
    </w:p>
    <w:p>
      <w:pPr>
        <w:jc w:val="both"/>
        <w:ind w:right="380"/>
        <w:spacing w:after="0" w:line="270" w:lineRule="auto"/>
        <w:rPr>
          <w:sz w:val="20"/>
          <w:szCs w:val="20"/>
          <w:color w:val="auto"/>
        </w:rPr>
      </w:pPr>
      <w:r>
        <w:rPr>
          <w:rFonts w:ascii="Arial" w:cs="Arial" w:eastAsia="Arial" w:hAnsi="Arial"/>
          <w:sz w:val="17"/>
          <w:szCs w:val="17"/>
          <w:color w:val="auto"/>
        </w:rPr>
        <w:t>The estimated number of stock awards that will ultimately vest requires judgment, and to the extent actual results or updated estimates differ from the Company’s current estimates, such amount will be recorded as a cumulative adjustment in the period estimates are revised. Changes in the Company’s estimates and assumptions may cause us to realize material changes in share-based compensation expense in the future.</w:t>
      </w:r>
    </w:p>
    <w:p>
      <w:pPr>
        <w:spacing w:after="0" w:line="123"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The Company has issued share-based awards with performance-based vesting criteria. Achievement of the milestones must be probable before the Company begins recording share-based compensation expense. When the performance-based vesting criteria is considered probable, the Company begins to recognize compensation expense at that time. In the period that achievement of the performance-based criteria is deemed probable, US GAAP requires the immediate recognition of all previously unrecognized compensation since the original grant date. As a result, compensation expense recorded in the period that achievement is deemed probable could include a substantial amount of previously unrecorded compensation expense related to the prior periods. For any share-based awards where performance-based vesting criteria is no longer considered probable, previously recognized compensation cost would be reversed. As of December 31, 2021, the Company has deemed the achievement of the performance-based criteria to be probable for all share-based awards with performance-based vesting criteria, except for the Criteria Four award, as defined in Note 10.</w:t>
      </w:r>
    </w:p>
    <w:p>
      <w:pPr>
        <w:spacing w:after="0" w:line="141"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The Company applies Accounting Standards Update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which generally expands the scope of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to include share-based payment transactions for acquiring goods and services from nonemployees and supersedes the guidance in ASC 505-50, "</w:t>
      </w:r>
      <w:r>
        <w:rPr>
          <w:rFonts w:ascii="Arial" w:cs="Arial" w:eastAsia="Arial" w:hAnsi="Arial"/>
          <w:sz w:val="18"/>
          <w:szCs w:val="18"/>
          <w:i w:val="1"/>
          <w:iCs w:val="1"/>
          <w:color w:val="auto"/>
        </w:rPr>
        <w:t>Equity-Based Payments to Non-employees</w:t>
      </w:r>
      <w:r>
        <w:rPr>
          <w:rFonts w:ascii="Arial" w:cs="Arial" w:eastAsia="Arial" w:hAnsi="Arial"/>
          <w:sz w:val="18"/>
          <w:szCs w:val="18"/>
          <w:color w:val="auto"/>
        </w:rPr>
        <w:t>," which previously included the accounting for nonemployee awards.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Income taxes</w:t>
      </w:r>
    </w:p>
    <w:p>
      <w:pPr>
        <w:spacing w:after="0" w:line="171" w:lineRule="exact"/>
        <w:rPr>
          <w:sz w:val="20"/>
          <w:szCs w:val="20"/>
          <w:color w:val="auto"/>
        </w:rPr>
      </w:pPr>
    </w:p>
    <w:p>
      <w:pPr>
        <w:ind w:right="500"/>
        <w:spacing w:after="0" w:line="241"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which requires the use of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w:t>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effect on deferred tax assets and liabilities of a change in tax rates or laws is recognized in income in the period that the change in tax rates or laws is enacted. A valuation allowance is provided to reduce the amount of deferred tax assets if it is considered more likely than not that some portion or all of the deferred tax assets will not be realized.</w:t>
      </w:r>
    </w:p>
    <w:p>
      <w:pPr>
        <w:spacing w:after="0" w:line="14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ASC 740 clarifies the accounting for uncertain tax positions. This interpretation requires that an entity recognizes in the consolidated financial statements the impact of a tax position, if that position is more likely than not of being sustained upon examination, based on the technical merits of the position. Recognized income tax positions are measured at the largest amount that is greater than 50% likely of being realized. Changes in recognition or measurement are reflected in the period in which the change in judgment occurs. The Company’s accounting policy is to accrue interest and penalties related to uncertain tax positions, if and when required, as interest expense and a component of other expenses, respectively, in the consolidated statements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Earnings (loss) per share</w:t>
      </w:r>
    </w:p>
    <w:p>
      <w:pPr>
        <w:spacing w:after="0" w:line="185"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Basic earnings (loss) per share is computed by dividing net income (loss) by the weighted average number of common shares outstanding during the periods. Diluted earnings (loss) per share reflects the potential dilution that could occur if securities or other contracts to issue common stock were exercised or converted into common stock and is calculated using the treasury stock method for stock options and unvested shares. Common equivalent shares are excluded from the calculation in the loss periods as their effects would be anti-dilutive.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(p) Contingencies</w:t>
      </w:r>
    </w:p>
    <w:p>
      <w:pPr>
        <w:spacing w:after="0" w:line="185"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the ordinary course of business, the Company is subject to loss contingencies that cover a wide range of matters. An estimated loss from a loss contingency such as a legal proceeding or claim is accrued if it is probable that a liability has been incurred and the amount of the loss can be reasonably estimated. In determining whether a loss should be accrued, the Company evaluates, among other factors, the degree of probability and the ability to make a reasonable estimate of the amount of loss.</w:t>
      </w:r>
    </w:p>
    <w:p>
      <w:pPr>
        <w:spacing w:after="0" w:line="147" w:lineRule="exact"/>
        <w:rPr>
          <w:sz w:val="20"/>
          <w:szCs w:val="20"/>
          <w:color w:val="auto"/>
        </w:rPr>
      </w:pPr>
    </w:p>
    <w:p>
      <w:pPr>
        <w:ind w:right="8300" w:firstLine="8"/>
        <w:spacing w:after="0" w:line="446" w:lineRule="auto"/>
        <w:tabs>
          <w:tab w:leader="none" w:pos="255"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concentrations and risks Concentration of credit risk</w:t>
      </w:r>
    </w:p>
    <w:p>
      <w:pPr>
        <w:ind w:right="360"/>
        <w:spacing w:after="0" w:line="241" w:lineRule="auto"/>
        <w:rPr>
          <w:sz w:val="20"/>
          <w:szCs w:val="20"/>
          <w:color w:val="auto"/>
        </w:rPr>
      </w:pPr>
      <w:r>
        <w:rPr>
          <w:rFonts w:ascii="Arial" w:cs="Arial" w:eastAsia="Arial" w:hAnsi="Arial"/>
          <w:sz w:val="18"/>
          <w:szCs w:val="18"/>
          <w:color w:val="auto"/>
        </w:rPr>
        <w:t>Assets that potentially subject the Company to significant concentration of credit risk primarily consist of cash and cash equivalents, and accounts receivable. As of December 31, 2021 and 2020, all of the Company’s cash and cash equivalents were deposited in financial institutions located in the United States, which management believes are of high credit quality. Accounts receivable are typically unsecured and are derived from revenue earned from customers. The risk with respect to accounts receivable is mitigated by credit evaluations the Company performs on its customers and its ongoing monitoring process of outstanding balances.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2021 and 2020, no individual customer accounted for more than 10% of the total revenue.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and 2020, there was no individual customer that accounted for more than 10% of the Company’s accounts receivable, net.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suppliers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Company’s products and services depend extensively upon continued access to and receipt of data from external sources, including data received from the major credit bureaus, including the Company’s largest data supplier. The Company’s other data suppliers include strategic partners, as well as various government and public records databases. The Company’s largest data supplier, with whom the Company has expanded its relationship while securing what it believes to be favorable business terms over the years, accounted for 49% of the Company’s total data acquisition costs for the year ended December 31, 2021 compared to 46% for the year ended December 31, 2020. The amended and renewed term of the agreement with this supplier ends June 30, 2026. The Company may elect to extend the term for an additional twelve months upon written notice to this supplier at least 30 days prior to the end of the amended and renewed term. During the term of the agreement, either party has the right to terminate the agreement: (i) in the event of the other party’s failure to cure a material breach, and (ii) in the event of the other party’s insolvency. In addition, this supplier may terminate this agreement by providing not less than 12 months’ advance written notice to the Company and the Company may terminate this agreement by providing not less than 24 months’ advance written notice to this supplier. As of December 31, 2021, the remaining minimum purchase commitments through the end of the amended and renewed term is $23.8 million. If the Company is unable to maintain its relationship with its largest data supplier, its ability to provide products and services could be negatively impacted, as it would need to secure comparable data on similar terms, which would require significant time, expense, and resources, and may in the short-term adversely affect its reputation, business, financial condition and results of operations and, if it is unable to establish a similar relationship with other data suppliers over time, could have a long-term material impact on its business and financial condition.</w:t>
      </w:r>
    </w:p>
    <w:p>
      <w:pPr>
        <w:spacing w:after="0" w:line="148"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As of December 31, 2021, among data suppliers, one data supplier accounted for 26% of the Company’s total accounts payable. As of December 31, 2020, among data suppliers, two data suppliers accounted for 40% and 16% of the Company’s total accounts payable,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Recently issued accounting standards</w:t>
      </w:r>
    </w:p>
    <w:p>
      <w:pPr>
        <w:spacing w:after="0" w:line="21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As an emerging growth company, the Company has left open the opportunity to take advantage of the extended transition period provided to emerging growth companies in Section 13(a) of the Exchange Act, however, it is the Company’s present intention to adopt any applicable new accounting standards timely.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3. Earnings (loss)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2021 and 2020, the basic and diluted earnings (loss) per share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Numerator:</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655</w:t>
            </w:r>
          </w:p>
        </w:tc>
        <w:tc>
          <w:tcPr>
            <w:tcW w:w="940" w:type="dxa"/>
            <w:vAlign w:val="bottom"/>
            <w:gridSpan w:val="2"/>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(6,813 )</w:t>
            </w: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Denominator:</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Weighted average shares outstanding:</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2"/>
        </w:trPr>
        <w:tc>
          <w:tcPr>
            <w:tcW w:w="7520" w:type="dxa"/>
            <w:vAlign w:val="bottom"/>
          </w:tcPr>
          <w:p>
            <w:pPr>
              <w:ind w:left="20"/>
              <w:spacing w:after="0" w:line="162" w:lineRule="exact"/>
              <w:rPr>
                <w:sz w:val="20"/>
                <w:szCs w:val="20"/>
                <w:color w:val="auto"/>
              </w:rPr>
            </w:pPr>
            <w:r>
              <w:rPr>
                <w:rFonts w:ascii="Arial" w:cs="Arial" w:eastAsia="Arial" w:hAnsi="Arial"/>
                <w:sz w:val="18"/>
                <w:szCs w:val="18"/>
                <w:color w:val="auto"/>
              </w:rPr>
              <w:t>Basic</w:t>
            </w:r>
          </w:p>
        </w:tc>
        <w:tc>
          <w:tcPr>
            <w:tcW w:w="40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8"/>
                <w:szCs w:val="18"/>
                <w:color w:val="auto"/>
              </w:rPr>
              <w:t>12,597,316</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8"/>
                <w:szCs w:val="18"/>
                <w:color w:val="auto"/>
              </w:rPr>
              <w:t>11,863,413</w:t>
            </w:r>
          </w:p>
        </w:tc>
        <w:tc>
          <w:tcPr>
            <w:tcW w:w="80" w:type="dxa"/>
            <w:vAlign w:val="bottom"/>
          </w:tcPr>
          <w:p>
            <w:pPr>
              <w:spacing w:after="0"/>
              <w:rPr>
                <w:sz w:val="14"/>
                <w:szCs w:val="14"/>
                <w:color w:val="auto"/>
              </w:rPr>
            </w:pPr>
          </w:p>
        </w:tc>
      </w:tr>
      <w:tr>
        <w:trPr>
          <w:trHeight w:val="243"/>
        </w:trPr>
        <w:tc>
          <w:tcPr>
            <w:tcW w:w="7520" w:type="dxa"/>
            <w:vAlign w:val="bottom"/>
          </w:tcPr>
          <w:p>
            <w:pPr>
              <w:ind w:left="20"/>
              <w:spacing w:after="0" w:line="243" w:lineRule="exact"/>
              <w:rPr>
                <w:sz w:val="20"/>
                <w:szCs w:val="20"/>
                <w:color w:val="auto"/>
              </w:rPr>
            </w:pPr>
            <w:r>
              <w:rPr>
                <w:rFonts w:ascii="Arial" w:cs="Arial" w:eastAsia="Arial" w:hAnsi="Arial"/>
                <w:sz w:val="18"/>
                <w:szCs w:val="18"/>
                <w:color w:val="auto"/>
              </w:rPr>
              <w:t>Diluted</w:t>
            </w:r>
            <w:r>
              <w:rPr>
                <w:rFonts w:ascii="Arial" w:cs="Arial" w:eastAsia="Arial" w:hAnsi="Arial"/>
                <w:sz w:val="24"/>
                <w:szCs w:val="24"/>
                <w:color w:val="auto"/>
                <w:vertAlign w:val="superscript"/>
              </w:rPr>
              <w:t>(1)</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13,403,041</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11,863,413</w:t>
            </w:r>
          </w:p>
        </w:tc>
        <w:tc>
          <w:tcPr>
            <w:tcW w:w="80" w:type="dxa"/>
            <w:vAlign w:val="bottom"/>
          </w:tcPr>
          <w:p>
            <w:pPr>
              <w:spacing w:after="0"/>
              <w:rPr>
                <w:sz w:val="21"/>
                <w:szCs w:val="21"/>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Earnings (loss) per share:</w:t>
            </w: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Basic</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940" w:type="dxa"/>
            <w:vAlign w:val="bottom"/>
            <w:gridSpan w:val="2"/>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(0.57 )</w:t>
            </w:r>
          </w:p>
        </w:tc>
      </w:tr>
      <w:tr>
        <w:trPr>
          <w:trHeight w:val="20"/>
        </w:trPr>
        <w:tc>
          <w:tcPr>
            <w:tcW w:w="7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5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auto"/>
            </w:tcBorders>
            <w:shd w:val="clear" w:color="auto" w:fill="CFF0FC"/>
          </w:tcPr>
          <w:p>
            <w:pPr>
              <w:jc w:val="right"/>
              <w:ind w:right="210"/>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0.05</w:t>
            </w:r>
          </w:p>
        </w:tc>
        <w:tc>
          <w:tcPr>
            <w:tcW w:w="2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(0.57</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ind w:right="20" w:firstLine="8"/>
        <w:spacing w:after="0" w:line="261"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total of 1,764,450 unvested restricted stock units (“RSUs”) have been excluded from the diluted loss per share for the year ended December 31, 2020, as the impact is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238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6"/>
        </w:trPr>
        <w:tc>
          <w:tcPr>
            <w:tcW w:w="6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Accounts receivable</w:t>
            </w:r>
          </w:p>
        </w:tc>
        <w:tc>
          <w:tcPr>
            <w:tcW w:w="520" w:type="dxa"/>
            <w:vAlign w:val="bottom"/>
            <w:tcBorders>
              <w:top w:val="single" w:sz="8" w:color="auto"/>
            </w:tcBorders>
            <w:gridSpan w:val="2"/>
            <w:shd w:val="clear" w:color="auto" w:fill="CFF0FC"/>
          </w:tcPr>
          <w:p>
            <w:pPr>
              <w:jc w:val="right"/>
              <w:ind w:right="336"/>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3,764</w:t>
            </w: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Less: Allowance for doubtful accounts</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(28 )</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accounts receivable, net</w:t>
            </w:r>
          </w:p>
        </w:tc>
        <w:tc>
          <w:tcPr>
            <w:tcW w:w="520" w:type="dxa"/>
            <w:vAlign w:val="bottom"/>
            <w:tcBorders>
              <w:top w:val="single" w:sz="8" w:color="auto"/>
              <w:bottom w:val="single" w:sz="8" w:color="auto"/>
            </w:tcBorders>
            <w:gridSpan w:val="2"/>
            <w:shd w:val="clear" w:color="auto" w:fill="CFF0FC"/>
          </w:tcPr>
          <w:p>
            <w:pPr>
              <w:jc w:val="right"/>
              <w:ind w:right="336"/>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3,736</w:t>
            </w:r>
          </w:p>
        </w:tc>
        <w:tc>
          <w:tcPr>
            <w:tcW w:w="2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3,201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6660" w:type="dxa"/>
            <w:vAlign w:val="bottom"/>
          </w:tcPr>
          <w:p>
            <w:pPr>
              <w:spacing w:after="0"/>
              <w:rPr>
                <w:sz w:val="20"/>
                <w:szCs w:val="20"/>
                <w:color w:val="auto"/>
              </w:rPr>
            </w:pPr>
            <w:r>
              <w:rPr>
                <w:rFonts w:ascii="Arial" w:cs="Arial" w:eastAsia="Arial" w:hAnsi="Arial"/>
                <w:sz w:val="18"/>
                <w:szCs w:val="18"/>
                <w:color w:val="auto"/>
              </w:rPr>
              <w:t>The movement of allowance for doubtful accounts is shown below:</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gridSpan w:val="7"/>
          </w:tcPr>
          <w:p>
            <w:pPr>
              <w:jc w:val="right"/>
              <w:ind w:right="1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16"/>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Charges to expenses</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Write-offs</w:t>
            </w: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(105 )</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(408 )</w:t>
            </w:r>
          </w:p>
        </w:tc>
        <w:tc>
          <w:tcPr>
            <w:tcW w:w="0" w:type="dxa"/>
            <w:vAlign w:val="bottom"/>
          </w:tcPr>
          <w:p>
            <w:pPr>
              <w:spacing w:after="0"/>
              <w:rPr>
                <w:sz w:val="1"/>
                <w:szCs w:val="1"/>
                <w:color w:val="auto"/>
              </w:rPr>
            </w:pPr>
          </w:p>
        </w:tc>
      </w:tr>
      <w:tr>
        <w:trPr>
          <w:trHeight w:val="196"/>
        </w:trPr>
        <w:tc>
          <w:tcPr>
            <w:tcW w:w="66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Ending balance</w:t>
            </w:r>
          </w:p>
        </w:tc>
        <w:tc>
          <w:tcPr>
            <w:tcW w:w="2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16"/>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w:t>
            </w:r>
          </w:p>
        </w:tc>
        <w:tc>
          <w:tcPr>
            <w:tcW w:w="28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60" w:type="dxa"/>
            <w:vAlign w:val="bottom"/>
          </w:tcPr>
          <w:p>
            <w:pPr>
              <w:spacing w:after="0"/>
              <w:rPr>
                <w:sz w:val="20"/>
                <w:szCs w:val="20"/>
                <w:color w:val="auto"/>
              </w:rPr>
            </w:pPr>
            <w:r>
              <w:rPr>
                <w:rFonts w:ascii="Arial" w:cs="Arial" w:eastAsia="Arial" w:hAnsi="Arial"/>
                <w:sz w:val="18"/>
                <w:szCs w:val="18"/>
                <w:color w:val="auto"/>
              </w:rPr>
              <w:t>Property and equipment, net consist of the following:</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6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Computer and network equipment</w:t>
            </w:r>
          </w:p>
        </w:tc>
        <w:tc>
          <w:tcPr>
            <w:tcW w:w="520" w:type="dxa"/>
            <w:vAlign w:val="bottom"/>
            <w:gridSpan w:val="2"/>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732</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Furniture, fixtures and office equipment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673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ind w:left="20"/>
              <w:spacing w:after="0" w:line="196" w:lineRule="exact"/>
              <w:rPr>
                <w:sz w:val="20"/>
                <w:szCs w:val="20"/>
                <w:color w:val="auto"/>
              </w:rPr>
            </w:pPr>
            <w:r>
              <w:rPr>
                <w:rFonts w:ascii="Arial" w:cs="Arial" w:eastAsia="Arial" w:hAnsi="Arial"/>
                <w:sz w:val="18"/>
                <w:szCs w:val="18"/>
                <w:color w:val="auto"/>
              </w:rPr>
              <w:t>Total cost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1,548</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1,430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00" w:type="dxa"/>
            <w:vAlign w:val="bottom"/>
            <w:gridSpan w:val="4"/>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(971 )</w:t>
            </w:r>
          </w:p>
        </w:tc>
        <w:tc>
          <w:tcPr>
            <w:tcW w:w="1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(872 )</w:t>
            </w:r>
          </w:p>
        </w:tc>
        <w:tc>
          <w:tcPr>
            <w:tcW w:w="0" w:type="dxa"/>
            <w:vAlign w:val="bottom"/>
          </w:tcPr>
          <w:p>
            <w:pPr>
              <w:spacing w:after="0"/>
              <w:rPr>
                <w:sz w:val="1"/>
                <w:szCs w:val="1"/>
                <w:color w:val="auto"/>
              </w:rPr>
            </w:pPr>
          </w:p>
        </w:tc>
      </w:tr>
      <w:tr>
        <w:trPr>
          <w:trHeight w:val="196"/>
        </w:trPr>
        <w:tc>
          <w:tcPr>
            <w:tcW w:w="66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520" w:type="dxa"/>
            <w:vAlign w:val="bottom"/>
            <w:tcBorders>
              <w:top w:val="single" w:sz="8" w:color="CFF0FC"/>
            </w:tcBorders>
            <w:gridSpan w:val="2"/>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577</w:t>
            </w:r>
          </w:p>
        </w:tc>
        <w:tc>
          <w:tcPr>
            <w:tcW w:w="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-2759710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-2742565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-1719580</wp:posOffset>
            </wp:positionV>
            <wp:extent cx="685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-1719580</wp:posOffset>
            </wp:positionV>
            <wp:extent cx="685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-424815</wp:posOffset>
            </wp:positionV>
            <wp:extent cx="6858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-159385</wp:posOffset>
            </wp:positionV>
            <wp:extent cx="6858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Depreciation of property and equipment of $229 and $226 was recorded for the years ended December 31, 2021 and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Amortization</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4"/>
                <w:szCs w:val="14"/>
                <w:b w:val="1"/>
                <w:bCs w:val="1"/>
                <w:color w:val="auto"/>
                <w:w w:val="91"/>
              </w:rPr>
              <w:t>December 31, 2021</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4"/>
                <w:szCs w:val="14"/>
                <w:b w:val="1"/>
                <w:bCs w:val="1"/>
                <w:color w:val="auto"/>
                <w:w w:val="91"/>
              </w:rPr>
              <w:t>December 31, 2020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4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4"/>
          </w:tcPr>
          <w:p>
            <w:pPr>
              <w:jc w:val="center"/>
              <w:ind w:right="37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ind w:right="125"/>
              <w:spacing w:after="0" w:line="116"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0"/>
                <w:szCs w:val="10"/>
                <w:color w:val="auto"/>
              </w:rPr>
            </w:pPr>
          </w:p>
        </w:tc>
        <w:tc>
          <w:tcPr>
            <w:tcW w:w="1380" w:type="dxa"/>
            <w:vAlign w:val="bottom"/>
            <w:gridSpan w:val="4"/>
          </w:tcPr>
          <w:p>
            <w:pPr>
              <w:jc w:val="center"/>
              <w:ind w:right="370"/>
              <w:spacing w:after="0" w:line="116" w:lineRule="exact"/>
              <w:rPr>
                <w:sz w:val="20"/>
                <w:szCs w:val="20"/>
                <w:color w:val="auto"/>
              </w:rPr>
            </w:pPr>
            <w:r>
              <w:rPr>
                <w:rFonts w:ascii="Arial" w:cs="Arial" w:eastAsia="Arial" w:hAnsi="Arial"/>
                <w:sz w:val="13"/>
                <w:szCs w:val="13"/>
                <w:b w:val="1"/>
                <w:bCs w:val="1"/>
                <w:color w:val="auto"/>
                <w:w w:val="93"/>
              </w:rPr>
              <w:t>Accumulated</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Period</w:t>
            </w:r>
          </w:p>
        </w:tc>
        <w:tc>
          <w:tcPr>
            <w:tcW w:w="100" w:type="dxa"/>
            <w:vAlign w:val="bottom"/>
          </w:tcPr>
          <w:p>
            <w:pPr>
              <w:spacing w:after="0"/>
              <w:rPr>
                <w:sz w:val="15"/>
                <w:szCs w:val="15"/>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2"/>
              </w:rPr>
              <w:t>Gross Amount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8"/>
              </w:rPr>
              <w:t>Amortization</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Net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Amortization</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Net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Software developed for internal use</w:t>
            </w:r>
          </w:p>
        </w:tc>
        <w:tc>
          <w:tcPr>
            <w:tcW w:w="1220" w:type="dxa"/>
            <w:vAlign w:val="bottom"/>
            <w:tcBorders>
              <w:bottom w:val="single" w:sz="8" w:color="CFF0FC"/>
            </w:tcBorders>
            <w:gridSpan w:val="2"/>
            <w:shd w:val="clear" w:color="auto" w:fill="CFF0FC"/>
          </w:tcPr>
          <w:p>
            <w:pPr>
              <w:jc w:val="center"/>
              <w:ind w:right="100"/>
              <w:spacing w:after="0" w:line="182" w:lineRule="exact"/>
              <w:rPr>
                <w:sz w:val="20"/>
                <w:szCs w:val="20"/>
                <w:color w:val="auto"/>
              </w:rPr>
            </w:pPr>
            <w:r>
              <w:rPr>
                <w:rFonts w:ascii="Arial" w:cs="Arial" w:eastAsia="Arial" w:hAnsi="Arial"/>
                <w:sz w:val="18"/>
                <w:szCs w:val="18"/>
                <w:color w:val="auto"/>
                <w:w w:val="89"/>
              </w:rPr>
              <w:t>5-10 years</w:t>
            </w:r>
          </w:p>
        </w:tc>
        <w:tc>
          <w:tcPr>
            <w:tcW w:w="240" w:type="dxa"/>
            <w:vAlign w:val="bottom"/>
            <w:tcBorders>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42,982</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(14,801</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28,181</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36,804</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25"/>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(9,634</w:t>
            </w:r>
          </w:p>
        </w:tc>
        <w:tc>
          <w:tcPr>
            <w:tcW w:w="20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27,170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-24765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4" w:name="page55"/>
    <w:bookmarkEnd w:id="54"/>
    <w:p>
      <w:pPr>
        <w:ind w:right="460"/>
        <w:spacing w:after="0" w:line="291" w:lineRule="auto"/>
        <w:rPr>
          <w:sz w:val="20"/>
          <w:szCs w:val="20"/>
          <w:color w:val="auto"/>
        </w:rPr>
      </w:pPr>
      <w:r>
        <w:rPr>
          <w:rFonts w:ascii="Arial" w:cs="Arial" w:eastAsia="Arial" w:hAnsi="Arial"/>
          <w:sz w:val="17"/>
          <w:szCs w:val="17"/>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06"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Amortization expenses of $5,170 and $3,990 were included in depreciation and amortization expense for the years ended December 31, 2021 and 2020, respectively. As of December 31, 2021, intangible assets of $3,032, included in the gross amounts of software developed for internal use, have not started amortization, as they are not ready for their intended use.</w:t>
      </w:r>
    </w:p>
    <w:p>
      <w:pPr>
        <w:spacing w:after="0" w:line="15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Company capitalized costs of software developed for internal use of $6,181 and $7,346 during the years ended December 31, 2021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estimated amortization expenses related to the Company’s intangible assets for 2022 through 2027 and thereafter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6"/>
                <w:szCs w:val="16"/>
                <w:color w:val="auto"/>
              </w:rPr>
            </w:pPr>
          </w:p>
        </w:tc>
      </w:tr>
      <w:tr>
        <w:trPr>
          <w:trHeight w:val="196"/>
        </w:trPr>
        <w:tc>
          <w:tcPr>
            <w:tcW w:w="6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6,027</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6,249</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5,621</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4,424</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2,968</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2027 and thereafter</w:t>
            </w: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2,892</w:t>
            </w:r>
          </w:p>
        </w:tc>
        <w:tc>
          <w:tcPr>
            <w:tcW w:w="100" w:type="dxa"/>
            <w:vAlign w:val="bottom"/>
          </w:tcPr>
          <w:p>
            <w:pPr>
              <w:spacing w:after="0"/>
              <w:rPr>
                <w:sz w:val="17"/>
                <w:szCs w:val="17"/>
                <w:color w:val="auto"/>
              </w:rPr>
            </w:pPr>
          </w:p>
        </w:tc>
      </w:tr>
      <w:tr>
        <w:trPr>
          <w:trHeight w:val="236"/>
        </w:trPr>
        <w:tc>
          <w:tcPr>
            <w:tcW w:w="6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28,181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99"/>
        </w:trPr>
        <w:tc>
          <w:tcPr>
            <w:tcW w:w="6720" w:type="dxa"/>
            <w:vAlign w:val="bottom"/>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72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December 31, 2021</w:t>
            </w:r>
          </w:p>
        </w:tc>
        <w:tc>
          <w:tcPr>
            <w:tcW w:w="3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24"/>
                <w:szCs w:val="24"/>
                <w:color w:val="auto"/>
              </w:rPr>
            </w:pPr>
          </w:p>
        </w:tc>
      </w:tr>
      <w:tr>
        <w:trPr>
          <w:trHeight w:val="196"/>
        </w:trPr>
        <w:tc>
          <w:tcPr>
            <w:tcW w:w="6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payroll and related expenses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228</w:t>
            </w: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1,077</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Accrued data acquisition costs</w:t>
            </w:r>
          </w:p>
        </w:tc>
        <w:tc>
          <w:tcPr>
            <w:tcW w:w="28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tax payable</w:t>
            </w:r>
          </w:p>
        </w:tc>
        <w:tc>
          <w:tcPr>
            <w:tcW w:w="2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w:t>
            </w: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Miscellaneous expenses payable</w:t>
            </w: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w:t>
            </w:r>
          </w:p>
        </w:tc>
        <w:tc>
          <w:tcPr>
            <w:tcW w:w="100" w:type="dxa"/>
            <w:vAlign w:val="bottom"/>
          </w:tcPr>
          <w:p>
            <w:pPr>
              <w:spacing w:after="0"/>
              <w:rPr>
                <w:sz w:val="17"/>
                <w:szCs w:val="17"/>
                <w:color w:val="auto"/>
              </w:rPr>
            </w:pPr>
          </w:p>
        </w:tc>
      </w:tr>
      <w:tr>
        <w:trPr>
          <w:trHeight w:val="236"/>
        </w:trPr>
        <w:tc>
          <w:tcPr>
            <w:tcW w:w="67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395</w:t>
            </w:r>
          </w:p>
        </w:tc>
        <w:tc>
          <w:tcPr>
            <w:tcW w:w="3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8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Company is subject to federal and state income taxes in the United States. The income taxes on income (loss) before income taxes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3620" w:type="dxa"/>
            <w:vAlign w:val="bottom"/>
            <w:shd w:val="clear" w:color="auto" w:fill="CEF0FC"/>
          </w:tcPr>
          <w:p>
            <w:pPr>
              <w:ind w:left="20"/>
              <w:spacing w:after="0" w:line="196" w:lineRule="exact"/>
              <w:rPr>
                <w:sz w:val="20"/>
                <w:szCs w:val="20"/>
                <w:color w:val="auto"/>
              </w:rPr>
            </w:pPr>
            <w:r>
              <w:rPr>
                <w:rFonts w:ascii="Arial" w:cs="Arial" w:eastAsia="Arial" w:hAnsi="Arial"/>
                <w:sz w:val="18"/>
                <w:szCs w:val="18"/>
                <w:color w:val="auto"/>
              </w:rPr>
              <w:t>Current</w:t>
            </w:r>
          </w:p>
        </w:tc>
        <w:tc>
          <w:tcPr>
            <w:tcW w:w="3100" w:type="dxa"/>
            <w:vAlign w:val="bottom"/>
            <w:shd w:val="clear" w:color="auto" w:fill="CEF0FC"/>
          </w:tcPr>
          <w:p>
            <w:pPr>
              <w:spacing w:after="0"/>
              <w:rPr>
                <w:sz w:val="17"/>
                <w:szCs w:val="17"/>
                <w:color w:val="auto"/>
              </w:rPr>
            </w:pPr>
          </w:p>
        </w:tc>
        <w:tc>
          <w:tcPr>
            <w:tcW w:w="500" w:type="dxa"/>
            <w:vAlign w:val="bottom"/>
            <w:shd w:val="clear" w:color="auto" w:fill="CEF0FC"/>
          </w:tcPr>
          <w:p>
            <w:pPr>
              <w:spacing w:after="0"/>
              <w:rPr>
                <w:sz w:val="17"/>
                <w:szCs w:val="17"/>
                <w:color w:val="auto"/>
              </w:rPr>
            </w:pPr>
          </w:p>
        </w:tc>
        <w:tc>
          <w:tcPr>
            <w:tcW w:w="1540" w:type="dxa"/>
            <w:vAlign w:val="bottom"/>
            <w:shd w:val="clear" w:color="auto" w:fill="CEF0FC"/>
          </w:tcPr>
          <w:p>
            <w:pPr>
              <w:spacing w:after="0"/>
              <w:rPr>
                <w:sz w:val="17"/>
                <w:szCs w:val="17"/>
                <w:color w:val="auto"/>
              </w:rPr>
            </w:pPr>
          </w:p>
        </w:tc>
        <w:tc>
          <w:tcPr>
            <w:tcW w:w="340" w:type="dxa"/>
            <w:vAlign w:val="bottom"/>
            <w:shd w:val="clear" w:color="auto" w:fill="CEF0FC"/>
          </w:tcPr>
          <w:p>
            <w:pPr>
              <w:spacing w:after="0"/>
              <w:rPr>
                <w:sz w:val="17"/>
                <w:szCs w:val="17"/>
                <w:color w:val="auto"/>
              </w:rPr>
            </w:pPr>
          </w:p>
        </w:tc>
        <w:tc>
          <w:tcPr>
            <w:tcW w:w="740" w:type="dxa"/>
            <w:vAlign w:val="bottom"/>
            <w:shd w:val="clear" w:color="auto" w:fill="CEF0FC"/>
          </w:tcPr>
          <w:p>
            <w:pPr>
              <w:spacing w:after="0"/>
              <w:rPr>
                <w:sz w:val="17"/>
                <w:szCs w:val="17"/>
                <w:color w:val="auto"/>
              </w:rPr>
            </w:pPr>
          </w:p>
        </w:tc>
        <w:tc>
          <w:tcPr>
            <w:tcW w:w="1300" w:type="dxa"/>
            <w:vAlign w:val="bottom"/>
            <w:shd w:val="clear" w:color="auto" w:fill="CEF0FC"/>
          </w:tcPr>
          <w:p>
            <w:pPr>
              <w:spacing w:after="0"/>
              <w:rPr>
                <w:sz w:val="17"/>
                <w:szCs w:val="17"/>
                <w:color w:val="auto"/>
              </w:rPr>
            </w:pPr>
          </w:p>
        </w:tc>
        <w:tc>
          <w:tcPr>
            <w:tcW w:w="100" w:type="dxa"/>
            <w:vAlign w:val="bottom"/>
            <w:shd w:val="clear" w:color="auto" w:fill="CEF0FC"/>
          </w:tcPr>
          <w:p>
            <w:pPr>
              <w:spacing w:after="0"/>
              <w:rPr>
                <w:sz w:val="17"/>
                <w:szCs w:val="17"/>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Federal and state</w:t>
            </w:r>
          </w:p>
        </w:tc>
        <w:tc>
          <w:tcPr>
            <w:tcW w:w="3600" w:type="dxa"/>
            <w:vAlign w:val="bottom"/>
            <w:gridSpan w:val="2"/>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55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3620" w:type="dxa"/>
            <w:vAlign w:val="bottom"/>
            <w:shd w:val="clear" w:color="auto" w:fill="CEF0FC"/>
          </w:tcPr>
          <w:p>
            <w:pPr>
              <w:ind w:left="20"/>
              <w:spacing w:after="0" w:line="202" w:lineRule="exact"/>
              <w:rPr>
                <w:sz w:val="20"/>
                <w:szCs w:val="20"/>
                <w:color w:val="auto"/>
              </w:rPr>
            </w:pPr>
            <w:r>
              <w:rPr>
                <w:rFonts w:ascii="Arial" w:cs="Arial" w:eastAsia="Arial" w:hAnsi="Arial"/>
                <w:sz w:val="18"/>
                <w:szCs w:val="18"/>
                <w:color w:val="auto"/>
              </w:rPr>
              <w:t>Deferred</w:t>
            </w:r>
          </w:p>
        </w:tc>
        <w:tc>
          <w:tcPr>
            <w:tcW w:w="3100" w:type="dxa"/>
            <w:vAlign w:val="bottom"/>
            <w:shd w:val="clear" w:color="auto" w:fill="CEF0FC"/>
          </w:tcPr>
          <w:p>
            <w:pPr>
              <w:spacing w:after="0"/>
              <w:rPr>
                <w:sz w:val="17"/>
                <w:szCs w:val="17"/>
                <w:color w:val="auto"/>
              </w:rPr>
            </w:pPr>
          </w:p>
        </w:tc>
        <w:tc>
          <w:tcPr>
            <w:tcW w:w="500" w:type="dxa"/>
            <w:vAlign w:val="bottom"/>
            <w:shd w:val="clear" w:color="auto" w:fill="CEF0FC"/>
          </w:tcPr>
          <w:p>
            <w:pPr>
              <w:spacing w:after="0"/>
              <w:rPr>
                <w:sz w:val="17"/>
                <w:szCs w:val="17"/>
                <w:color w:val="auto"/>
              </w:rPr>
            </w:pPr>
          </w:p>
        </w:tc>
        <w:tc>
          <w:tcPr>
            <w:tcW w:w="1540" w:type="dxa"/>
            <w:vAlign w:val="bottom"/>
            <w:shd w:val="clear" w:color="auto" w:fill="CEF0FC"/>
          </w:tcPr>
          <w:p>
            <w:pPr>
              <w:spacing w:after="0"/>
              <w:rPr>
                <w:sz w:val="17"/>
                <w:szCs w:val="17"/>
                <w:color w:val="auto"/>
              </w:rPr>
            </w:pPr>
          </w:p>
        </w:tc>
        <w:tc>
          <w:tcPr>
            <w:tcW w:w="340" w:type="dxa"/>
            <w:vAlign w:val="bottom"/>
            <w:shd w:val="clear" w:color="auto" w:fill="CEF0FC"/>
          </w:tcPr>
          <w:p>
            <w:pPr>
              <w:spacing w:after="0"/>
              <w:rPr>
                <w:sz w:val="17"/>
                <w:szCs w:val="17"/>
                <w:color w:val="auto"/>
              </w:rPr>
            </w:pPr>
          </w:p>
        </w:tc>
        <w:tc>
          <w:tcPr>
            <w:tcW w:w="740" w:type="dxa"/>
            <w:vAlign w:val="bottom"/>
            <w:shd w:val="clear" w:color="auto" w:fill="CEF0FC"/>
          </w:tcPr>
          <w:p>
            <w:pPr>
              <w:spacing w:after="0"/>
              <w:rPr>
                <w:sz w:val="17"/>
                <w:szCs w:val="17"/>
                <w:color w:val="auto"/>
              </w:rPr>
            </w:pPr>
          </w:p>
        </w:tc>
        <w:tc>
          <w:tcPr>
            <w:tcW w:w="1300" w:type="dxa"/>
            <w:vAlign w:val="bottom"/>
            <w:shd w:val="clear" w:color="auto" w:fill="CEF0FC"/>
          </w:tcPr>
          <w:p>
            <w:pPr>
              <w:spacing w:after="0"/>
              <w:rPr>
                <w:sz w:val="17"/>
                <w:szCs w:val="17"/>
                <w:color w:val="auto"/>
              </w:rPr>
            </w:pPr>
          </w:p>
        </w:tc>
        <w:tc>
          <w:tcPr>
            <w:tcW w:w="100" w:type="dxa"/>
            <w:vAlign w:val="bottom"/>
            <w:shd w:val="clear" w:color="auto" w:fill="CEF0FC"/>
          </w:tcPr>
          <w:p>
            <w:pPr>
              <w:spacing w:after="0"/>
              <w:rPr>
                <w:sz w:val="17"/>
                <w:szCs w:val="17"/>
                <w:color w:val="auto"/>
              </w:rPr>
            </w:pP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Federal</w:t>
            </w:r>
          </w:p>
        </w:tc>
        <w:tc>
          <w:tcPr>
            <w:tcW w:w="3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(1,401 )</w:t>
            </w:r>
          </w:p>
        </w:tc>
        <w:tc>
          <w:tcPr>
            <w:tcW w:w="74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(1,903 )</w:t>
            </w:r>
          </w:p>
        </w:tc>
      </w:tr>
      <w:tr>
        <w:trPr>
          <w:trHeight w:val="203"/>
        </w:trPr>
        <w:tc>
          <w:tcPr>
            <w:tcW w:w="3620" w:type="dxa"/>
            <w:vAlign w:val="bottom"/>
            <w:shd w:val="clear" w:color="auto" w:fill="CEF0FC"/>
          </w:tcPr>
          <w:p>
            <w:pPr>
              <w:ind w:left="20"/>
              <w:spacing w:after="0" w:line="202" w:lineRule="exact"/>
              <w:rPr>
                <w:sz w:val="20"/>
                <w:szCs w:val="20"/>
                <w:color w:val="auto"/>
              </w:rPr>
            </w:pPr>
            <w:r>
              <w:rPr>
                <w:rFonts w:ascii="Arial" w:cs="Arial" w:eastAsia="Arial" w:hAnsi="Arial"/>
                <w:sz w:val="18"/>
                <w:szCs w:val="18"/>
                <w:color w:val="auto"/>
              </w:rPr>
              <w:t>State</w:t>
            </w:r>
          </w:p>
        </w:tc>
        <w:tc>
          <w:tcPr>
            <w:tcW w:w="3100" w:type="dxa"/>
            <w:vAlign w:val="bottom"/>
            <w:shd w:val="clear" w:color="auto" w:fill="CEF0FC"/>
          </w:tcPr>
          <w:p>
            <w:pPr>
              <w:spacing w:after="0"/>
              <w:rPr>
                <w:sz w:val="17"/>
                <w:szCs w:val="17"/>
                <w:color w:val="auto"/>
              </w:rPr>
            </w:pPr>
          </w:p>
        </w:tc>
        <w:tc>
          <w:tcPr>
            <w:tcW w:w="500" w:type="dxa"/>
            <w:vAlign w:val="bottom"/>
            <w:shd w:val="clear" w:color="auto" w:fill="CEF0FC"/>
          </w:tcPr>
          <w:p>
            <w:pPr>
              <w:spacing w:after="0"/>
              <w:rPr>
                <w:sz w:val="17"/>
                <w:szCs w:val="17"/>
                <w:color w:val="auto"/>
              </w:rPr>
            </w:pPr>
          </w:p>
        </w:tc>
        <w:tc>
          <w:tcPr>
            <w:tcW w:w="1880" w:type="dxa"/>
            <w:vAlign w:val="bottom"/>
            <w:gridSpan w:val="2"/>
            <w:shd w:val="clear" w:color="auto" w:fill="CEF0FC"/>
          </w:tcPr>
          <w:p>
            <w:pPr>
              <w:jc w:val="right"/>
              <w:ind w:right="260"/>
              <w:spacing w:after="0" w:line="202" w:lineRule="exact"/>
              <w:rPr>
                <w:sz w:val="20"/>
                <w:szCs w:val="20"/>
                <w:color w:val="auto"/>
              </w:rPr>
            </w:pPr>
            <w:r>
              <w:rPr>
                <w:rFonts w:ascii="Arial" w:cs="Arial" w:eastAsia="Arial" w:hAnsi="Arial"/>
                <w:sz w:val="18"/>
                <w:szCs w:val="18"/>
                <w:color w:val="auto"/>
              </w:rPr>
              <w:t>(303 )</w:t>
            </w:r>
          </w:p>
        </w:tc>
        <w:tc>
          <w:tcPr>
            <w:tcW w:w="740" w:type="dxa"/>
            <w:vAlign w:val="bottom"/>
            <w:shd w:val="clear" w:color="auto" w:fill="CEF0FC"/>
          </w:tcPr>
          <w:p>
            <w:pPr>
              <w:spacing w:after="0"/>
              <w:rPr>
                <w:sz w:val="17"/>
                <w:szCs w:val="17"/>
                <w:color w:val="auto"/>
              </w:rPr>
            </w:pPr>
          </w:p>
        </w:tc>
        <w:tc>
          <w:tcPr>
            <w:tcW w:w="1400" w:type="dxa"/>
            <w:vAlign w:val="bottom"/>
            <w:gridSpan w:val="2"/>
            <w:shd w:val="clear" w:color="auto" w:fill="CEF0FC"/>
          </w:tcPr>
          <w:p>
            <w:pPr>
              <w:jc w:val="right"/>
              <w:ind w:right="40"/>
              <w:spacing w:after="0" w:line="202" w:lineRule="exact"/>
              <w:rPr>
                <w:sz w:val="20"/>
                <w:szCs w:val="20"/>
                <w:color w:val="auto"/>
              </w:rPr>
            </w:pPr>
            <w:r>
              <w:rPr>
                <w:rFonts w:ascii="Arial" w:cs="Arial" w:eastAsia="Arial" w:hAnsi="Arial"/>
                <w:sz w:val="18"/>
                <w:szCs w:val="18"/>
                <w:color w:val="auto"/>
              </w:rPr>
              <w:t>(554 )</w:t>
            </w:r>
          </w:p>
        </w:tc>
      </w:tr>
      <w:tr>
        <w:trPr>
          <w:trHeight w:val="203"/>
        </w:trPr>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3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1,902</w:t>
            </w:r>
          </w:p>
        </w:tc>
        <w:tc>
          <w:tcPr>
            <w:tcW w:w="3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2,457</w:t>
            </w:r>
          </w:p>
        </w:tc>
        <w:tc>
          <w:tcPr>
            <w:tcW w:w="100" w:type="dxa"/>
            <w:vAlign w:val="bottom"/>
          </w:tcPr>
          <w:p>
            <w:pPr>
              <w:spacing w:after="0"/>
              <w:rPr>
                <w:sz w:val="17"/>
                <w:szCs w:val="17"/>
                <w:color w:val="auto"/>
              </w:rPr>
            </w:pPr>
          </w:p>
        </w:tc>
      </w:tr>
      <w:tr>
        <w:trPr>
          <w:trHeight w:val="196"/>
        </w:trPr>
        <w:tc>
          <w:tcPr>
            <w:tcW w:w="3620" w:type="dxa"/>
            <w:vAlign w:val="bottom"/>
            <w:tcBorders>
              <w:bottom w:val="single" w:sz="8" w:color="CEF0FC"/>
            </w:tcBorders>
            <w:shd w:val="clear" w:color="auto" w:fill="CEF0FC"/>
          </w:tcPr>
          <w:p>
            <w:pPr>
              <w:spacing w:after="0"/>
              <w:rPr>
                <w:sz w:val="17"/>
                <w:szCs w:val="17"/>
                <w:color w:val="auto"/>
              </w:rPr>
            </w:pPr>
          </w:p>
        </w:tc>
        <w:tc>
          <w:tcPr>
            <w:tcW w:w="3100" w:type="dxa"/>
            <w:vAlign w:val="bottom"/>
            <w:tcBorders>
              <w:bottom w:val="single" w:sz="8" w:color="CEF0FC"/>
            </w:tcBorders>
            <w:shd w:val="clear" w:color="auto" w:fill="CEF0FC"/>
          </w:tcPr>
          <w:p>
            <w:pPr>
              <w:spacing w:after="0"/>
              <w:rPr>
                <w:sz w:val="17"/>
                <w:szCs w:val="17"/>
                <w:color w:val="auto"/>
              </w:rPr>
            </w:pPr>
          </w:p>
        </w:tc>
        <w:tc>
          <w:tcPr>
            <w:tcW w:w="500" w:type="dxa"/>
            <w:vAlign w:val="bottom"/>
            <w:tcBorders>
              <w:bottom w:val="single" w:sz="8" w:color="auto"/>
            </w:tcBorders>
            <w:shd w:val="clear" w:color="auto" w:fill="CEF0FC"/>
          </w:tcPr>
          <w:p>
            <w:pPr>
              <w:spacing w:after="0"/>
              <w:rPr>
                <w:sz w:val="17"/>
                <w:szCs w:val="17"/>
                <w:color w:val="auto"/>
              </w:rPr>
            </w:pPr>
          </w:p>
        </w:tc>
        <w:tc>
          <w:tcPr>
            <w:tcW w:w="1540" w:type="dxa"/>
            <w:vAlign w:val="bottom"/>
            <w:tcBorders>
              <w:bottom w:val="single" w:sz="8" w:color="auto"/>
            </w:tcBorders>
            <w:shd w:val="clear" w:color="auto" w:fill="CEF0FC"/>
          </w:tcPr>
          <w:p>
            <w:pPr>
              <w:jc w:val="right"/>
              <w:spacing w:after="0" w:line="196" w:lineRule="exact"/>
              <w:rPr>
                <w:sz w:val="20"/>
                <w:szCs w:val="20"/>
                <w:color w:val="auto"/>
              </w:rPr>
            </w:pPr>
            <w:r>
              <w:rPr>
                <w:rFonts w:ascii="Arial" w:cs="Arial" w:eastAsia="Arial" w:hAnsi="Arial"/>
                <w:sz w:val="18"/>
                <w:szCs w:val="18"/>
                <w:color w:val="auto"/>
              </w:rPr>
              <w:t>198</w:t>
            </w:r>
          </w:p>
        </w:tc>
        <w:tc>
          <w:tcPr>
            <w:tcW w:w="340" w:type="dxa"/>
            <w:vAlign w:val="bottom"/>
            <w:tcBorders>
              <w:bottom w:val="single" w:sz="8" w:color="CEF0FC"/>
            </w:tcBorders>
            <w:shd w:val="clear" w:color="auto" w:fill="CEF0FC"/>
          </w:tcPr>
          <w:p>
            <w:pPr>
              <w:spacing w:after="0"/>
              <w:rPr>
                <w:sz w:val="17"/>
                <w:szCs w:val="17"/>
                <w:color w:val="auto"/>
              </w:rPr>
            </w:pPr>
          </w:p>
        </w:tc>
        <w:tc>
          <w:tcPr>
            <w:tcW w:w="740" w:type="dxa"/>
            <w:vAlign w:val="bottom"/>
            <w:tcBorders>
              <w:bottom w:val="single" w:sz="8" w:color="auto"/>
            </w:tcBorders>
            <w:shd w:val="clear" w:color="auto" w:fill="CEF0FC"/>
          </w:tcPr>
          <w:p>
            <w:pPr>
              <w:spacing w:after="0"/>
              <w:rPr>
                <w:sz w:val="17"/>
                <w:szCs w:val="17"/>
                <w:color w:val="auto"/>
              </w:rPr>
            </w:pPr>
          </w:p>
        </w:tc>
        <w:tc>
          <w:tcPr>
            <w:tcW w:w="1300" w:type="dxa"/>
            <w:vAlign w:val="bottom"/>
            <w:tcBorders>
              <w:bottom w:val="single" w:sz="8" w:color="auto"/>
            </w:tcBorders>
            <w:shd w:val="clear" w:color="auto" w:fill="CE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EF0FC"/>
            </w:tcBorders>
            <w:shd w:val="clear" w:color="auto" w:fill="CEF0FC"/>
          </w:tcPr>
          <w:p>
            <w:pPr>
              <w:spacing w:after="0"/>
              <w:rPr>
                <w:sz w:val="17"/>
                <w:szCs w:val="17"/>
                <w:color w:val="auto"/>
              </w:rPr>
            </w:pPr>
          </w:p>
        </w:tc>
      </w:tr>
      <w:tr>
        <w:trPr>
          <w:trHeight w:val="196"/>
        </w:trPr>
        <w:tc>
          <w:tcPr>
            <w:tcW w:w="3620" w:type="dxa"/>
            <w:vAlign w:val="bottom"/>
          </w:tcPr>
          <w:p>
            <w:pPr>
              <w:ind w:left="20"/>
              <w:spacing w:after="0" w:line="182" w:lineRule="exact"/>
              <w:rPr>
                <w:sz w:val="20"/>
                <w:szCs w:val="20"/>
                <w:color w:val="auto"/>
              </w:rPr>
            </w:pPr>
            <w:r>
              <w:rPr>
                <w:rFonts w:ascii="Arial" w:cs="Arial" w:eastAsia="Arial" w:hAnsi="Arial"/>
                <w:sz w:val="18"/>
                <w:szCs w:val="18"/>
                <w:color w:val="auto"/>
              </w:rPr>
              <w:t>Provision for income tax</w:t>
            </w:r>
          </w:p>
        </w:tc>
        <w:tc>
          <w:tcPr>
            <w:tcW w:w="3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198</w:t>
            </w:r>
          </w:p>
        </w:tc>
        <w:tc>
          <w:tcPr>
            <w:tcW w:w="340" w:type="dxa"/>
            <w:vAlign w:val="bottom"/>
          </w:tcPr>
          <w:p>
            <w:pPr>
              <w:spacing w:after="0"/>
              <w:rPr>
                <w:sz w:val="17"/>
                <w:szCs w:val="17"/>
                <w:color w:val="auto"/>
              </w:rPr>
            </w:pPr>
          </w:p>
        </w:tc>
        <w:tc>
          <w:tcPr>
            <w:tcW w:w="740" w:type="dxa"/>
            <w:vAlign w:val="bottom"/>
            <w:tcBorders>
              <w:bottom w:val="single" w:sz="8" w:color="auto"/>
            </w:tcBorders>
          </w:tcPr>
          <w:p>
            <w:pPr>
              <w:jc w:val="right"/>
              <w:ind w:right="55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3620" w:type="dxa"/>
            <w:vAlign w:val="bottom"/>
          </w:tcPr>
          <w:p>
            <w:pPr>
              <w:spacing w:after="0"/>
              <w:rPr>
                <w:sz w:val="24"/>
                <w:szCs w:val="24"/>
                <w:color w:val="auto"/>
              </w:rPr>
            </w:pPr>
          </w:p>
        </w:tc>
        <w:tc>
          <w:tcPr>
            <w:tcW w:w="3600" w:type="dxa"/>
            <w:vAlign w:val="bottom"/>
            <w:gridSpan w:val="2"/>
          </w:tcPr>
          <w:p>
            <w:pPr>
              <w:jc w:val="right"/>
              <w:ind w:right="1330"/>
              <w:spacing w:after="0"/>
              <w:rPr>
                <w:sz w:val="20"/>
                <w:szCs w:val="20"/>
                <w:color w:val="auto"/>
              </w:rPr>
            </w:pPr>
            <w:r>
              <w:rPr>
                <w:rFonts w:ascii="Arial" w:cs="Arial" w:eastAsia="Arial" w:hAnsi="Arial"/>
                <w:sz w:val="18"/>
                <w:szCs w:val="18"/>
                <w:color w:val="auto"/>
              </w:rPr>
              <w:t>F-14</w:t>
            </w: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
        </w:trPr>
        <w:tc>
          <w:tcPr>
            <w:tcW w:w="3620" w:type="dxa"/>
            <w:vAlign w:val="bottom"/>
            <w:tcBorders>
              <w:bottom w:val="single" w:sz="8" w:color="9A9A9A"/>
            </w:tcBorders>
          </w:tcPr>
          <w:p>
            <w:pPr>
              <w:spacing w:after="0"/>
              <w:rPr>
                <w:sz w:val="6"/>
                <w:szCs w:val="6"/>
                <w:color w:val="auto"/>
              </w:rPr>
            </w:pPr>
          </w:p>
        </w:tc>
        <w:tc>
          <w:tcPr>
            <w:tcW w:w="31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-622300</wp:posOffset>
            </wp:positionV>
            <wp:extent cx="6858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-622300</wp:posOffset>
            </wp:positionV>
            <wp:extent cx="6858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The Company’s effective income tax expense differed from the U.S. corporate statutory income tax rate for the years ended December 31, 2021 and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is as follows: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5060" w:type="dxa"/>
            <w:vAlign w:val="bottom"/>
            <w:tcBorders>
              <w:left w:val="single" w:sz="8" w:color="CFF0FC"/>
            </w:tcBorders>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Tax on income (loss) before income taxes</w:t>
            </w:r>
          </w:p>
        </w:tc>
        <w:tc>
          <w:tcPr>
            <w:tcW w:w="580" w:type="dxa"/>
            <w:vAlign w:val="bottom"/>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179</w:t>
            </w:r>
          </w:p>
        </w:tc>
        <w:tc>
          <w:tcPr>
            <w:tcW w:w="2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540" w:type="dxa"/>
            <w:vAlign w:val="bottom"/>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w w:val="86"/>
              </w:rPr>
              <w:t>(1,431 )</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2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0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Effect of state taxes (net of federal tax benefit)</w:t>
            </w:r>
          </w:p>
        </w:tc>
        <w:tc>
          <w:tcPr>
            <w:tcW w:w="58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(303 )</w:t>
            </w:r>
          </w:p>
        </w:tc>
        <w:tc>
          <w:tcPr>
            <w:tcW w:w="280" w:type="dxa"/>
            <w:vAlign w:val="bottom"/>
          </w:tcPr>
          <w:p>
            <w:pPr>
              <w:spacing w:after="0"/>
              <w:rPr>
                <w:sz w:val="17"/>
                <w:szCs w:val="17"/>
                <w:color w:val="auto"/>
              </w:rPr>
            </w:pPr>
          </w:p>
        </w:tc>
        <w:tc>
          <w:tcPr>
            <w:tcW w:w="12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-36 %</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(552 )</w:t>
            </w:r>
          </w:p>
        </w:tc>
        <w:tc>
          <w:tcPr>
            <w:tcW w:w="1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8 %</w:t>
            </w:r>
          </w:p>
        </w:tc>
      </w:tr>
      <w:tr>
        <w:trPr>
          <w:trHeight w:val="203"/>
        </w:trPr>
        <w:tc>
          <w:tcPr>
            <w:tcW w:w="5060" w:type="dxa"/>
            <w:vAlign w:val="bottom"/>
            <w:tcBorders>
              <w:left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Excess tax benefit from share-based compensation</w:t>
            </w:r>
          </w:p>
        </w:tc>
        <w:tc>
          <w:tcPr>
            <w:tcW w:w="58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(2,801 )</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-328 %</w:t>
            </w: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w w:val="86"/>
              </w:rPr>
              <w:t>(1,227 )</w:t>
            </w:r>
          </w:p>
        </w:tc>
        <w:tc>
          <w:tcPr>
            <w:tcW w:w="144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18 %</w:t>
            </w:r>
          </w:p>
        </w:tc>
      </w:tr>
      <w:tr>
        <w:trPr>
          <w:trHeight w:val="203"/>
        </w:trPr>
        <w:tc>
          <w:tcPr>
            <w:tcW w:w="50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Nondeductible executive compensation</w:t>
            </w:r>
          </w:p>
        </w:tc>
        <w:tc>
          <w:tcPr>
            <w:tcW w:w="5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1,556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182 %</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656</w:t>
            </w:r>
          </w:p>
        </w:tc>
        <w:tc>
          <w:tcPr>
            <w:tcW w:w="200" w:type="dxa"/>
            <w:vAlign w:val="bottom"/>
          </w:tcPr>
          <w:p>
            <w:pPr>
              <w:spacing w:after="0"/>
              <w:rPr>
                <w:sz w:val="17"/>
                <w:szCs w:val="17"/>
                <w:color w:val="auto"/>
              </w:rPr>
            </w:pPr>
          </w:p>
        </w:tc>
        <w:tc>
          <w:tcPr>
            <w:tcW w:w="1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-10 %</w:t>
            </w:r>
          </w:p>
        </w:tc>
      </w:tr>
      <w:tr>
        <w:trPr>
          <w:trHeight w:val="203"/>
        </w:trPr>
        <w:tc>
          <w:tcPr>
            <w:tcW w:w="5060" w:type="dxa"/>
            <w:vAlign w:val="bottom"/>
            <w:tcBorders>
              <w:left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Forgiveness of the CARES Act loan</w:t>
            </w:r>
          </w:p>
        </w:tc>
        <w:tc>
          <w:tcPr>
            <w:tcW w:w="58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(456 )</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-53 %</w:t>
            </w: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0 %</w:t>
            </w:r>
          </w:p>
        </w:tc>
      </w:tr>
      <w:tr>
        <w:trPr>
          <w:trHeight w:val="203"/>
        </w:trPr>
        <w:tc>
          <w:tcPr>
            <w:tcW w:w="50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Other permanent differences</w:t>
            </w:r>
          </w:p>
        </w:tc>
        <w:tc>
          <w:tcPr>
            <w:tcW w:w="5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14 %</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200" w:type="dxa"/>
            <w:vAlign w:val="bottom"/>
          </w:tcPr>
          <w:p>
            <w:pPr>
              <w:spacing w:after="0"/>
              <w:rPr>
                <w:sz w:val="17"/>
                <w:szCs w:val="17"/>
                <w:color w:val="auto"/>
              </w:rPr>
            </w:pPr>
          </w:p>
        </w:tc>
        <w:tc>
          <w:tcPr>
            <w:tcW w:w="14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-1 %</w:t>
            </w:r>
          </w:p>
        </w:tc>
      </w:tr>
      <w:tr>
        <w:trPr>
          <w:trHeight w:val="203"/>
        </w:trPr>
        <w:tc>
          <w:tcPr>
            <w:tcW w:w="5060" w:type="dxa"/>
            <w:vAlign w:val="bottom"/>
            <w:tcBorders>
              <w:left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5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1,902</w:t>
            </w:r>
          </w:p>
        </w:tc>
        <w:tc>
          <w:tcPr>
            <w:tcW w:w="2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223 %</w:t>
            </w: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2,457</w:t>
            </w:r>
          </w:p>
        </w:tc>
        <w:tc>
          <w:tcPr>
            <w:tcW w:w="20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-36 %</w:t>
            </w:r>
          </w:p>
        </w:tc>
      </w:tr>
      <w:tr>
        <w:trPr>
          <w:trHeight w:val="20"/>
        </w:trPr>
        <w:tc>
          <w:tcPr>
            <w:tcW w:w="1440" w:type="dxa"/>
            <w:vAlign w:val="bottom"/>
            <w:tcBorders>
              <w:left w:val="single" w:sz="8" w:color="CFF0FC"/>
            </w:tcBorders>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3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0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Income tax expense</w:t>
            </w:r>
          </w:p>
        </w:tc>
        <w:tc>
          <w:tcPr>
            <w:tcW w:w="580" w:type="dxa"/>
            <w:vAlign w:val="bottom"/>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198</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23 %</w:t>
            </w:r>
          </w:p>
        </w:tc>
        <w:tc>
          <w:tcPr>
            <w:tcW w:w="54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4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0 %</w:t>
            </w:r>
          </w:p>
        </w:tc>
      </w:tr>
      <w:tr>
        <w:trPr>
          <w:trHeight w:val="20"/>
        </w:trPr>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5640" w:type="dxa"/>
            <w:vAlign w:val="bottom"/>
            <w:gridSpan w:val="4"/>
          </w:tcPr>
          <w:p>
            <w:pPr>
              <w:spacing w:after="0"/>
              <w:rPr>
                <w:sz w:val="20"/>
                <w:szCs w:val="20"/>
                <w:color w:val="auto"/>
              </w:rPr>
            </w:pPr>
            <w:r>
              <w:rPr>
                <w:rFonts w:ascii="Arial" w:cs="Arial" w:eastAsia="Arial" w:hAnsi="Arial"/>
                <w:sz w:val="18"/>
                <w:szCs w:val="18"/>
                <w:color w:val="auto"/>
                <w:w w:val="97"/>
              </w:rPr>
              <w:t>Components of deferred tax assets and liabilities consist of the following:</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5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 2021</w:t>
            </w:r>
          </w:p>
        </w:tc>
        <w:tc>
          <w:tcPr>
            <w:tcW w:w="21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5060" w:type="dxa"/>
            <w:vAlign w:val="bottom"/>
            <w:tcBorders>
              <w:left w:val="single" w:sz="8" w:color="CFF0FC"/>
            </w:tcBorders>
            <w:gridSpan w:val="3"/>
            <w:shd w:val="clear" w:color="auto" w:fill="CFF0FC"/>
          </w:tcPr>
          <w:p>
            <w:pPr>
              <w:ind w:left="20"/>
              <w:spacing w:after="0" w:line="169" w:lineRule="exact"/>
              <w:rPr>
                <w:sz w:val="20"/>
                <w:szCs w:val="20"/>
                <w:color w:val="auto"/>
              </w:rPr>
            </w:pPr>
            <w:r>
              <w:rPr>
                <w:rFonts w:ascii="Arial" w:cs="Arial" w:eastAsia="Arial" w:hAnsi="Arial"/>
                <w:sz w:val="18"/>
                <w:szCs w:val="18"/>
                <w:color w:val="auto"/>
              </w:rPr>
              <w:t>Deferred tax assets:</w:t>
            </w:r>
          </w:p>
        </w:tc>
        <w:tc>
          <w:tcPr>
            <w:tcW w:w="5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7"/>
        </w:trPr>
        <w:tc>
          <w:tcPr>
            <w:tcW w:w="1440" w:type="dxa"/>
            <w:vAlign w:val="bottom"/>
            <w:tcBorders>
              <w:left w:val="single" w:sz="8" w:color="CFF0FC"/>
            </w:tcBorders>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36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280" w:type="dxa"/>
            <w:vAlign w:val="bottom"/>
            <w:tcBorders>
              <w:righ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03"/>
        </w:trPr>
        <w:tc>
          <w:tcPr>
            <w:tcW w:w="50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Net operating loss carryforwards</w:t>
            </w:r>
          </w:p>
        </w:tc>
        <w:tc>
          <w:tcPr>
            <w:tcW w:w="580" w:type="dxa"/>
            <w:vAlign w:val="bottom"/>
          </w:tcPr>
          <w:p>
            <w:pPr>
              <w:spacing w:after="0"/>
              <w:rPr>
                <w:sz w:val="17"/>
                <w:szCs w:val="17"/>
                <w:color w:val="auto"/>
              </w:rPr>
            </w:pPr>
          </w:p>
        </w:tc>
        <w:tc>
          <w:tcPr>
            <w:tcW w:w="136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0"/>
              </w:rPr>
              <w:t>10,860</w:t>
            </w:r>
          </w:p>
        </w:tc>
        <w:tc>
          <w:tcPr>
            <w:tcW w:w="320" w:type="dxa"/>
            <w:vAlign w:val="bottom"/>
          </w:tcPr>
          <w:p>
            <w:pPr>
              <w:spacing w:after="0"/>
              <w:rPr>
                <w:sz w:val="17"/>
                <w:szCs w:val="17"/>
                <w:color w:val="auto"/>
              </w:rPr>
            </w:pPr>
          </w:p>
        </w:tc>
        <w:tc>
          <w:tcPr>
            <w:tcW w:w="500" w:type="dxa"/>
            <w:vAlign w:val="bottom"/>
          </w:tcPr>
          <w:p>
            <w:pPr>
              <w:jc w:val="right"/>
              <w:ind w:right="313"/>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8,994</w:t>
            </w:r>
          </w:p>
        </w:tc>
        <w:tc>
          <w:tcPr>
            <w:tcW w:w="100" w:type="dxa"/>
            <w:vAlign w:val="bottom"/>
          </w:tcPr>
          <w:p>
            <w:pPr>
              <w:spacing w:after="0"/>
              <w:rPr>
                <w:sz w:val="17"/>
                <w:szCs w:val="17"/>
                <w:color w:val="auto"/>
              </w:rPr>
            </w:pPr>
          </w:p>
        </w:tc>
      </w:tr>
      <w:tr>
        <w:trPr>
          <w:trHeight w:val="203"/>
        </w:trPr>
        <w:tc>
          <w:tcPr>
            <w:tcW w:w="5060" w:type="dxa"/>
            <w:vAlign w:val="bottom"/>
            <w:tcBorders>
              <w:left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5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1,913</w:t>
            </w:r>
          </w:p>
        </w:tc>
        <w:tc>
          <w:tcPr>
            <w:tcW w:w="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1,872</w:t>
            </w:r>
          </w:p>
        </w:tc>
        <w:tc>
          <w:tcPr>
            <w:tcW w:w="100" w:type="dxa"/>
            <w:vAlign w:val="bottom"/>
            <w:shd w:val="clear" w:color="auto" w:fill="CFF0FC"/>
          </w:tcPr>
          <w:p>
            <w:pPr>
              <w:spacing w:after="0"/>
              <w:rPr>
                <w:sz w:val="17"/>
                <w:szCs w:val="17"/>
                <w:color w:val="auto"/>
              </w:rPr>
            </w:pPr>
          </w:p>
        </w:tc>
      </w:tr>
      <w:tr>
        <w:trPr>
          <w:trHeight w:val="203"/>
        </w:trPr>
        <w:tc>
          <w:tcPr>
            <w:tcW w:w="50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r>
      <w:tr>
        <w:trPr>
          <w:trHeight w:val="203"/>
        </w:trPr>
        <w:tc>
          <w:tcPr>
            <w:tcW w:w="5060" w:type="dxa"/>
            <w:vAlign w:val="bottom"/>
            <w:tcBorders>
              <w:left w:val="single" w:sz="8" w:color="CFF0FC"/>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5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340</w:t>
            </w:r>
          </w:p>
        </w:tc>
        <w:tc>
          <w:tcPr>
            <w:tcW w:w="3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w w:val="90"/>
              </w:rPr>
              <w:t>13,120</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11,206</w:t>
            </w:r>
          </w:p>
        </w:tc>
        <w:tc>
          <w:tcPr>
            <w:tcW w:w="100" w:type="dxa"/>
            <w:vAlign w:val="bottom"/>
          </w:tcPr>
          <w:p>
            <w:pPr>
              <w:spacing w:after="0"/>
              <w:rPr>
                <w:sz w:val="17"/>
                <w:szCs w:val="17"/>
                <w:color w:val="auto"/>
              </w:rPr>
            </w:pPr>
          </w:p>
        </w:tc>
      </w:tr>
      <w:tr>
        <w:trPr>
          <w:trHeight w:val="203"/>
        </w:trPr>
        <w:tc>
          <w:tcPr>
            <w:tcW w:w="5060" w:type="dxa"/>
            <w:vAlign w:val="bottom"/>
            <w:tcBorders>
              <w:left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5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w w:val="96"/>
              </w:rPr>
              <w:t>(9,485 )</w:t>
            </w: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(7,583 )</w:t>
            </w:r>
          </w:p>
        </w:tc>
      </w:tr>
      <w:tr>
        <w:trPr>
          <w:trHeight w:val="196"/>
        </w:trPr>
        <w:tc>
          <w:tcPr>
            <w:tcW w:w="144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360" w:type="dxa"/>
            <w:vAlign w:val="bottom"/>
            <w:tcBorders>
              <w:top w:val="single" w:sz="8" w:color="CFF0FC"/>
            </w:tcBorders>
          </w:tcPr>
          <w:p>
            <w:pPr>
              <w:spacing w:after="0"/>
              <w:rPr>
                <w:sz w:val="17"/>
                <w:szCs w:val="17"/>
                <w:color w:val="auto"/>
              </w:rPr>
            </w:pPr>
          </w:p>
        </w:tc>
        <w:tc>
          <w:tcPr>
            <w:tcW w:w="58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3,635</w:t>
            </w:r>
          </w:p>
        </w:tc>
        <w:tc>
          <w:tcPr>
            <w:tcW w:w="32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3,623</w:t>
            </w:r>
          </w:p>
        </w:tc>
        <w:tc>
          <w:tcPr>
            <w:tcW w:w="100" w:type="dxa"/>
            <w:vAlign w:val="bottom"/>
            <w:tcBorders>
              <w:top w:val="single" w:sz="8" w:color="CFF0FC"/>
            </w:tcBorders>
          </w:tcPr>
          <w:p>
            <w:pPr>
              <w:spacing w:after="0"/>
              <w:rPr>
                <w:sz w:val="17"/>
                <w:szCs w:val="17"/>
                <w:color w:val="auto"/>
              </w:rPr>
            </w:pPr>
          </w:p>
        </w:tc>
      </w:tr>
      <w:tr>
        <w:trPr>
          <w:trHeight w:val="183"/>
        </w:trPr>
        <w:tc>
          <w:tcPr>
            <w:tcW w:w="1700" w:type="dxa"/>
            <w:vAlign w:val="bottom"/>
            <w:tcBorders>
              <w:left w:val="single" w:sz="8" w:color="CFF0FC"/>
              <w:bottom w:val="single" w:sz="8" w:color="auto"/>
            </w:tcBorders>
            <w:gridSpan w:val="2"/>
            <w:shd w:val="clear" w:color="auto" w:fill="CFF0FC"/>
          </w:tcPr>
          <w:p>
            <w:pPr>
              <w:ind w:left="20"/>
              <w:spacing w:after="0" w:line="176" w:lineRule="exact"/>
              <w:rPr>
                <w:sz w:val="20"/>
                <w:szCs w:val="20"/>
                <w:color w:val="auto"/>
              </w:rPr>
            </w:pPr>
            <w:r>
              <w:rPr>
                <w:rFonts w:ascii="Arial" w:cs="Arial" w:eastAsia="Arial" w:hAnsi="Arial"/>
                <w:sz w:val="18"/>
                <w:szCs w:val="18"/>
                <w:color w:val="auto"/>
                <w:w w:val="93"/>
              </w:rPr>
              <w:t>Deferred tax liabilities:</w:t>
            </w:r>
          </w:p>
        </w:tc>
        <w:tc>
          <w:tcPr>
            <w:tcW w:w="33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right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203"/>
        </w:trPr>
        <w:tc>
          <w:tcPr>
            <w:tcW w:w="50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3,771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3,491</w:t>
            </w:r>
          </w:p>
        </w:tc>
        <w:tc>
          <w:tcPr>
            <w:tcW w:w="100" w:type="dxa"/>
            <w:vAlign w:val="bottom"/>
          </w:tcPr>
          <w:p>
            <w:pPr>
              <w:spacing w:after="0"/>
              <w:rPr>
                <w:sz w:val="17"/>
                <w:szCs w:val="17"/>
                <w:color w:val="auto"/>
              </w:rPr>
            </w:pPr>
          </w:p>
        </w:tc>
      </w:tr>
      <w:tr>
        <w:trPr>
          <w:trHeight w:val="203"/>
        </w:trPr>
        <w:tc>
          <w:tcPr>
            <w:tcW w:w="5060" w:type="dxa"/>
            <w:vAlign w:val="bottom"/>
            <w:tcBorders>
              <w:left w:val="single" w:sz="8" w:color="CFF0FC"/>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5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3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3,833</w:t>
            </w: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3,623</w:t>
            </w:r>
          </w:p>
        </w:tc>
        <w:tc>
          <w:tcPr>
            <w:tcW w:w="100" w:type="dxa"/>
            <w:vAlign w:val="bottom"/>
          </w:tcPr>
          <w:p>
            <w:pPr>
              <w:spacing w:after="0"/>
              <w:rPr>
                <w:sz w:val="17"/>
                <w:szCs w:val="17"/>
                <w:color w:val="auto"/>
              </w:rPr>
            </w:pPr>
          </w:p>
        </w:tc>
      </w:tr>
      <w:tr>
        <w:trPr>
          <w:trHeight w:val="236"/>
        </w:trPr>
        <w:tc>
          <w:tcPr>
            <w:tcW w:w="5060" w:type="dxa"/>
            <w:vAlign w:val="bottom"/>
            <w:tcBorders>
              <w:left w:val="single" w:sz="8" w:color="CFF0FC"/>
              <w:bottom w:val="single" w:sz="8" w:color="CFF0FC"/>
            </w:tcBorders>
            <w:gridSpan w:val="3"/>
            <w:shd w:val="clear" w:color="auto" w:fill="CFF0FC"/>
          </w:tcPr>
          <w:p>
            <w:pPr>
              <w:ind w:left="20"/>
              <w:spacing w:after="0" w:line="182" w:lineRule="exact"/>
              <w:rPr>
                <w:sz w:val="20"/>
                <w:szCs w:val="20"/>
                <w:color w:val="auto"/>
              </w:rPr>
            </w:pPr>
            <w:r>
              <w:rPr>
                <w:rFonts w:ascii="Arial" w:cs="Arial" w:eastAsia="Arial" w:hAnsi="Arial"/>
                <w:sz w:val="18"/>
                <w:szCs w:val="18"/>
                <w:color w:val="auto"/>
              </w:rPr>
              <w:t>Net deferred income tax liabilities</w:t>
            </w:r>
          </w:p>
        </w:tc>
        <w:tc>
          <w:tcPr>
            <w:tcW w:w="5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right w:val="single" w:sz="8" w:color="CFF0FC"/>
            </w:tcBorders>
            <w:gridSpan w:val="2"/>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198</w:t>
            </w:r>
          </w:p>
        </w:tc>
        <w:tc>
          <w:tcPr>
            <w:tcW w:w="3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3"/>
              <w:spacing w:after="0" w:line="182"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-2396490</wp:posOffset>
            </wp:positionV>
            <wp:extent cx="6032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-2396490</wp:posOffset>
            </wp:positionV>
            <wp:extent cx="13716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-2396490</wp:posOffset>
            </wp:positionV>
            <wp:extent cx="5143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-2396490</wp:posOffset>
            </wp:positionV>
            <wp:extent cx="13716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-1085215</wp:posOffset>
            </wp:positionV>
            <wp:extent cx="685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-1085215</wp:posOffset>
            </wp:positionV>
            <wp:extent cx="685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-819150</wp:posOffset>
            </wp:positionV>
            <wp:extent cx="685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-819150</wp:posOffset>
            </wp:positionV>
            <wp:extent cx="685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-296545</wp:posOffset>
            </wp:positionV>
            <wp:extent cx="685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As of December 31, 2021, the Company had gross federal and state net operating loss carryforwards of $43,501 and $33,665, respectively, which begin to expire in 2036, except that $37,471 of federal net operating loss carryforwards incurred from 2018 to 2021 could be carried forward indefinitely. The Company’s federal net operating losses are not subject to annual Section 382 limitations due to ownership changes that could impact the future realization. The Company uses ASC 740 ordering when determining when excess tax benefits have been realized.</w:t>
      </w:r>
    </w:p>
    <w:p>
      <w:pPr>
        <w:spacing w:after="0" w:line="13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ASC 740 requires a valuation allowance to reduce the deferred tax assets reported if, based on the weight of the evidence, it is more likely than not that some or all of the deferred tax assets will not be realized. On a periodic basis, management evaluates and determines the amount of valuation allowance required and adjusts such valuation allowance accordingly. Primarily due to cumulative pre-tax losses, management determined a valuation allowance of $9,485 and $7,583 was necessary as of December 31, 2021 and 2020, respectively, to reduce the deferred tax assets to the amount that is more likely than not to be realized. The change in the valuation allowance was an increase of $1,902 and $2,457 for the years ended December 31, 2021 and 2020, respectively. The increase in the valuation allowance in the years ended December 31, 2021 and 2020 is primarily due to the increase in net operating loss carryforwards.</w:t>
      </w:r>
    </w:p>
    <w:p>
      <w:pPr>
        <w:spacing w:after="0" w:line="150"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6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2018 remain open for tax examinations.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unrecognized tax benefits as of December 31, 2021 and 2020.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9. Common stock and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and treasury stock</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As of December 31, 2021 and 2020, the number of authorized shares of common stock was 200,000,000, with a par value of $0.001 per share, of which, 13,488,540 and 12,167,327 shares of common stock were issued,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there was no treasury stock.</w:t>
      </w:r>
    </w:p>
    <w:p>
      <w:pPr>
        <w:spacing w:after="0" w:line="18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During the year ended December 31, 2020, the changes in the number of issued shares of common stock and treasury stock was due to the following factors:</w:t>
      </w:r>
    </w:p>
    <w:p>
      <w:pPr>
        <w:spacing w:after="0" w:line="130" w:lineRule="exact"/>
        <w:rPr>
          <w:sz w:val="20"/>
          <w:szCs w:val="20"/>
          <w:color w:val="auto"/>
        </w:rPr>
      </w:pPr>
    </w:p>
    <w:p>
      <w:pPr>
        <w:ind w:left="380" w:right="80" w:hanging="372"/>
        <w:spacing w:after="0" w:line="261"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aggregate of 734,170 shares of common stock issued as a result of the vesting of RSUs, of which, 121,608 shares of common stock were withheld to pay withholding taxes upon such vesting, which were reflected in treasury stock, with a cost of $1,828.</w:t>
      </w:r>
    </w:p>
    <w:p>
      <w:pPr>
        <w:spacing w:after="0" w:line="13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November 2020, 224,755 shares of treasury stock were retired.</w:t>
      </w:r>
    </w:p>
    <w:p>
      <w:pPr>
        <w:spacing w:after="0" w:line="18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During the year ended December 31, 2021, the changes in the number of issued shares of common stock and treasury stock was due to the following factors:</w:t>
      </w:r>
    </w:p>
    <w:p>
      <w:pPr>
        <w:spacing w:after="0" w:line="130" w:lineRule="exact"/>
        <w:rPr>
          <w:sz w:val="20"/>
          <w:szCs w:val="20"/>
          <w:color w:val="auto"/>
        </w:rPr>
      </w:pPr>
    </w:p>
    <w:p>
      <w:pPr>
        <w:ind w:left="380" w:hanging="372"/>
        <w:spacing w:after="0" w:line="291"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aggregate of 911,698 shares of common stock issued as a result of the vesting of RSUs, of which, an aggregate of 143,400 shares of common stock were withheld to pay withholding taxes upon such vesting, which were reflected in treasury stock, with a cost of $3,327.</w:t>
      </w:r>
    </w:p>
    <w:p>
      <w:pPr>
        <w:spacing w:after="0" w:line="106" w:lineRule="exact"/>
        <w:rPr>
          <w:rFonts w:ascii="Arial" w:cs="Arial" w:eastAsia="Arial" w:hAnsi="Arial"/>
          <w:sz w:val="17"/>
          <w:szCs w:val="17"/>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September and December 2021, an aggregate of 143,400 shares of treasury stock were retired.</w:t>
      </w:r>
    </w:p>
    <w:p>
      <w:pPr>
        <w:spacing w:after="0" w:line="184" w:lineRule="exact"/>
        <w:rPr>
          <w:rFonts w:ascii="Arial" w:cs="Arial" w:eastAsia="Arial" w:hAnsi="Arial"/>
          <w:sz w:val="18"/>
          <w:szCs w:val="18"/>
          <w:color w:val="auto"/>
        </w:rPr>
      </w:pPr>
    </w:p>
    <w:p>
      <w:pPr>
        <w:ind w:left="380" w:right="280" w:hanging="372"/>
        <w:spacing w:after="0" w:line="248"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aggregate of 552,915 shares of common stock, with an issuance price of $38.00 per share, were issued in a registered direct offering to certain investors, pursuant to the securities purchase agreements entered into on November 19, 2021. Net proceeds of $20,924 were received in November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7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As of December 31, 2021 and 2020, the Company had 10,000,000 shares of preferred stock with par value of $0.001 per share authorized, and there were no shares of preferred stock issued or outstanding.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w:t>
      </w:r>
    </w:p>
    <w:p>
      <w:pPr>
        <w:spacing w:after="0" w:line="133" w:lineRule="exact"/>
        <w:rPr>
          <w:sz w:val="20"/>
          <w:szCs w:val="20"/>
          <w:color w:val="auto"/>
        </w:rPr>
      </w:pPr>
    </w:p>
    <w:p>
      <w:pPr>
        <w:jc w:val="both"/>
        <w:ind w:right="400"/>
        <w:spacing w:after="0" w:line="270" w:lineRule="auto"/>
        <w:rPr>
          <w:sz w:val="20"/>
          <w:szCs w:val="20"/>
          <w:color w:val="auto"/>
        </w:rPr>
      </w:pPr>
      <w:r>
        <w:rPr>
          <w:rFonts w:ascii="Arial" w:cs="Arial" w:eastAsia="Arial" w:hAnsi="Arial"/>
          <w:sz w:val="17"/>
          <w:szCs w:val="17"/>
          <w:color w:val="auto"/>
        </w:rPr>
        <w:t>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there were 805,462 shares of common stock available for future issuance under the 2018 Plan, as amended.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7" w:name="page58"/>
    <w:bookmarkEnd w:id="57"/>
    <w:p>
      <w:pPr>
        <w:ind w:right="480"/>
        <w:spacing w:after="0" w:line="243" w:lineRule="auto"/>
        <w:rPr>
          <w:sz w:val="20"/>
          <w:szCs w:val="20"/>
          <w:color w:val="auto"/>
        </w:rPr>
      </w:pPr>
      <w:r>
        <w:rPr>
          <w:rFonts w:ascii="Arial" w:cs="Arial" w:eastAsia="Arial" w:hAnsi="Arial"/>
          <w:sz w:val="18"/>
          <w:szCs w:val="18"/>
          <w:color w:val="auto"/>
        </w:rPr>
        <w:t>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RSUs activity during the years ended December 31, 2020 and 2021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 units</w:t>
            </w:r>
          </w:p>
        </w:tc>
        <w:tc>
          <w:tcPr>
            <w:tcW w:w="180" w:type="dxa"/>
            <w:vAlign w:val="bottom"/>
          </w:tcPr>
          <w:p>
            <w:pPr>
              <w:spacing w:after="0"/>
              <w:rPr>
                <w:sz w:val="14"/>
                <w:szCs w:val="14"/>
                <w:color w:val="auto"/>
              </w:rPr>
            </w:pPr>
          </w:p>
        </w:tc>
        <w:tc>
          <w:tcPr>
            <w:tcW w:w="1600" w:type="dxa"/>
            <w:vAlign w:val="bottom"/>
          </w:tcPr>
          <w:p>
            <w:pPr>
              <w:jc w:val="right"/>
              <w:ind w:right="252"/>
              <w:spacing w:after="0"/>
              <w:rPr>
                <w:sz w:val="20"/>
                <w:szCs w:val="20"/>
                <w:color w:val="auto"/>
              </w:rPr>
            </w:pPr>
            <w:r>
              <w:rPr>
                <w:rFonts w:ascii="Arial" w:cs="Arial" w:eastAsia="Arial" w:hAnsi="Arial"/>
                <w:sz w:val="14"/>
                <w:szCs w:val="14"/>
                <w:b w:val="1"/>
                <w:bCs w:val="1"/>
                <w:color w:val="auto"/>
              </w:rPr>
              <w:t>Weighted 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36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grant-date 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as of December 31, 2019</w:t>
            </w:r>
          </w:p>
        </w:tc>
        <w:tc>
          <w:tcPr>
            <w:tcW w:w="1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2,237,827</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283,459</w:t>
            </w:r>
          </w:p>
        </w:tc>
        <w:tc>
          <w:tcPr>
            <w:tcW w:w="2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22.30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and delivered</w:t>
            </w:r>
          </w:p>
        </w:tc>
        <w:tc>
          <w:tcPr>
            <w:tcW w:w="20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(612,561 )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Withheld as treasury stock</w:t>
            </w:r>
          </w:p>
        </w:tc>
        <w:tc>
          <w:tcPr>
            <w:tcW w:w="2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(121,608 )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7.72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not delivered</w:t>
            </w:r>
          </w:p>
        </w:tc>
        <w:tc>
          <w:tcPr>
            <w:tcW w:w="20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(8,417 )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2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(14,250 )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15.45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as of December 31, 2020</w:t>
            </w:r>
          </w:p>
        </w:tc>
        <w:tc>
          <w:tcPr>
            <w:tcW w:w="1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1,764,450</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506,850</w:t>
            </w:r>
          </w:p>
        </w:tc>
        <w:tc>
          <w:tcPr>
            <w:tcW w:w="2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and delivered</w:t>
            </w:r>
          </w:p>
        </w:tc>
        <w:tc>
          <w:tcPr>
            <w:tcW w:w="20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(768,298 )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Withheld as treasury stock</w:t>
            </w:r>
          </w:p>
        </w:tc>
        <w:tc>
          <w:tcPr>
            <w:tcW w:w="2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(143,400 )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9.33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 not delivered</w:t>
            </w:r>
          </w:p>
        </w:tc>
        <w:tc>
          <w:tcPr>
            <w:tcW w:w="20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(10,750 )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2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(41,899 )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18.97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Unvested as of December 31, 2021</w:t>
            </w:r>
          </w:p>
        </w:tc>
        <w:tc>
          <w:tcPr>
            <w:tcW w:w="1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1,306,953</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18.85</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-25400</wp:posOffset>
            </wp:positionV>
            <wp:extent cx="514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The amount included in "Vested not delivered" above represents RSUs that have been vested but the delivery of the common stock underlying such RSUs were deferred. The increase in treasury stock (included in “Withheld as treasury stock” above) was due to shares withheld to pay statutory taxes upon the vesting of RSUs during the years ended December 31, 2020 and 2021. Refer to Note 9 for details.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There were certain grants of RSUs with both time- and performance-based conditions. Details of such grants of RSUs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07"/>
              <w:spacing w:after="0"/>
              <w:rPr>
                <w:sz w:val="20"/>
                <w:szCs w:val="20"/>
                <w:color w:val="auto"/>
              </w:rPr>
            </w:pPr>
            <w:r>
              <w:rPr>
                <w:rFonts w:ascii="Arial" w:cs="Arial" w:eastAsia="Arial" w:hAnsi="Arial"/>
                <w:sz w:val="13"/>
                <w:szCs w:val="13"/>
                <w:b w:val="1"/>
                <w:bCs w:val="1"/>
                <w:color w:val="auto"/>
                <w:w w:val="88"/>
              </w:rPr>
              <w:t>Weighted average</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3"/>
                <w:szCs w:val="13"/>
                <w:b w:val="1"/>
                <w:bCs w:val="1"/>
                <w:color w:val="auto"/>
                <w:w w:val="87"/>
              </w:rPr>
              <w:t>Amortization of share-based compensation</w:t>
            </w:r>
          </w:p>
        </w:tc>
        <w:tc>
          <w:tcPr>
            <w:tcW w:w="60" w:type="dxa"/>
            <w:vAlign w:val="bottom"/>
          </w:tcPr>
          <w:p>
            <w:pPr>
              <w:spacing w:after="0"/>
              <w:rPr>
                <w:sz w:val="14"/>
                <w:szCs w:val="14"/>
                <w:color w:val="auto"/>
              </w:rPr>
            </w:pPr>
          </w:p>
        </w:tc>
      </w:tr>
      <w:tr>
        <w:trPr>
          <w:trHeight w:val="142"/>
        </w:trPr>
        <w:tc>
          <w:tcPr>
            <w:tcW w:w="15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RSU grants with</w:t>
            </w:r>
          </w:p>
        </w:tc>
        <w:tc>
          <w:tcPr>
            <w:tcW w:w="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348"/>
              <w:spacing w:after="0" w:line="142" w:lineRule="exact"/>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7"/>
              <w:spacing w:after="0" w:line="142" w:lineRule="exact"/>
              <w:rPr>
                <w:sz w:val="20"/>
                <w:szCs w:val="20"/>
                <w:color w:val="auto"/>
              </w:rPr>
            </w:pPr>
            <w:r>
              <w:rPr>
                <w:rFonts w:ascii="Arial" w:cs="Arial" w:eastAsia="Arial" w:hAnsi="Arial"/>
                <w:sz w:val="13"/>
                <w:szCs w:val="13"/>
                <w:b w:val="1"/>
                <w:bCs w:val="1"/>
                <w:color w:val="auto"/>
                <w:w w:val="91"/>
              </w:rPr>
              <w:t>grant-date</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4"/>
          </w:tcPr>
          <w:p>
            <w:pPr>
              <w:jc w:val="right"/>
              <w:ind w:right="582"/>
              <w:spacing w:after="0" w:line="142" w:lineRule="exact"/>
              <w:rPr>
                <w:sz w:val="20"/>
                <w:szCs w:val="20"/>
                <w:color w:val="auto"/>
              </w:rPr>
            </w:pPr>
            <w:r>
              <w:rPr>
                <w:rFonts w:ascii="Arial" w:cs="Arial" w:eastAsia="Arial" w:hAnsi="Arial"/>
                <w:sz w:val="13"/>
                <w:szCs w:val="13"/>
                <w:b w:val="1"/>
                <w:bCs w:val="1"/>
                <w:color w:val="auto"/>
              </w:rPr>
              <w:t>Year Ended December 31,</w:t>
            </w:r>
          </w:p>
        </w:tc>
        <w:tc>
          <w:tcPr>
            <w:tcW w:w="60" w:type="dxa"/>
            <w:vAlign w:val="bottom"/>
          </w:tcPr>
          <w:p>
            <w:pPr>
              <w:spacing w:after="0"/>
              <w:rPr>
                <w:sz w:val="12"/>
                <w:szCs w:val="12"/>
                <w:color w:val="auto"/>
              </w:rPr>
            </w:pPr>
          </w:p>
        </w:tc>
      </w:tr>
      <w:tr>
        <w:trPr>
          <w:trHeight w:val="142"/>
        </w:trPr>
        <w:tc>
          <w:tcPr>
            <w:tcW w:w="15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performance criteria</w:t>
            </w:r>
          </w:p>
        </w:tc>
        <w:tc>
          <w:tcPr>
            <w:tcW w:w="140" w:type="dxa"/>
            <w:vAlign w:val="bottom"/>
          </w:tcPr>
          <w:p>
            <w:pPr>
              <w:spacing w:after="0"/>
              <w:rPr>
                <w:sz w:val="12"/>
                <w:szCs w:val="12"/>
                <w:color w:val="auto"/>
              </w:rPr>
            </w:pPr>
          </w:p>
        </w:tc>
        <w:tc>
          <w:tcPr>
            <w:tcW w:w="2040" w:type="dxa"/>
            <w:vAlign w:val="bottom"/>
          </w:tcPr>
          <w:p>
            <w:pPr>
              <w:jc w:val="right"/>
              <w:ind w:right="628"/>
              <w:spacing w:after="0" w:line="142" w:lineRule="exact"/>
              <w:rPr>
                <w:sz w:val="20"/>
                <w:szCs w:val="20"/>
                <w:color w:val="auto"/>
              </w:rPr>
            </w:pPr>
            <w:r>
              <w:rPr>
                <w:rFonts w:ascii="Arial" w:cs="Arial" w:eastAsia="Arial" w:hAnsi="Arial"/>
                <w:sz w:val="13"/>
                <w:szCs w:val="13"/>
                <w:b w:val="1"/>
                <w:bCs w:val="1"/>
                <w:color w:val="auto"/>
              </w:rPr>
              <w:t>Grant dates</w:t>
            </w:r>
          </w:p>
        </w:tc>
        <w:tc>
          <w:tcPr>
            <w:tcW w:w="140" w:type="dxa"/>
            <w:vAlign w:val="bottom"/>
          </w:tcPr>
          <w:p>
            <w:pPr>
              <w:spacing w:after="0"/>
              <w:rPr>
                <w:sz w:val="12"/>
                <w:szCs w:val="12"/>
                <w:color w:val="auto"/>
              </w:rPr>
            </w:pPr>
          </w:p>
        </w:tc>
        <w:tc>
          <w:tcPr>
            <w:tcW w:w="1300" w:type="dxa"/>
            <w:vAlign w:val="bottom"/>
          </w:tcPr>
          <w:p>
            <w:pPr>
              <w:jc w:val="right"/>
              <w:ind w:right="368"/>
              <w:spacing w:after="0" w:line="142" w:lineRule="exact"/>
              <w:rPr>
                <w:sz w:val="20"/>
                <w:szCs w:val="20"/>
                <w:color w:val="auto"/>
              </w:rPr>
            </w:pPr>
            <w:r>
              <w:rPr>
                <w:rFonts w:ascii="Arial" w:cs="Arial" w:eastAsia="Arial" w:hAnsi="Arial"/>
                <w:sz w:val="13"/>
                <w:szCs w:val="13"/>
                <w:b w:val="1"/>
                <w:bCs w:val="1"/>
                <w:color w:val="auto"/>
              </w:rPr>
              <w:t>of 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7"/>
              <w:spacing w:after="0" w:line="142" w:lineRule="exact"/>
              <w:rPr>
                <w:sz w:val="20"/>
                <w:szCs w:val="20"/>
                <w:color w:val="auto"/>
              </w:rPr>
            </w:pPr>
            <w:r>
              <w:rPr>
                <w:rFonts w:ascii="Arial" w:cs="Arial" w:eastAsia="Arial" w:hAnsi="Arial"/>
                <w:sz w:val="13"/>
                <w:szCs w:val="13"/>
                <w:b w:val="1"/>
                <w:bCs w:val="1"/>
                <w:color w:val="auto"/>
                <w:w w:val="87"/>
              </w:rPr>
              <w:t>fair value</w:t>
            </w:r>
          </w:p>
        </w:tc>
        <w:tc>
          <w:tcPr>
            <w:tcW w:w="200" w:type="dxa"/>
            <w:vAlign w:val="bottom"/>
          </w:tcPr>
          <w:p>
            <w:pPr>
              <w:spacing w:after="0"/>
              <w:rPr>
                <w:sz w:val="12"/>
                <w:szCs w:val="12"/>
                <w:color w:val="auto"/>
              </w:rPr>
            </w:pPr>
          </w:p>
        </w:tc>
        <w:tc>
          <w:tcPr>
            <w:tcW w:w="1440" w:type="dxa"/>
            <w:vAlign w:val="bottom"/>
            <w:gridSpan w:val="2"/>
          </w:tcPr>
          <w:p>
            <w:pPr>
              <w:ind w:left="260"/>
              <w:spacing w:after="0" w:line="142" w:lineRule="exact"/>
              <w:rPr>
                <w:sz w:val="20"/>
                <w:szCs w:val="20"/>
                <w:color w:val="auto"/>
              </w:rPr>
            </w:pPr>
            <w:r>
              <w:rPr>
                <w:rFonts w:ascii="Arial" w:cs="Arial" w:eastAsia="Arial" w:hAnsi="Arial"/>
                <w:sz w:val="13"/>
                <w:szCs w:val="13"/>
                <w:b w:val="1"/>
                <w:bCs w:val="1"/>
                <w:color w:val="auto"/>
              </w:rPr>
              <w:t>Vesting period</w:t>
            </w:r>
          </w:p>
        </w:tc>
        <w:tc>
          <w:tcPr>
            <w:tcW w:w="160" w:type="dxa"/>
            <w:vAlign w:val="bottom"/>
          </w:tcPr>
          <w:p>
            <w:pPr>
              <w:spacing w:after="0"/>
              <w:rPr>
                <w:sz w:val="12"/>
                <w:szCs w:val="12"/>
                <w:color w:val="auto"/>
              </w:rPr>
            </w:pPr>
          </w:p>
        </w:tc>
        <w:tc>
          <w:tcPr>
            <w:tcW w:w="1100" w:type="dxa"/>
            <w:vAlign w:val="bottom"/>
          </w:tcPr>
          <w:p>
            <w:pPr>
              <w:jc w:val="right"/>
              <w:ind w:right="426"/>
              <w:spacing w:after="0" w:line="142" w:lineRule="exact"/>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22"/>
              <w:spacing w:after="0" w:line="142" w:lineRule="exact"/>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2"/>
                <w:szCs w:val="12"/>
                <w:color w:val="auto"/>
              </w:rPr>
            </w:pPr>
          </w:p>
        </w:tc>
      </w:tr>
      <w:tr>
        <w:trPr>
          <w:trHeight w:val="183"/>
        </w:trPr>
        <w:tc>
          <w:tcPr>
            <w:tcW w:w="1500" w:type="dxa"/>
            <w:vAlign w:val="bottom"/>
            <w:tcBorders>
              <w:top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Criteria One</w:t>
            </w:r>
            <w:r>
              <w:rPr>
                <w:rFonts w:ascii="Arial" w:cs="Arial" w:eastAsia="Arial" w:hAnsi="Arial"/>
                <w:sz w:val="21"/>
                <w:szCs w:val="21"/>
                <w:color w:val="auto"/>
                <w:vertAlign w:val="superscript"/>
              </w:rPr>
              <w:t>(1)</w:t>
            </w:r>
          </w:p>
        </w:tc>
        <w:tc>
          <w:tcPr>
            <w:tcW w:w="140" w:type="dxa"/>
            <w:vAlign w:val="bottom"/>
            <w:shd w:val="clear" w:color="auto" w:fill="CFF0FC"/>
          </w:tcPr>
          <w:p>
            <w:pPr>
              <w:spacing w:after="0"/>
              <w:rPr>
                <w:sz w:val="15"/>
                <w:szCs w:val="15"/>
                <w:color w:val="auto"/>
              </w:rPr>
            </w:pPr>
          </w:p>
        </w:tc>
        <w:tc>
          <w:tcPr>
            <w:tcW w:w="2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9/5/2018 - 1/16/2019</w:t>
            </w:r>
          </w:p>
        </w:tc>
        <w:tc>
          <w:tcPr>
            <w:tcW w:w="140" w:type="dxa"/>
            <w:vAlign w:val="bottom"/>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1,577,500</w:t>
            </w:r>
          </w:p>
        </w:tc>
        <w:tc>
          <w:tcPr>
            <w:tcW w:w="2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7.66</w:t>
            </w:r>
          </w:p>
        </w:tc>
        <w:tc>
          <w:tcPr>
            <w:tcW w:w="200" w:type="dxa"/>
            <w:vAlign w:val="bottom"/>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3-4 years</w:t>
            </w:r>
          </w:p>
        </w:tc>
        <w:tc>
          <w:tcPr>
            <w:tcW w:w="1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1,206</w:t>
            </w:r>
          </w:p>
        </w:tc>
        <w:tc>
          <w:tcPr>
            <w:tcW w:w="20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3,155</w:t>
            </w:r>
          </w:p>
        </w:tc>
        <w:tc>
          <w:tcPr>
            <w:tcW w:w="60" w:type="dxa"/>
            <w:vAlign w:val="bottom"/>
            <w:shd w:val="clear" w:color="auto" w:fill="CFF0FC"/>
          </w:tcPr>
          <w:p>
            <w:pPr>
              <w:spacing w:after="0"/>
              <w:rPr>
                <w:sz w:val="15"/>
                <w:szCs w:val="15"/>
                <w:color w:val="auto"/>
              </w:rPr>
            </w:pPr>
          </w:p>
        </w:tc>
      </w:tr>
      <w:tr>
        <w:trPr>
          <w:trHeight w:val="189"/>
        </w:trPr>
        <w:tc>
          <w:tcPr>
            <w:tcW w:w="1500" w:type="dxa"/>
            <w:vAlign w:val="bottom"/>
          </w:tcPr>
          <w:p>
            <w:pPr>
              <w:ind w:left="20"/>
              <w:spacing w:after="0" w:line="189" w:lineRule="exact"/>
              <w:rPr>
                <w:sz w:val="20"/>
                <w:szCs w:val="20"/>
                <w:color w:val="auto"/>
              </w:rPr>
            </w:pPr>
            <w:r>
              <w:rPr>
                <w:rFonts w:ascii="Arial" w:cs="Arial" w:eastAsia="Arial" w:hAnsi="Arial"/>
                <w:sz w:val="16"/>
                <w:szCs w:val="16"/>
                <w:color w:val="auto"/>
              </w:rPr>
              <w:t>Criteria Two</w:t>
            </w:r>
            <w:r>
              <w:rPr>
                <w:rFonts w:ascii="Arial" w:cs="Arial" w:eastAsia="Arial" w:hAnsi="Arial"/>
                <w:sz w:val="21"/>
                <w:szCs w:val="21"/>
                <w:color w:val="auto"/>
                <w:vertAlign w:val="superscript"/>
              </w:rPr>
              <w:t>(2)</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8/28/2019 - 9/8/2020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277,500</w:t>
            </w:r>
          </w:p>
        </w:tc>
        <w:tc>
          <w:tcPr>
            <w:tcW w:w="3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12.27</w:t>
            </w:r>
          </w:p>
        </w:tc>
        <w:tc>
          <w:tcPr>
            <w:tcW w:w="200" w:type="dxa"/>
            <w:vAlign w:val="bottom"/>
          </w:tcPr>
          <w:p>
            <w:pPr>
              <w:spacing w:after="0"/>
              <w:rPr>
                <w:sz w:val="16"/>
                <w:szCs w:val="16"/>
                <w:color w:val="auto"/>
              </w:rPr>
            </w:pPr>
          </w:p>
        </w:tc>
        <w:tc>
          <w:tcPr>
            <w:tcW w:w="1600" w:type="dxa"/>
            <w:vAlign w:val="bottom"/>
            <w:gridSpan w:val="3"/>
          </w:tcPr>
          <w:p>
            <w:pPr>
              <w:jc w:val="right"/>
              <w:ind w:right="219"/>
              <w:spacing w:after="0"/>
              <w:rPr>
                <w:sz w:val="20"/>
                <w:szCs w:val="20"/>
                <w:color w:val="auto"/>
              </w:rPr>
            </w:pPr>
            <w:r>
              <w:rPr>
                <w:rFonts w:ascii="Arial" w:cs="Arial" w:eastAsia="Arial" w:hAnsi="Arial"/>
                <w:sz w:val="16"/>
                <w:szCs w:val="16"/>
                <w:color w:val="auto"/>
              </w:rPr>
              <w:t>3-4 years</w:t>
            </w:r>
          </w:p>
        </w:tc>
        <w:tc>
          <w:tcPr>
            <w:tcW w:w="1100" w:type="dxa"/>
            <w:vAlign w:val="bottom"/>
          </w:tcPr>
          <w:p>
            <w:pPr>
              <w:jc w:val="right"/>
              <w:spacing w:after="0"/>
              <w:rPr>
                <w:sz w:val="20"/>
                <w:szCs w:val="20"/>
                <w:color w:val="auto"/>
              </w:rPr>
            </w:pPr>
            <w:r>
              <w:rPr>
                <w:rFonts w:ascii="Arial" w:cs="Arial" w:eastAsia="Arial" w:hAnsi="Arial"/>
                <w:sz w:val="16"/>
                <w:szCs w:val="16"/>
                <w:color w:val="auto"/>
              </w:rPr>
              <w:t>781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1,239</w:t>
            </w:r>
          </w:p>
        </w:tc>
        <w:tc>
          <w:tcPr>
            <w:tcW w:w="60" w:type="dxa"/>
            <w:vAlign w:val="bottom"/>
          </w:tcPr>
          <w:p>
            <w:pPr>
              <w:spacing w:after="0"/>
              <w:rPr>
                <w:sz w:val="16"/>
                <w:szCs w:val="16"/>
                <w:color w:val="auto"/>
              </w:rPr>
            </w:pPr>
          </w:p>
        </w:tc>
      </w:tr>
      <w:tr>
        <w:trPr>
          <w:trHeight w:val="189"/>
        </w:trPr>
        <w:tc>
          <w:tcPr>
            <w:tcW w:w="150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Criteria Three</w:t>
            </w:r>
            <w:r>
              <w:rPr>
                <w:rFonts w:ascii="Arial" w:cs="Arial" w:eastAsia="Arial" w:hAnsi="Arial"/>
                <w:sz w:val="21"/>
                <w:szCs w:val="21"/>
                <w:color w:val="auto"/>
                <w:vertAlign w:val="superscript"/>
              </w:rPr>
              <w:t>(3)</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8/28/2019 - 11/20/2020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455,000</w:t>
            </w:r>
          </w:p>
        </w:tc>
        <w:tc>
          <w:tcPr>
            <w:tcW w:w="38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15.44</w:t>
            </w:r>
          </w:p>
        </w:tc>
        <w:tc>
          <w:tcPr>
            <w:tcW w:w="200" w:type="dxa"/>
            <w:vAlign w:val="bottom"/>
            <w:shd w:val="clear" w:color="auto" w:fill="CFF0FC"/>
          </w:tcPr>
          <w:p>
            <w:pPr>
              <w:spacing w:after="0"/>
              <w:rPr>
                <w:sz w:val="16"/>
                <w:szCs w:val="16"/>
                <w:color w:val="auto"/>
              </w:rPr>
            </w:pPr>
          </w:p>
        </w:tc>
        <w:tc>
          <w:tcPr>
            <w:tcW w:w="1600" w:type="dxa"/>
            <w:vAlign w:val="bottom"/>
            <w:gridSpan w:val="3"/>
            <w:shd w:val="clear" w:color="auto" w:fill="CFF0FC"/>
          </w:tcPr>
          <w:p>
            <w:pPr>
              <w:jc w:val="right"/>
              <w:ind w:right="219"/>
              <w:spacing w:after="0"/>
              <w:rPr>
                <w:sz w:val="20"/>
                <w:szCs w:val="20"/>
                <w:color w:val="auto"/>
              </w:rPr>
            </w:pPr>
            <w:r>
              <w:rPr>
                <w:rFonts w:ascii="Arial" w:cs="Arial" w:eastAsia="Arial" w:hAnsi="Arial"/>
                <w:sz w:val="16"/>
                <w:szCs w:val="16"/>
                <w:color w:val="auto"/>
              </w:rPr>
              <w:t>3 years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2,239</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3,502</w:t>
            </w:r>
          </w:p>
        </w:tc>
        <w:tc>
          <w:tcPr>
            <w:tcW w:w="60" w:type="dxa"/>
            <w:vAlign w:val="bottom"/>
            <w:shd w:val="clear" w:color="auto" w:fill="CFF0FC"/>
          </w:tcPr>
          <w:p>
            <w:pPr>
              <w:spacing w:after="0"/>
              <w:rPr>
                <w:sz w:val="16"/>
                <w:szCs w:val="16"/>
                <w:color w:val="auto"/>
              </w:rPr>
            </w:pPr>
          </w:p>
        </w:tc>
      </w:tr>
      <w:tr>
        <w:trPr>
          <w:trHeight w:val="189"/>
        </w:trPr>
        <w:tc>
          <w:tcPr>
            <w:tcW w:w="1500" w:type="dxa"/>
            <w:vAlign w:val="bottom"/>
          </w:tcPr>
          <w:p>
            <w:pPr>
              <w:ind w:left="20"/>
              <w:spacing w:after="0" w:line="189" w:lineRule="exact"/>
              <w:rPr>
                <w:sz w:val="20"/>
                <w:szCs w:val="20"/>
                <w:color w:val="auto"/>
              </w:rPr>
            </w:pPr>
            <w:r>
              <w:rPr>
                <w:rFonts w:ascii="Arial" w:cs="Arial" w:eastAsia="Arial" w:hAnsi="Arial"/>
                <w:sz w:val="16"/>
                <w:szCs w:val="16"/>
                <w:color w:val="auto"/>
              </w:rPr>
              <w:t>Criteria Four</w:t>
            </w:r>
            <w:r>
              <w:rPr>
                <w:rFonts w:ascii="Arial" w:cs="Arial" w:eastAsia="Arial" w:hAnsi="Arial"/>
                <w:sz w:val="21"/>
                <w:szCs w:val="21"/>
                <w:color w:val="auto"/>
                <w:vertAlign w:val="superscript"/>
              </w:rPr>
              <w:t>(4)</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7/30/2021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120,000</w:t>
            </w:r>
          </w:p>
        </w:tc>
        <w:tc>
          <w:tcPr>
            <w:tcW w:w="3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31.74</w:t>
            </w:r>
          </w:p>
        </w:tc>
        <w:tc>
          <w:tcPr>
            <w:tcW w:w="200" w:type="dxa"/>
            <w:vAlign w:val="bottom"/>
          </w:tcPr>
          <w:p>
            <w:pPr>
              <w:spacing w:after="0"/>
              <w:rPr>
                <w:sz w:val="16"/>
                <w:szCs w:val="16"/>
                <w:color w:val="auto"/>
              </w:rPr>
            </w:pPr>
          </w:p>
        </w:tc>
        <w:tc>
          <w:tcPr>
            <w:tcW w:w="1600" w:type="dxa"/>
            <w:vAlign w:val="bottom"/>
            <w:gridSpan w:val="3"/>
          </w:tcPr>
          <w:p>
            <w:pPr>
              <w:jc w:val="right"/>
              <w:ind w:right="219"/>
              <w:spacing w:after="0"/>
              <w:rPr>
                <w:sz w:val="20"/>
                <w:szCs w:val="20"/>
                <w:color w:val="auto"/>
              </w:rPr>
            </w:pPr>
            <w:r>
              <w:rPr>
                <w:rFonts w:ascii="Arial" w:cs="Arial" w:eastAsia="Arial" w:hAnsi="Arial"/>
                <w:sz w:val="16"/>
                <w:szCs w:val="16"/>
                <w:color w:val="auto"/>
              </w:rPr>
              <w:t>5 years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223"/>
        </w:trPr>
        <w:tc>
          <w:tcPr>
            <w:tcW w:w="15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2,430,000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3"/>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4,226</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7,896</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-24765</wp:posOffset>
            </wp:positionV>
            <wp:extent cx="342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342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342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342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5" w:lineRule="exact"/>
        <w:rPr>
          <w:sz w:val="20"/>
          <w:szCs w:val="20"/>
          <w:color w:val="auto"/>
        </w:rPr>
      </w:pPr>
    </w:p>
    <w:p>
      <w:pPr>
        <w:ind w:left="380" w:right="60" w:hanging="372"/>
        <w:spacing w:after="0" w:line="253"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Such RSU grants shall not vest unless and until the Company has, for any fiscal quarter in which the RSUs are outstanding, (i) gross revenue determined in accordance with the Company’s reviewed or audited financial statements in excess of $7.0 million for such fiscal quarter, (ii) positive adjusted EBITDA, as determined based on amounts derived from the Company’s reviewed or audited financial statements for such fiscal quarter, and (iii) the participant continues to provide services to the Company either as an employee, director or consultant on the last day of the quarter that the performance criteria are met. Provided the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performance criteria have not been met. As of June 30, 2019, the Company determined that the Criteria One were met. As of December 31, 2021, the remaining 30,000 shares underlying such awards are expected to vest and be issued in accordance with their time-based vesting requirement.</w:t>
      </w:r>
    </w:p>
    <w:p>
      <w:pPr>
        <w:spacing w:after="0" w:line="143" w:lineRule="exact"/>
        <w:rPr>
          <w:rFonts w:ascii="Arial" w:cs="Arial" w:eastAsia="Arial" w:hAnsi="Arial"/>
          <w:sz w:val="17"/>
          <w:szCs w:val="17"/>
          <w:color w:val="auto"/>
        </w:rPr>
      </w:pPr>
    </w:p>
    <w:p>
      <w:pPr>
        <w:ind w:left="380" w:right="80" w:hanging="372"/>
        <w:spacing w:after="0" w:line="270"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Such RSU grants shall not vest unless and until the Company has, for any fiscal quarter in which the RSUs are outstanding, (i) gross revenue determined in accordance with the Company’s reviewed or audited financial statements in excess of $10.0 million for such fiscal quarter, (ii) positive adjusted EBITDA of at least $1.5 million, as determined based on amounts derived from the Company’s reviewed or audited financial statements for such fiscal quarter, and (iii) the recipient continues to provide services to the Company either as an employee, director or consultant on the last day of the quarter that the performance criteria are met. Provided the performance criteria are met, the RSUs will vest in accordance with the time-based requirements contained in the award agreement over three or four years. In the event of a change of control, all RSUs which have not vested on the date of such change of control shall immediately vest even if the performance criteria have not been met. As of the respective grant dates, the Company determined that it was probable that the Criteria Two would be met and therefore, began to record the related amortization expense on the grant dates. The Company determined that the Criteria Two were met as of March 31, 2021. As of December 31, 2021, the remaining 125,399 shares underlying such awards are expected to vest and be issued in accordance with their time-based vesting requirement.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8" w:name="page59"/>
    <w:bookmarkEnd w:id="58"/>
    <w:p>
      <w:pPr>
        <w:ind w:left="380" w:right="20" w:hanging="372"/>
        <w:spacing w:after="0" w:line="238"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RSU grants shall not vest unless and until the Company has, for any fiscal quarter in which the RSUs are outstanding, (i) gross revenue determined in accordance with the Company’s reviewed or audited financial statements in excess of $12.5 million for such fiscal quarter, (ii) positive adjusted EBITDA of at least $2.0 million, as determined based on amounts derived from the Company’s reviewed or audited financial statements for such fiscal quarter, and the recipient continues to provide services to the Company either as an employee, director or consultant on the last day of the quarter that the performance criteria are met. Provided the respective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performance criteria have not been met. As of the respective grant dates, the Company determined that it was probable that the Criteria Three would be met and therefore, began to record the related amortization expense on the grant dates.</w:t>
      </w:r>
    </w:p>
    <w:p>
      <w:pPr>
        <w:spacing w:after="0" w:line="164" w:lineRule="exact"/>
        <w:rPr>
          <w:rFonts w:ascii="Arial" w:cs="Arial" w:eastAsia="Arial" w:hAnsi="Arial"/>
          <w:sz w:val="18"/>
          <w:szCs w:val="18"/>
          <w:color w:val="auto"/>
        </w:rPr>
      </w:pPr>
    </w:p>
    <w:p>
      <w:pPr>
        <w:ind w:left="380" w:right="220" w:hanging="372"/>
        <w:spacing w:after="0" w:line="259" w:lineRule="auto"/>
        <w:tabs>
          <w:tab w:leader="none" w:pos="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July 30, 2021, the Company granted 120,000 RSUs, subject to performance-based requirements, to one non-executive employee, which was subsequently modified on October 19, 2021, with a fair value of $31.74 per share as of the modification date. Such RSU grants shall not vest unless and until the Company has achieved certain revenue for a portion of its business prior to the achievement date deadline for each performance milestone. No amortization of share-based compensation expense has been recognized in relation to such RSUs with Criteria Four, because, as of December 31, 2021, the Company determined that it is not probable that the Criteria Four will be met.</w:t>
      </w:r>
    </w:p>
    <w:p>
      <w:pPr>
        <w:spacing w:after="0" w:line="13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December 31, 2021, unrecognized share-based compensation expense associated with the granted RSUs amounted to $14,098, which is expected to be recognized over a weighted average period of 2.6 years.</w:t>
      </w:r>
    </w:p>
    <w:p>
      <w:pPr>
        <w:spacing w:after="0" w:line="13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Share-based compensation was allocated to the following accounts in the consolidated financial statements for the years ended December 31, 2021 and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Sales and marketing expenses</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562</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609</w:t>
            </w:r>
          </w:p>
        </w:tc>
        <w:tc>
          <w:tcPr>
            <w:tcW w:w="60" w:type="dxa"/>
            <w:vAlign w:val="bottom"/>
            <w:shd w:val="clear" w:color="auto" w:fill="CFF0FC"/>
          </w:tcPr>
          <w:p>
            <w:pPr>
              <w:spacing w:after="0"/>
              <w:rPr>
                <w:sz w:val="17"/>
                <w:szCs w:val="17"/>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 expenses</w:t>
            </w: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6,053</w:t>
            </w:r>
          </w:p>
        </w:tc>
        <w:tc>
          <w:tcPr>
            <w:tcW w:w="2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7,455</w:t>
            </w:r>
          </w:p>
        </w:tc>
        <w:tc>
          <w:tcPr>
            <w:tcW w:w="60" w:type="dxa"/>
            <w:vAlign w:val="bottom"/>
          </w:tcPr>
          <w:p>
            <w:pPr>
              <w:spacing w:after="0"/>
              <w:rPr>
                <w:sz w:val="17"/>
                <w:szCs w:val="17"/>
                <w:color w:val="auto"/>
              </w:rPr>
            </w:pP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Share-based compensation expense</w:t>
            </w:r>
          </w:p>
        </w:tc>
        <w:tc>
          <w:tcPr>
            <w:tcW w:w="4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6,615</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8,064</w:t>
            </w:r>
          </w:p>
        </w:tc>
        <w:tc>
          <w:tcPr>
            <w:tcW w:w="60" w:type="dxa"/>
            <w:vAlign w:val="bottom"/>
            <w:shd w:val="clear" w:color="auto" w:fill="CFF0FC"/>
          </w:tcPr>
          <w:p>
            <w:pPr>
              <w:spacing w:after="0"/>
              <w:rPr>
                <w:sz w:val="17"/>
                <w:szCs w:val="17"/>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Capitalized in intangible assets</w:t>
            </w: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1,217</w:t>
            </w:r>
          </w:p>
        </w:tc>
        <w:tc>
          <w:tcPr>
            <w:tcW w:w="2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1,838</w:t>
            </w:r>
          </w:p>
        </w:tc>
        <w:tc>
          <w:tcPr>
            <w:tcW w:w="60" w:type="dxa"/>
            <w:vAlign w:val="bottom"/>
          </w:tcPr>
          <w:p>
            <w:pPr>
              <w:spacing w:after="0"/>
              <w:rPr>
                <w:sz w:val="17"/>
                <w:szCs w:val="17"/>
                <w:color w:val="auto"/>
              </w:rPr>
            </w:pPr>
          </w:p>
        </w:tc>
      </w:tr>
      <w:tr>
        <w:trPr>
          <w:trHeight w:val="236"/>
        </w:trPr>
        <w:tc>
          <w:tcPr>
            <w:tcW w:w="73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7,832</w:t>
            </w:r>
          </w:p>
        </w:tc>
        <w:tc>
          <w:tcPr>
            <w:tcW w:w="24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9,902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431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431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On August 7, 2018, the Company entered into a services agreement with Mr. Michael Brauser (the “Consultant”), a greater than 10% stockholder, pursuant to which, the Consultant would be providing recommendations on organizational and capital structure, future financing needs and future acquisitions or strategic transactions (“Services Agreement”), for a term of one year, automatically renewing for additional one-year periods unless either party provides written notice to the other of its intent not to renew not fewer than 30 days prior to the expiration of the then-current term. Under the Services Agreement, the Consultant receives cash compensation of $30 per month and was entitled to participate in the Company’s incentive compensation plan.</w:t>
      </w:r>
    </w:p>
    <w:p>
      <w:pPr>
        <w:spacing w:after="0" w:line="119"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On February 16, 2021, the Company entered into a Separation Agreement (the "Separation Agreement") with the Consultant. Pursuant to the Separation Agreement, the parties agreed that the Services Agreement which expired on August 6, 2021 (“Expiration Date”), would not be renewed, but would continue in force and effect until the Expiration Date and that the Consultant would not take any actions on behalf of the Company, including pursuant to the Services Agreement, unless specifically requested in writing by the Company. Pursuant to the Separation Agreement, the Consultant also agreed (i) to certain non-solicitation obligations contained therein, (ii) that he and his affiliates would not disparage or assist or cooperate with any person or entity seeking to publicly disparage or economically harm the Company, and (iii) that the Consultant and his affiliates would not initiate any lawsuit, claim, or proceeding with respect to any claims against the Company, except (with designated exceptions) for any legal proceeding initiated solely to remedy a breach of or to enforce the Separation Agreement.</w:t>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With respect to each annual or special meeting of the Company's stockholders until the Expiration Date of the Separation Agreement, the Consultant agreed to vote the shares of the Company's common stock or any other securities entitled to vote then held by him or his affiliates in accordance with the board of directors' recommendations on director proposals, provided there is a change in no more than 25% of the current directors (not including changes resulting from a director's death or resignation), and the ratification of the appointment of the Company’s independent registered public accounting firm.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9" w:name="page60"/>
    <w:bookmarkEnd w:id="59"/>
    <w:p>
      <w:pPr>
        <w:ind w:right="80"/>
        <w:spacing w:after="0" w:line="252" w:lineRule="auto"/>
        <w:rPr>
          <w:sz w:val="20"/>
          <w:szCs w:val="20"/>
          <w:color w:val="auto"/>
        </w:rPr>
      </w:pPr>
      <w:r>
        <w:rPr>
          <w:rFonts w:ascii="Arial" w:cs="Arial" w:eastAsia="Arial" w:hAnsi="Arial"/>
          <w:sz w:val="17"/>
          <w:szCs w:val="17"/>
          <w:color w:val="auto"/>
        </w:rPr>
        <w:t>The Company agreed (i) that the remaining unvested 166,666 RSUs previously granted to Consultant in accordance with the 2018 RSU agreement, which was included in RSUs granted with the Criteria One in Note 10 above, would continue to vest on July 1, 2021, in accordance with and subject to all other provisions and conditions of such grant, (ii) to amend the 2020 RSU agreement, which was included in RSUs granted with the Criteria Three in Note 10 above, previously granting Consultant 30,000 RSUs such that the 30,000 RSUs would continue to vest 33-1/3% on November 1, 2021, 66-2/3% on November 1, 2022, and 100% on November 1, 2023, without certain Company performance criteria, subject to all other provisions and conditions of such grant, (iii) to include shares of the Company's common stock held by the Consultant or his affiliates in any registration statement the Company files for the benefit of selling stockholders at any time when the Consultant or his affiliates beneficially own 10% or more of the Company's common stock, and (iv) to not initiate any lawsuit, claim, or proceeding with respect to any claims against the Consultant and his affiliates, except (with designated exceptions) for any legal proceeding initiated solely to remedy a breach of or to enforce the Separation Agreement. As a result of the modification to the 2020 RSU agreement, beginning February 16, 2021, the Company recognized an aggregate of $723 in share-based compensation expense over the remaining service period which ended on the Expiration Date.</w:t>
      </w:r>
    </w:p>
    <w:p>
      <w:pPr>
        <w:spacing w:after="0" w:line="15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recognized consulting service fees relating to the Services Agreement of a total of $216 and $360 during the years ended December 31, 2021 and 2020, respectively. In addition, amortization of share-based compensation expense of $1,432 (inclusive of $723 in relation with the modification of RSUs above) and $1,392 for the years ended December 31, 2021 and 2020, respectively, was recognized in relation to the RSUs previously granted to the Consultant.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loan</w:t>
      </w:r>
    </w:p>
    <w:p>
      <w:pPr>
        <w:spacing w:after="0" w:line="17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On May 5, 2020, the Company received funding under a promissory note dated May 5, 2020 evidencing the Loan, an unsecured non-recourse loan in the principal amount of $2,152 under the CARES Act. The Company’s policy was to account for the Loan as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Long-term loan as of December 31, 2020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Pr>
          <w:p>
            <w:pPr>
              <w:spacing w:after="0"/>
              <w:rPr>
                <w:sz w:val="16"/>
                <w:szCs w:val="16"/>
                <w:color w:val="auto"/>
              </w:rPr>
            </w:pPr>
          </w:p>
        </w:tc>
      </w:tr>
      <w:tr>
        <w:trPr>
          <w:trHeight w:val="196"/>
        </w:trPr>
        <w:tc>
          <w:tcPr>
            <w:tcW w:w="9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Principal amount</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2,152</w:t>
            </w:r>
          </w:p>
        </w:tc>
        <w:tc>
          <w:tcPr>
            <w:tcW w:w="100" w:type="dxa"/>
            <w:vAlign w:val="bottom"/>
            <w:shd w:val="clear" w:color="auto" w:fill="CFF0FC"/>
          </w:tcPr>
          <w:p>
            <w:pPr>
              <w:spacing w:after="0"/>
              <w:rPr>
                <w:sz w:val="17"/>
                <w:szCs w:val="17"/>
                <w:color w:val="auto"/>
              </w:rPr>
            </w:pPr>
          </w:p>
        </w:tc>
      </w:tr>
      <w:tr>
        <w:trPr>
          <w:trHeight w:val="202"/>
        </w:trPr>
        <w:tc>
          <w:tcPr>
            <w:tcW w:w="9440" w:type="dxa"/>
            <w:vAlign w:val="bottom"/>
          </w:tcPr>
          <w:p>
            <w:pPr>
              <w:ind w:left="20"/>
              <w:spacing w:after="0" w:line="202" w:lineRule="exact"/>
              <w:rPr>
                <w:sz w:val="20"/>
                <w:szCs w:val="20"/>
                <w:color w:val="auto"/>
              </w:rPr>
            </w:pPr>
            <w:r>
              <w:rPr>
                <w:rFonts w:ascii="Arial" w:cs="Arial" w:eastAsia="Arial" w:hAnsi="Arial"/>
                <w:sz w:val="18"/>
                <w:szCs w:val="18"/>
                <w:color w:val="auto"/>
              </w:rPr>
              <w:t>Included in consolidated balance sheet:</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portion of long-term loan</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7"/>
                <w:szCs w:val="17"/>
                <w:color w:val="auto"/>
              </w:rPr>
            </w:pPr>
          </w:p>
        </w:tc>
      </w:tr>
      <w:tr>
        <w:trPr>
          <w:trHeight w:val="203"/>
        </w:trPr>
        <w:tc>
          <w:tcPr>
            <w:tcW w:w="9440" w:type="dxa"/>
            <w:vAlign w:val="bottom"/>
          </w:tcPr>
          <w:p>
            <w:pPr>
              <w:ind w:left="20"/>
              <w:spacing w:after="0" w:line="202" w:lineRule="exact"/>
              <w:rPr>
                <w:sz w:val="20"/>
                <w:szCs w:val="20"/>
                <w:color w:val="auto"/>
              </w:rPr>
            </w:pPr>
            <w:r>
              <w:rPr>
                <w:rFonts w:ascii="Arial" w:cs="Arial" w:eastAsia="Arial" w:hAnsi="Arial"/>
                <w:sz w:val="18"/>
                <w:szCs w:val="18"/>
                <w:color w:val="auto"/>
              </w:rPr>
              <w:t>Long-term loan (non-current)</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1,703</w:t>
            </w:r>
          </w:p>
        </w:tc>
        <w:tc>
          <w:tcPr>
            <w:tcW w:w="100" w:type="dxa"/>
            <w:vAlign w:val="bottom"/>
          </w:tcPr>
          <w:p>
            <w:pPr>
              <w:spacing w:after="0"/>
              <w:rPr>
                <w:sz w:val="17"/>
                <w:szCs w:val="17"/>
                <w:color w:val="auto"/>
              </w:rPr>
            </w:pPr>
          </w:p>
        </w:tc>
      </w:tr>
      <w:tr>
        <w:trPr>
          <w:trHeight w:val="236"/>
        </w:trPr>
        <w:tc>
          <w:tcPr>
            <w:tcW w:w="94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Loan had a two-year term and a contractual maturity of May 5, 2022. The interest rate on the Loan is 1.0% per annum.</w:t>
      </w:r>
    </w:p>
    <w:p>
      <w:pPr>
        <w:spacing w:after="0" w:line="171"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On June 16, 2021, the Company received a notice from the Lender that the full principal amount of the Loan of $2,152 and the accrued interest of $23 had been fully forgiven, and the U.S. Small Business Administration remitted the forgiveness payment to the Lender, resulting in a gain on extinguishment of debt of $2,175 during the year ended December 31, 2021.</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Loan approximates its carrying amount as of December 31, 2020 as the interest rate approximates market rates for similar loans.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7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07"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Company leases its corporate headquarters of 21,020 rentable square feet in accordance with a non-cancelable 89-month operating lease agreement as amended and effective in January 2017, with an option to extend for an additional 60 months. The Company also leases an additional office space of 6,003 rentable square feet in accordance with a non-cancellable 90-month operating lease agreement entered into in April 2017, with an option to extend for additional 60 months. The extension option is not included in the determination of the lease term as it is not reasonably certain to be exercised.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For the years ended December 31, 2021 and 2020, a summary of the Company’s lease information is shown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Lease cost:</w:t>
            </w:r>
          </w:p>
        </w:tc>
        <w:tc>
          <w:tcPr>
            <w:tcW w:w="9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costs</w:t>
            </w:r>
          </w:p>
        </w:tc>
        <w:tc>
          <w:tcPr>
            <w:tcW w:w="980" w:type="dxa"/>
            <w:vAlign w:val="bottom"/>
          </w:tcPr>
          <w:p>
            <w:pPr>
              <w:jc w:val="right"/>
              <w:ind w:right="796"/>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672</w:t>
            </w:r>
          </w:p>
        </w:tc>
        <w:tc>
          <w:tcPr>
            <w:tcW w:w="9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672</w:t>
            </w:r>
          </w:p>
        </w:tc>
        <w:tc>
          <w:tcPr>
            <w:tcW w:w="6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Other information:</w:t>
            </w:r>
          </w:p>
        </w:tc>
        <w:tc>
          <w:tcPr>
            <w:tcW w:w="9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Cash paid for operating leases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724</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20"/>
                <w:szCs w:val="20"/>
                <w:color w:val="auto"/>
              </w:rPr>
            </w:pPr>
          </w:p>
        </w:tc>
      </w:tr>
    </w:tbl>
    <w:p>
      <w:pPr>
        <w:spacing w:after="0" w:line="147" w:lineRule="exact"/>
        <w:rPr>
          <w:sz w:val="20"/>
          <w:szCs w:val="20"/>
          <w:color w:val="auto"/>
        </w:rPr>
      </w:pPr>
    </w:p>
    <w:p>
      <w:pPr>
        <w:jc w:val="both"/>
        <w:ind w:right="160"/>
        <w:spacing w:after="0" w:line="243" w:lineRule="auto"/>
        <w:rPr>
          <w:sz w:val="20"/>
          <w:szCs w:val="20"/>
          <w:color w:val="auto"/>
        </w:rPr>
      </w:pPr>
      <w:r>
        <w:rPr>
          <w:rFonts w:ascii="Arial" w:cs="Arial" w:eastAsia="Arial" w:hAnsi="Arial"/>
          <w:sz w:val="18"/>
          <w:szCs w:val="18"/>
          <w:color w:val="auto"/>
        </w:rPr>
        <w:t>There were no additional right-of-use assets obtained in exchange for operating lease liabilities during the years ended December 31, 2021 and 2020. The Company used 8.0%, its estimated incremental borrowing rate for similar secured assets, as the discount rate for the above-mentioned leases to determine the present value of the lease payments because the implicit rate in each lease is not readily determinable. The discount rate was calculated on the basis of information available as of January 1, 2019, the application date.</w:t>
      </w:r>
    </w:p>
    <w:p>
      <w:pPr>
        <w:sectPr>
          <w:pgSz w:w="11900" w:h="16838" w:orient="portrait"/>
          <w:cols w:equalWidth="0" w:num="1">
            <w:col w:w="11240"/>
          </w:cols>
          <w:pgMar w:left="320" w:top="503" w:right="3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weighted average remaining operating lease term was 2.8 years.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scheduled future maturities and present value of the operating lease liabilities are as follows: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289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ind w:left="20"/>
        <w:spacing w:after="0" w:line="234" w:lineRule="auto"/>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18"/>
          <w:szCs w:val="18"/>
          <w:color w:val="auto"/>
        </w:rPr>
        <w:t>2024</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maturities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Present value included in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9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Current portion of operating lease liabilities</w:t>
      </w:r>
    </w:p>
    <w:p>
      <w:pPr>
        <w:ind w:left="20"/>
        <w:spacing w:after="0" w:line="232" w:lineRule="auto"/>
        <w:rPr>
          <w:sz w:val="20"/>
          <w:szCs w:val="20"/>
          <w:color w:val="auto"/>
        </w:rPr>
      </w:pPr>
      <w:r>
        <w:rPr>
          <w:rFonts w:ascii="Arial" w:cs="Arial" w:eastAsia="Arial" w:hAnsi="Arial"/>
          <w:sz w:val="18"/>
          <w:szCs w:val="18"/>
          <w:color w:val="auto"/>
        </w:rPr>
        <w:t>Noncurrent 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December 31, 2021</w:t>
            </w:r>
          </w:p>
        </w:tc>
      </w:tr>
      <w:tr>
        <w:trPr>
          <w:trHeight w:val="182"/>
        </w:trPr>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auto"/>
              </w:rPr>
              <w:t>743</w:t>
            </w:r>
          </w:p>
        </w:tc>
      </w:tr>
      <w:tr>
        <w:trPr>
          <w:trHeight w:val="203"/>
        </w:trPr>
        <w:tc>
          <w:tcPr>
            <w:tcW w:w="1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765</w:t>
            </w:r>
          </w:p>
        </w:tc>
      </w:tr>
      <w:tr>
        <w:trPr>
          <w:trHeight w:val="203"/>
        </w:trPr>
        <w:tc>
          <w:tcPr>
            <w:tcW w:w="1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542</w:t>
            </w:r>
          </w:p>
        </w:tc>
      </w:tr>
      <w:tr>
        <w:trPr>
          <w:trHeight w:val="230"/>
        </w:trPr>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0718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7">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ind w:left="1280" w:hanging="1262"/>
        <w:spacing w:after="0"/>
        <w:tabs>
          <w:tab w:leader="none" w:pos="12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2,127</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17"/>
        </w:trPr>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1,291</w:t>
            </w:r>
          </w:p>
        </w:tc>
      </w:tr>
    </w:tbl>
    <w:p>
      <w:pPr>
        <w:spacing w:after="0" w:line="1" w:lineRule="exact"/>
        <w:rPr>
          <w:sz w:val="20"/>
          <w:szCs w:val="20"/>
          <w:color w:val="auto"/>
        </w:rPr>
      </w:pPr>
    </w:p>
    <w:p>
      <w:pPr>
        <w:sectPr>
          <w:pgSz w:w="11900" w:h="16838" w:orient="portrait"/>
          <w:cols w:equalWidth="0" w:num="2">
            <w:col w:w="8760" w:space="720"/>
            <w:col w:w="1760"/>
          </w:cols>
          <w:pgMar w:left="320" w:top="503"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9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lease liabilities</w:t>
            </w:r>
          </w:p>
        </w:tc>
        <w:tc>
          <w:tcPr>
            <w:tcW w:w="700" w:type="dxa"/>
            <w:vAlign w:val="bottom"/>
            <w:tcBorders>
              <w:top w:val="single" w:sz="8" w:color="auto"/>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1,908</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9480" w:type="dxa"/>
            <w:vAlign w:val="bottom"/>
          </w:tcPr>
          <w:p>
            <w:pPr>
              <w:ind w:left="20"/>
              <w:spacing w:after="0" w:line="183" w:lineRule="exact"/>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700" w:type="dxa"/>
            <w:vAlign w:val="bottom"/>
            <w:tcBorders>
              <w:bottom w:val="single" w:sz="8" w:color="auto"/>
            </w:tcBorders>
          </w:tcPr>
          <w:p>
            <w:pPr>
              <w:jc w:val="right"/>
              <w:ind w:right="510"/>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219</w:t>
            </w:r>
          </w:p>
        </w:tc>
        <w:tc>
          <w:tcPr>
            <w:tcW w:w="60" w:type="dxa"/>
            <w:vAlign w:val="bottom"/>
          </w:tcPr>
          <w:p>
            <w:pPr>
              <w:spacing w:after="0"/>
              <w:rPr>
                <w:sz w:val="15"/>
                <w:szCs w:val="15"/>
                <w:color w:val="auto"/>
              </w:rPr>
            </w:pPr>
          </w:p>
        </w:tc>
      </w:tr>
      <w:tr>
        <w:trPr>
          <w:trHeight w:val="20"/>
        </w:trPr>
        <w:tc>
          <w:tcPr>
            <w:tcW w:w="9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-179070</wp:posOffset>
            </wp:positionV>
            <wp:extent cx="43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171"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color w:val="auto"/>
        </w:rPr>
        <w:t>The Company incurred data costs of $8,481 and $8,493 for the years ended December 31, 2021 and 2020, respectively, under certain data licensing agreements. As of December 31, 2021, future material capital commitments under certain data licensing agreements were $33,059, shown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December 31, 2021</w:t>
            </w:r>
          </w:p>
        </w:tc>
        <w:tc>
          <w:tcPr>
            <w:tcW w:w="60" w:type="dxa"/>
            <w:vAlign w:val="bottom"/>
          </w:tcPr>
          <w:p>
            <w:pPr>
              <w:spacing w:after="0"/>
              <w:rPr>
                <w:sz w:val="16"/>
                <w:szCs w:val="16"/>
                <w:color w:val="auto"/>
              </w:rPr>
            </w:pPr>
          </w:p>
        </w:tc>
      </w:tr>
      <w:tr>
        <w:trPr>
          <w:trHeight w:val="196"/>
        </w:trPr>
        <w:tc>
          <w:tcPr>
            <w:tcW w:w="9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7,736</w:t>
            </w:r>
          </w:p>
        </w:tc>
        <w:tc>
          <w:tcPr>
            <w:tcW w:w="60" w:type="dxa"/>
            <w:vAlign w:val="bottom"/>
            <w:shd w:val="clear" w:color="auto" w:fill="CFF0FC"/>
          </w:tcPr>
          <w:p>
            <w:pPr>
              <w:spacing w:after="0"/>
              <w:rPr>
                <w:sz w:val="17"/>
                <w:szCs w:val="17"/>
                <w:color w:val="auto"/>
              </w:rPr>
            </w:pPr>
          </w:p>
        </w:tc>
      </w:tr>
      <w:tr>
        <w:trPr>
          <w:trHeight w:val="203"/>
        </w:trPr>
        <w:tc>
          <w:tcPr>
            <w:tcW w:w="94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7,200</w:t>
            </w:r>
          </w:p>
        </w:tc>
        <w:tc>
          <w:tcPr>
            <w:tcW w:w="60" w:type="dxa"/>
            <w:vAlign w:val="bottom"/>
          </w:tcPr>
          <w:p>
            <w:pPr>
              <w:spacing w:after="0"/>
              <w:rPr>
                <w:sz w:val="17"/>
                <w:szCs w:val="17"/>
                <w:color w:val="auto"/>
              </w:rPr>
            </w:pPr>
          </w:p>
        </w:tc>
      </w:tr>
      <w:tr>
        <w:trPr>
          <w:trHeight w:val="203"/>
        </w:trPr>
        <w:tc>
          <w:tcPr>
            <w:tcW w:w="9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7,106</w:t>
            </w:r>
          </w:p>
        </w:tc>
        <w:tc>
          <w:tcPr>
            <w:tcW w:w="60" w:type="dxa"/>
            <w:vAlign w:val="bottom"/>
            <w:shd w:val="clear" w:color="auto" w:fill="CFF0FC"/>
          </w:tcPr>
          <w:p>
            <w:pPr>
              <w:spacing w:after="0"/>
              <w:rPr>
                <w:sz w:val="17"/>
                <w:szCs w:val="17"/>
                <w:color w:val="auto"/>
              </w:rPr>
            </w:pPr>
          </w:p>
        </w:tc>
      </w:tr>
      <w:tr>
        <w:trPr>
          <w:trHeight w:val="203"/>
        </w:trPr>
        <w:tc>
          <w:tcPr>
            <w:tcW w:w="94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1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7,207</w:t>
            </w:r>
          </w:p>
        </w:tc>
        <w:tc>
          <w:tcPr>
            <w:tcW w:w="60" w:type="dxa"/>
            <w:vAlign w:val="bottom"/>
          </w:tcPr>
          <w:p>
            <w:pPr>
              <w:spacing w:after="0"/>
              <w:rPr>
                <w:sz w:val="17"/>
                <w:szCs w:val="17"/>
                <w:color w:val="auto"/>
              </w:rPr>
            </w:pPr>
          </w:p>
        </w:tc>
      </w:tr>
      <w:tr>
        <w:trPr>
          <w:trHeight w:val="203"/>
        </w:trPr>
        <w:tc>
          <w:tcPr>
            <w:tcW w:w="9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18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3,810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94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33,059</w:t>
            </w:r>
          </w:p>
        </w:tc>
        <w:tc>
          <w:tcPr>
            <w:tcW w:w="60" w:type="dxa"/>
            <w:vAlign w:val="bottom"/>
          </w:tcPr>
          <w:p>
            <w:pPr>
              <w:spacing w:after="0"/>
              <w:rPr>
                <w:sz w:val="17"/>
                <w:szCs w:val="17"/>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Employment agreements</w:t>
      </w:r>
    </w:p>
    <w:p>
      <w:pPr>
        <w:spacing w:after="0" w:line="171"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color w:val="auto"/>
        </w:rPr>
        <w:t>The Company has employment agreements with certain executives, mainly including its Chief Executive Officer, President, Chief Financial Officer and Chief Information Officer, which provide for compensation and certain other benefits and for severance payments under certain circumstances.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(c) Contingency</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19"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Covid-19 update</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During 2020, the Company experienced significantly reduced commercial activity in numerous aspects of its business as a result of the preventative and protective actions taken by federal, state and local governments to combat Covid-19, including the implementation of stay-at-home orders, social distancing policies and certain temporary government-imposed moratoria on collection customers’ activities. During 2021, the Company saw ongoing improvement in its results of operations, with the exception of the Company's idiVERIFIED service, which is an ancillary collections market offering that is purely transactional and of a lower margin profile. The Company expects its idiVERIFIED service volume to return to pre-Covid levels in the second half of 2022. The Company continues to take precautionary measures intended to minimize the risk of the Covid-19 pandemic to its employees, its customers, and the communities in which it operates. These measures may result in inefficiencies, delays and additional costs to the Company's business. The Covid-19 pandemic and its impact on the Company and the economy has significantly limited the Company's ability to forecast its future operating results, including its ability to predict revenue and expense levels, and plan for and model future operating results. Furthermore, the full impact of the Covid-19 pandemic on the Company's ongoing business, results of operations and overall financial performance cannot be reasonably estimated at this time. The Company will continue to evaluate the nature and extent of the impact of the Covid-19 pandemic to its business, including the emergence of new variants and the development, availability, distribution and effectiveness of vaccines.</w:t>
      </w:r>
    </w:p>
    <w:p>
      <w:pPr>
        <w:spacing w:after="0" w:line="143" w:lineRule="exact"/>
        <w:rPr>
          <w:sz w:val="20"/>
          <w:szCs w:val="20"/>
          <w:color w:val="auto"/>
        </w:rPr>
      </w:pPr>
    </w:p>
    <w:p>
      <w:pPr>
        <w:jc w:val="both"/>
        <w:ind w:right="60"/>
        <w:spacing w:after="0" w:line="276" w:lineRule="auto"/>
        <w:rPr>
          <w:sz w:val="20"/>
          <w:szCs w:val="20"/>
          <w:color w:val="auto"/>
        </w:rPr>
      </w:pPr>
      <w:r>
        <w:rPr>
          <w:rFonts w:ascii="Arial" w:cs="Arial" w:eastAsia="Arial" w:hAnsi="Arial"/>
          <w:sz w:val="16"/>
          <w:szCs w:val="16"/>
          <w:color w:val="auto"/>
        </w:rPr>
        <w:t>To further support the Company’s liquidity, beginning April 1, 2020, the Company elected, under Section 2302 of the CARES Act, to defer payment of the employer portion of Social Security payroll tax. Under the CARES Act, employers could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The Company paid 50% of the deferred amount in December 2021. On May 5, 2020, the Company received the Loan under the CARES Act, which was fully forgiven in June 2021, as discussed in Note 12 above. The Company will continue to assess the CARES Act and other applicable government legislation aimed at assisting businesses during the Covid-19 pandemic.</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780" w:type="dxa"/>
            <w:vAlign w:val="bottom"/>
            <w:gridSpan w:val="3"/>
          </w:tcPr>
          <w:p>
            <w:pPr>
              <w:ind w:left="520"/>
              <w:spacing w:after="0"/>
              <w:rPr>
                <w:sz w:val="20"/>
                <w:szCs w:val="20"/>
                <w:color w:val="auto"/>
              </w:rPr>
            </w:pPr>
            <w:r>
              <w:rPr>
                <w:rFonts w:ascii="Arial" w:cs="Arial" w:eastAsia="Arial" w:hAnsi="Arial"/>
                <w:sz w:val="18"/>
                <w:szCs w:val="18"/>
                <w:b w:val="1"/>
                <w:bCs w:val="1"/>
                <w:color w:val="auto"/>
              </w:rPr>
              <w:t>SUBSIDIARIES</w:t>
            </w:r>
          </w:p>
        </w:tc>
      </w:tr>
      <w:tr>
        <w:trPr>
          <w:trHeight w:val="338"/>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155"/>
        </w:trPr>
        <w:tc>
          <w:tcPr>
            <w:tcW w:w="4460" w:type="dxa"/>
            <w:vAlign w:val="bottom"/>
          </w:tcPr>
          <w:p>
            <w:pPr>
              <w:ind w:left="20"/>
              <w:spacing w:after="0" w:line="154" w:lineRule="exact"/>
              <w:rPr>
                <w:sz w:val="20"/>
                <w:szCs w:val="20"/>
                <w:color w:val="auto"/>
              </w:rPr>
            </w:pPr>
            <w:r>
              <w:rPr>
                <w:rFonts w:ascii="Arial" w:cs="Arial" w:eastAsia="Arial" w:hAnsi="Arial"/>
                <w:sz w:val="17"/>
                <w:szCs w:val="17"/>
                <w:color w:val="auto"/>
              </w:rPr>
              <w:t>IDI Holdings, LLC</w:t>
            </w: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940" w:type="dxa"/>
            <w:vAlign w:val="bottom"/>
          </w:tcPr>
          <w:p>
            <w:pPr>
              <w:jc w:val="center"/>
              <w:spacing w:after="0" w:line="154" w:lineRule="exact"/>
              <w:rPr>
                <w:sz w:val="20"/>
                <w:szCs w:val="20"/>
                <w:color w:val="auto"/>
              </w:rPr>
            </w:pPr>
            <w:r>
              <w:rPr>
                <w:rFonts w:ascii="Arial" w:cs="Arial" w:eastAsia="Arial" w:hAnsi="Arial"/>
                <w:sz w:val="17"/>
                <w:szCs w:val="17"/>
                <w:color w:val="auto"/>
                <w:w w:val="97"/>
              </w:rPr>
              <w:t>Delaware</w:t>
            </w:r>
          </w:p>
        </w:tc>
      </w:tr>
      <w:tr>
        <w:trPr>
          <w:trHeight w:val="189"/>
        </w:trPr>
        <w:tc>
          <w:tcPr>
            <w:tcW w:w="4460" w:type="dxa"/>
            <w:vAlign w:val="bottom"/>
          </w:tcPr>
          <w:p>
            <w:pPr>
              <w:ind w:left="120"/>
              <w:spacing w:after="0" w:line="189" w:lineRule="exact"/>
              <w:rPr>
                <w:sz w:val="20"/>
                <w:szCs w:val="20"/>
                <w:color w:val="auto"/>
              </w:rPr>
            </w:pPr>
            <w:r>
              <w:rPr>
                <w:rFonts w:ascii="Arial" w:cs="Arial" w:eastAsia="Arial" w:hAnsi="Arial"/>
                <w:sz w:val="18"/>
                <w:szCs w:val="18"/>
                <w:color w:val="auto"/>
              </w:rPr>
              <w:t>Interactive Data, LLC</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40" w:type="dxa"/>
            <w:vAlign w:val="bottom"/>
          </w:tcPr>
          <w:p>
            <w:pPr>
              <w:jc w:val="center"/>
              <w:spacing w:after="0" w:line="189" w:lineRule="exact"/>
              <w:rPr>
                <w:sz w:val="20"/>
                <w:szCs w:val="20"/>
                <w:color w:val="auto"/>
              </w:rPr>
            </w:pPr>
            <w:r>
              <w:rPr>
                <w:rFonts w:ascii="Arial" w:cs="Arial" w:eastAsia="Arial" w:hAnsi="Arial"/>
                <w:sz w:val="18"/>
                <w:szCs w:val="18"/>
                <w:color w:val="auto"/>
                <w:w w:val="90"/>
              </w:rPr>
              <w:t>Georgia</w:t>
            </w:r>
          </w:p>
        </w:tc>
      </w:tr>
      <w:tr>
        <w:trPr>
          <w:trHeight w:val="189"/>
        </w:trPr>
        <w:tc>
          <w:tcPr>
            <w:tcW w:w="4460" w:type="dxa"/>
            <w:vAlign w:val="bottom"/>
          </w:tcPr>
          <w:p>
            <w:pPr>
              <w:ind w:left="20"/>
              <w:spacing w:after="0" w:line="189" w:lineRule="exact"/>
              <w:rPr>
                <w:sz w:val="20"/>
                <w:szCs w:val="20"/>
                <w:color w:val="auto"/>
              </w:rPr>
            </w:pPr>
            <w:r>
              <w:rPr>
                <w:rFonts w:ascii="Arial" w:cs="Arial" w:eastAsia="Arial" w:hAnsi="Arial"/>
                <w:sz w:val="18"/>
                <w:szCs w:val="18"/>
                <w:color w:val="auto"/>
              </w:rPr>
              <w:t>Red Violet Technologies, LLC</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40" w:type="dxa"/>
            <w:vAlign w:val="bottom"/>
          </w:tcPr>
          <w:p>
            <w:pPr>
              <w:jc w:val="center"/>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4460" w:type="dxa"/>
            <w:vAlign w:val="bottom"/>
          </w:tcPr>
          <w:p>
            <w:pPr>
              <w:ind w:left="20"/>
              <w:spacing w:after="0" w:line="189" w:lineRule="exact"/>
              <w:rPr>
                <w:sz w:val="20"/>
                <w:szCs w:val="20"/>
                <w:color w:val="auto"/>
              </w:rPr>
            </w:pPr>
            <w:r>
              <w:rPr>
                <w:rFonts w:ascii="Arial" w:cs="Arial" w:eastAsia="Arial" w:hAnsi="Arial"/>
                <w:sz w:val="18"/>
                <w:szCs w:val="18"/>
                <w:color w:val="auto"/>
              </w:rPr>
              <w:t>IDI Verified, LLC</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40" w:type="dxa"/>
            <w:vAlign w:val="bottom"/>
          </w:tcPr>
          <w:p>
            <w:pPr>
              <w:jc w:val="center"/>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4460" w:type="dxa"/>
            <w:vAlign w:val="bottom"/>
          </w:tcPr>
          <w:p>
            <w:pPr>
              <w:ind w:left="20"/>
              <w:spacing w:after="0" w:line="189" w:lineRule="exact"/>
              <w:rPr>
                <w:sz w:val="20"/>
                <w:szCs w:val="20"/>
                <w:color w:val="auto"/>
              </w:rPr>
            </w:pPr>
            <w:r>
              <w:rPr>
                <w:rFonts w:ascii="Arial" w:cs="Arial" w:eastAsia="Arial" w:hAnsi="Arial"/>
                <w:sz w:val="18"/>
                <w:szCs w:val="18"/>
                <w:color w:val="auto"/>
              </w:rPr>
              <w:t>Forewarn, LLC</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40" w:type="dxa"/>
            <w:vAlign w:val="bottom"/>
          </w:tcPr>
          <w:p>
            <w:pPr>
              <w:jc w:val="center"/>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4460" w:type="dxa"/>
            <w:vAlign w:val="bottom"/>
          </w:tcPr>
          <w:p>
            <w:pPr>
              <w:ind w:left="20"/>
              <w:spacing w:after="0" w:line="189" w:lineRule="exact"/>
              <w:rPr>
                <w:sz w:val="20"/>
                <w:szCs w:val="20"/>
                <w:color w:val="auto"/>
              </w:rPr>
            </w:pPr>
            <w:r>
              <w:rPr>
                <w:rFonts w:ascii="Arial" w:cs="Arial" w:eastAsia="Arial" w:hAnsi="Arial"/>
                <w:sz w:val="18"/>
                <w:szCs w:val="18"/>
                <w:color w:val="auto"/>
              </w:rPr>
              <w:t>Red Violet Blockchain and Analytical Solutions, LLC</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40" w:type="dxa"/>
            <w:vAlign w:val="bottom"/>
          </w:tcPr>
          <w:p>
            <w:pPr>
              <w:jc w:val="center"/>
              <w:spacing w:after="0" w:line="189" w:lineRule="exact"/>
              <w:rPr>
                <w:sz w:val="20"/>
                <w:szCs w:val="20"/>
                <w:color w:val="auto"/>
              </w:rPr>
            </w:pPr>
            <w:r>
              <w:rPr>
                <w:rFonts w:ascii="Arial" w:cs="Arial" w:eastAsia="Arial" w:hAnsi="Arial"/>
                <w:sz w:val="18"/>
                <w:szCs w:val="18"/>
                <w:color w:val="auto"/>
                <w:w w:val="92"/>
              </w:rPr>
              <w:t>Delaware</w:t>
            </w:r>
          </w:p>
        </w:tc>
      </w:tr>
      <w:tr>
        <w:trPr>
          <w:trHeight w:val="189"/>
        </w:trPr>
        <w:tc>
          <w:tcPr>
            <w:tcW w:w="4460" w:type="dxa"/>
            <w:vAlign w:val="bottom"/>
          </w:tcPr>
          <w:p>
            <w:pPr>
              <w:ind w:left="20"/>
              <w:spacing w:after="0" w:line="189" w:lineRule="exact"/>
              <w:rPr>
                <w:sz w:val="20"/>
                <w:szCs w:val="20"/>
                <w:color w:val="auto"/>
              </w:rPr>
            </w:pPr>
            <w:r>
              <w:rPr>
                <w:rFonts w:ascii="Arial" w:cs="Arial" w:eastAsia="Arial" w:hAnsi="Arial"/>
                <w:sz w:val="18"/>
                <w:szCs w:val="18"/>
                <w:color w:val="auto"/>
              </w:rPr>
              <w:t>Whoodle, LLC</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40" w:type="dxa"/>
            <w:vAlign w:val="bottom"/>
          </w:tcPr>
          <w:p>
            <w:pPr>
              <w:jc w:val="center"/>
              <w:spacing w:after="0" w:line="189" w:lineRule="exact"/>
              <w:rPr>
                <w:sz w:val="20"/>
                <w:szCs w:val="20"/>
                <w:color w:val="auto"/>
              </w:rPr>
            </w:pPr>
            <w:r>
              <w:rPr>
                <w:rFonts w:ascii="Arial" w:cs="Arial" w:eastAsia="Arial" w:hAnsi="Arial"/>
                <w:sz w:val="18"/>
                <w:szCs w:val="18"/>
                <w:color w:val="auto"/>
                <w:w w:val="92"/>
              </w:rPr>
              <w:t>Delaware</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HolSol, LLC</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938"/>
        </w:trPr>
        <w:tc>
          <w:tcPr>
            <w:tcW w:w="44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have issued our report dated March 9, 2022, with respect to the consolidated financial statements included in the Annual Report of Red Violet, Inc. on Form 10-K for the year ended December 31, 2021. We consent to the incorporation by reference of said report in the Registration Statements of Red Violet, Inc. on Form S-8 (File No. 333-224147 and File No. 333-238947).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Fort Lauderdale, Florida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12" w:lineRule="exact"/>
        <w:rPr>
          <w:sz w:val="20"/>
          <w:szCs w:val="20"/>
          <w:color w:val="auto"/>
        </w:rPr>
      </w:pPr>
    </w:p>
    <w:p>
      <w:pPr>
        <w:ind w:left="900" w:hanging="35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Red Violet, Inc.;</w:t>
      </w:r>
    </w:p>
    <w:p>
      <w:pPr>
        <w:spacing w:after="0" w:line="211" w:lineRule="exact"/>
        <w:rPr>
          <w:rFonts w:ascii="Arial" w:cs="Arial" w:eastAsia="Arial" w:hAnsi="Arial"/>
          <w:sz w:val="18"/>
          <w:szCs w:val="18"/>
          <w:color w:val="auto"/>
        </w:rPr>
      </w:pPr>
    </w:p>
    <w:p>
      <w:pPr>
        <w:ind w:left="1020" w:right="40" w:hanging="479"/>
        <w:spacing w:after="0" w:line="248"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20" w:right="100" w:hanging="479"/>
        <w:spacing w:after="0" w:line="324" w:lineRule="auto"/>
        <w:tabs>
          <w:tab w:leader="none" w:pos="8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6"/>
          <w:szCs w:val="16"/>
          <w:color w:val="auto"/>
        </w:rPr>
      </w:pPr>
    </w:p>
    <w:p>
      <w:pPr>
        <w:ind w:left="1020" w:right="60" w:hanging="479"/>
        <w:spacing w:after="0" w:line="248"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40" w:right="120" w:hanging="514"/>
        <w:spacing w:after="0" w:line="270" w:lineRule="auto"/>
        <w:tabs>
          <w:tab w:leader="none" w:pos="1391"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7"/>
          <w:szCs w:val="17"/>
          <w:color w:val="auto"/>
        </w:rPr>
      </w:pPr>
    </w:p>
    <w:p>
      <w:pPr>
        <w:ind w:left="1540" w:right="40" w:hanging="514"/>
        <w:spacing w:after="0" w:line="248" w:lineRule="auto"/>
        <w:tabs>
          <w:tab w:leader="none" w:pos="139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540" w:right="160" w:hanging="514"/>
        <w:spacing w:after="0" w:line="248" w:lineRule="auto"/>
        <w:tabs>
          <w:tab w:leader="none" w:pos="1391"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540" w:right="120" w:hanging="514"/>
        <w:spacing w:after="0" w:line="248" w:lineRule="auto"/>
        <w:tabs>
          <w:tab w:leader="none" w:pos="139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20" w:right="20" w:hanging="479"/>
        <w:spacing w:after="0" w:line="324" w:lineRule="auto"/>
        <w:tabs>
          <w:tab w:leader="none" w:pos="8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540" w:right="380" w:hanging="514"/>
        <w:spacing w:after="0" w:line="324" w:lineRule="auto"/>
        <w:tabs>
          <w:tab w:leader="none" w:pos="13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40" w:right="60" w:hanging="514"/>
        <w:spacing w:after="0" w:line="261" w:lineRule="auto"/>
        <w:tabs>
          <w:tab w:leader="none" w:pos="139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March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15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-120650</wp:posOffset>
            </wp:positionV>
            <wp:extent cx="25628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7220"/>
        <w:spacing w:after="0" w:line="203" w:lineRule="auto"/>
        <w:rPr>
          <w:sz w:val="20"/>
          <w:szCs w:val="20"/>
          <w:color w:val="auto"/>
        </w:rPr>
      </w:pPr>
      <w:r>
        <w:rPr>
          <w:rFonts w:ascii="Arial" w:cs="Arial" w:eastAsia="Arial" w:hAnsi="Arial"/>
          <w:sz w:val="18"/>
          <w:szCs w:val="18"/>
          <w:color w:val="auto"/>
        </w:rPr>
        <w:t>Chief Executive Officer</w:t>
      </w:r>
    </w:p>
    <w:p>
      <w:pPr>
        <w:ind w:left="72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12" w:lineRule="exact"/>
        <w:rPr>
          <w:sz w:val="20"/>
          <w:szCs w:val="20"/>
          <w:color w:val="auto"/>
        </w:rPr>
      </w:pPr>
    </w:p>
    <w:p>
      <w:pPr>
        <w:ind w:left="900" w:hanging="35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Red Violet, Inc.;</w:t>
      </w:r>
    </w:p>
    <w:p>
      <w:pPr>
        <w:spacing w:after="0" w:line="211" w:lineRule="exact"/>
        <w:rPr>
          <w:rFonts w:ascii="Arial" w:cs="Arial" w:eastAsia="Arial" w:hAnsi="Arial"/>
          <w:sz w:val="18"/>
          <w:szCs w:val="18"/>
          <w:color w:val="auto"/>
        </w:rPr>
      </w:pPr>
    </w:p>
    <w:p>
      <w:pPr>
        <w:ind w:left="1020" w:right="40" w:hanging="479"/>
        <w:spacing w:after="0" w:line="248"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20" w:right="100" w:hanging="479"/>
        <w:spacing w:after="0" w:line="324" w:lineRule="auto"/>
        <w:tabs>
          <w:tab w:leader="none" w:pos="8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6"/>
          <w:szCs w:val="16"/>
          <w:color w:val="auto"/>
        </w:rPr>
      </w:pPr>
    </w:p>
    <w:p>
      <w:pPr>
        <w:ind w:left="1020" w:right="60" w:hanging="479"/>
        <w:spacing w:after="0" w:line="248" w:lineRule="auto"/>
        <w:tabs>
          <w:tab w:leader="none" w:pos="8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40" w:right="120" w:hanging="514"/>
        <w:spacing w:after="0" w:line="270" w:lineRule="auto"/>
        <w:tabs>
          <w:tab w:leader="none" w:pos="1391"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7"/>
          <w:szCs w:val="17"/>
          <w:color w:val="auto"/>
        </w:rPr>
      </w:pPr>
    </w:p>
    <w:p>
      <w:pPr>
        <w:ind w:left="1540" w:right="40" w:hanging="514"/>
        <w:spacing w:after="0" w:line="248" w:lineRule="auto"/>
        <w:tabs>
          <w:tab w:leader="none" w:pos="139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540" w:right="160" w:hanging="514"/>
        <w:spacing w:after="0" w:line="248" w:lineRule="auto"/>
        <w:tabs>
          <w:tab w:leader="none" w:pos="1391"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540" w:right="120" w:hanging="514"/>
        <w:spacing w:after="0" w:line="248" w:lineRule="auto"/>
        <w:tabs>
          <w:tab w:leader="none" w:pos="139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20" w:right="20" w:hanging="479"/>
        <w:spacing w:after="0" w:line="324" w:lineRule="auto"/>
        <w:tabs>
          <w:tab w:leader="none" w:pos="8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540" w:right="380" w:hanging="514"/>
        <w:spacing w:after="0" w:line="324" w:lineRule="auto"/>
        <w:tabs>
          <w:tab w:leader="none" w:pos="1391"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40" w:right="60" w:hanging="514"/>
        <w:spacing w:after="0" w:line="261" w:lineRule="auto"/>
        <w:tabs>
          <w:tab w:leader="none" w:pos="139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March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220"/>
        <w:spacing w:after="0" w:line="232" w:lineRule="auto"/>
        <w:rPr>
          <w:sz w:val="20"/>
          <w:szCs w:val="20"/>
          <w:color w:val="auto"/>
        </w:rPr>
      </w:pPr>
      <w:r>
        <w:rPr>
          <w:rFonts w:ascii="Arial" w:cs="Arial" w:eastAsia="Arial" w:hAnsi="Arial"/>
          <w:sz w:val="18"/>
          <w:szCs w:val="18"/>
          <w:color w:val="auto"/>
        </w:rPr>
        <w:t>Daniel MacLachlan</w:t>
      </w:r>
    </w:p>
    <w:p>
      <w:pPr>
        <w:ind w:left="722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connection with the accompanying Annual Report on Form 10-K of Red Violet, Inc. for the fiscal year ended December 31, 2021, as filed with the U.S. Securities and Exchange Commission (the “Report”), the undersigned hereby certifies pursuant to 18 U.S.C. Section 1350, as adopted pursuant to Section 906 of the Sarbanes-Oxley Act of 2002, to my knowledge and belief, that:</w:t>
      </w:r>
    </w:p>
    <w:p>
      <w:pPr>
        <w:spacing w:after="0" w:line="182" w:lineRule="exact"/>
        <w:rPr>
          <w:sz w:val="20"/>
          <w:szCs w:val="20"/>
          <w:color w:val="auto"/>
        </w:rPr>
      </w:pPr>
    </w:p>
    <w:p>
      <w:pPr>
        <w:ind w:left="900" w:hanging="359"/>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3" w:lineRule="exact"/>
        <w:rPr>
          <w:rFonts w:ascii="Arial" w:cs="Arial" w:eastAsia="Arial" w:hAnsi="Arial"/>
          <w:sz w:val="17"/>
          <w:szCs w:val="17"/>
          <w:color w:val="auto"/>
        </w:rPr>
      </w:pPr>
    </w:p>
    <w:p>
      <w:pPr>
        <w:ind w:left="1020" w:right="140" w:hanging="479"/>
        <w:spacing w:after="0" w:line="261"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Red Violet, Inc.</w:t>
      </w:r>
    </w:p>
    <w:p>
      <w:pPr>
        <w:spacing w:after="0" w:line="198"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March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220"/>
        <w:spacing w:after="0" w:line="232" w:lineRule="auto"/>
        <w:rPr>
          <w:sz w:val="20"/>
          <w:szCs w:val="20"/>
          <w:color w:val="auto"/>
        </w:rPr>
      </w:pPr>
      <w:r>
        <w:rPr>
          <w:rFonts w:ascii="Arial" w:cs="Arial" w:eastAsia="Arial" w:hAnsi="Arial"/>
          <w:sz w:val="18"/>
          <w:szCs w:val="18"/>
          <w:color w:val="auto"/>
        </w:rPr>
        <w:t>Derek Dubner</w:t>
      </w:r>
    </w:p>
    <w:p>
      <w:pPr>
        <w:ind w:left="7220"/>
        <w:spacing w:after="0" w:line="219"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(Principal Executive Officer)</w:t>
      </w:r>
    </w:p>
    <w:p>
      <w:pPr>
        <w:spacing w:after="0" w:line="250"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connection with the accompanying Annual Report on Form 10-K of Red Violet, Inc. for the fiscal year ended December 31, 2021, as filed with the U.S. Securities and Exchange Commission (the “Report”), the undersigned hereby certifies pursuant to 18 U.S.C. Section 1350, as adopted pursuant to Section 906 of the Sarbanes-Oxley Act of 2002, to my knowledge and belief, that:</w:t>
      </w:r>
    </w:p>
    <w:p>
      <w:pPr>
        <w:spacing w:after="0" w:line="182" w:lineRule="exact"/>
        <w:rPr>
          <w:sz w:val="20"/>
          <w:szCs w:val="20"/>
          <w:color w:val="auto"/>
        </w:rPr>
      </w:pPr>
    </w:p>
    <w:p>
      <w:pPr>
        <w:ind w:left="900" w:hanging="359"/>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23" w:lineRule="exact"/>
        <w:rPr>
          <w:rFonts w:ascii="Arial" w:cs="Arial" w:eastAsia="Arial" w:hAnsi="Arial"/>
          <w:sz w:val="17"/>
          <w:szCs w:val="17"/>
          <w:color w:val="auto"/>
        </w:rPr>
      </w:pPr>
    </w:p>
    <w:p>
      <w:pPr>
        <w:ind w:left="1020" w:right="140" w:hanging="479"/>
        <w:spacing w:after="0" w:line="261"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Red Violet, Inc.</w:t>
      </w:r>
    </w:p>
    <w:p>
      <w:pPr>
        <w:spacing w:after="0" w:line="198"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March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6350</wp:posOffset>
            </wp:positionV>
            <wp:extent cx="25628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220"/>
        <w:spacing w:after="0" w:line="232" w:lineRule="auto"/>
        <w:rPr>
          <w:sz w:val="20"/>
          <w:szCs w:val="20"/>
          <w:color w:val="auto"/>
        </w:rPr>
      </w:pPr>
      <w:r>
        <w:rPr>
          <w:rFonts w:ascii="Arial" w:cs="Arial" w:eastAsia="Arial" w:hAnsi="Arial"/>
          <w:sz w:val="18"/>
          <w:szCs w:val="18"/>
          <w:color w:val="auto"/>
        </w:rPr>
        <w:t>Daniel MacLachlan</w:t>
      </w:r>
    </w:p>
    <w:p>
      <w:pPr>
        <w:ind w:left="722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(Principal Financial and Accounting Officer)</w:t>
      </w:r>
    </w:p>
    <w:p>
      <w:pPr>
        <w:spacing w:after="0" w:line="23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lowerLetter"/>
      <w:start w:val="17"/>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3"/>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png"/><Relationship Id="rId262" Type="http://schemas.openxmlformats.org/officeDocument/2006/relationships/image" Target="media/image233.png"/><Relationship Id="rId263" Type="http://schemas.openxmlformats.org/officeDocument/2006/relationships/image" Target="media/image234.png"/><Relationship Id="rId264"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67"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82" Type="http://schemas.openxmlformats.org/officeDocument/2006/relationships/image" Target="media/image253.png"/><Relationship Id="rId283"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296" Type="http://schemas.openxmlformats.org/officeDocument/2006/relationships/image" Target="media/image267.png"/><Relationship Id="rId297" Type="http://schemas.openxmlformats.org/officeDocument/2006/relationships/image" Target="media/image268.png"/><Relationship Id="rId298" Type="http://schemas.openxmlformats.org/officeDocument/2006/relationships/image" Target="media/image269.png"/><Relationship Id="rId299" Type="http://schemas.openxmlformats.org/officeDocument/2006/relationships/image" Target="media/image270.png"/><Relationship Id="rId300" Type="http://schemas.openxmlformats.org/officeDocument/2006/relationships/image" Target="media/image271.png"/><Relationship Id="rId301" Type="http://schemas.openxmlformats.org/officeDocument/2006/relationships/image" Target="media/image272.png"/><Relationship Id="rId302" Type="http://schemas.openxmlformats.org/officeDocument/2006/relationships/image" Target="media/image273.png"/><Relationship Id="rId303" Type="http://schemas.openxmlformats.org/officeDocument/2006/relationships/image" Target="media/image274.png"/><Relationship Id="rId304" Type="http://schemas.openxmlformats.org/officeDocument/2006/relationships/image" Target="media/image275.png"/><Relationship Id="rId305" Type="http://schemas.openxmlformats.org/officeDocument/2006/relationships/image" Target="media/image276.png"/><Relationship Id="rId306" Type="http://schemas.openxmlformats.org/officeDocument/2006/relationships/image" Target="media/image277.png"/><Relationship Id="rId307" Type="http://schemas.openxmlformats.org/officeDocument/2006/relationships/image" Target="media/image278.png"/><Relationship Id="rId308" Type="http://schemas.openxmlformats.org/officeDocument/2006/relationships/image" Target="media/image279.png"/><Relationship Id="rId309" Type="http://schemas.openxmlformats.org/officeDocument/2006/relationships/image" Target="media/image280.png"/><Relationship Id="rId310" Type="http://schemas.openxmlformats.org/officeDocument/2006/relationships/image" Target="media/image281.png"/><Relationship Id="rId311" Type="http://schemas.openxmlformats.org/officeDocument/2006/relationships/image" Target="media/image282.png"/><Relationship Id="rId312" Type="http://schemas.openxmlformats.org/officeDocument/2006/relationships/image" Target="media/image283.png"/><Relationship Id="rId313" Type="http://schemas.openxmlformats.org/officeDocument/2006/relationships/image" Target="media/image284.png"/><Relationship Id="rId314" Type="http://schemas.openxmlformats.org/officeDocument/2006/relationships/image" Target="media/image285.png"/><Relationship Id="rId315" Type="http://schemas.openxmlformats.org/officeDocument/2006/relationships/image" Target="media/image286.png"/><Relationship Id="rId316" Type="http://schemas.openxmlformats.org/officeDocument/2006/relationships/image" Target="media/image287.png"/><Relationship Id="rId317" Type="http://schemas.openxmlformats.org/officeDocument/2006/relationships/image" Target="media/image288.png"/><Relationship Id="rId318" Type="http://schemas.openxmlformats.org/officeDocument/2006/relationships/image" Target="media/image289.png"/><Relationship Id="rId319" Type="http://schemas.openxmlformats.org/officeDocument/2006/relationships/image" Target="media/image290.png"/><Relationship Id="rId320" Type="http://schemas.openxmlformats.org/officeDocument/2006/relationships/image" Target="media/image291.png"/><Relationship Id="rId321" Type="http://schemas.openxmlformats.org/officeDocument/2006/relationships/image" Target="media/image292.png"/><Relationship Id="rId322" Type="http://schemas.openxmlformats.org/officeDocument/2006/relationships/image" Target="media/image293.png"/><Relationship Id="rId323" Type="http://schemas.openxmlformats.org/officeDocument/2006/relationships/image" Target="media/image294.png"/><Relationship Id="rId324" Type="http://schemas.openxmlformats.org/officeDocument/2006/relationships/image" Target="media/image295.png"/><Relationship Id="rId325" Type="http://schemas.openxmlformats.org/officeDocument/2006/relationships/image" Target="media/image296.png"/><Relationship Id="rId326" Type="http://schemas.openxmlformats.org/officeDocument/2006/relationships/image" Target="media/image297.png"/><Relationship Id="rId327" Type="http://schemas.openxmlformats.org/officeDocument/2006/relationships/image" Target="media/image298.png"/><Relationship Id="rId328" Type="http://schemas.openxmlformats.org/officeDocument/2006/relationships/image" Target="media/image299.png"/><Relationship Id="rId329" Type="http://schemas.openxmlformats.org/officeDocument/2006/relationships/image" Target="media/image300.png"/><Relationship Id="rId330" Type="http://schemas.openxmlformats.org/officeDocument/2006/relationships/image" Target="media/image301.png"/><Relationship Id="rId331" Type="http://schemas.openxmlformats.org/officeDocument/2006/relationships/image" Target="media/image302.png"/><Relationship Id="rId332" Type="http://schemas.openxmlformats.org/officeDocument/2006/relationships/image" Target="media/image303.png"/><Relationship Id="rId333" Type="http://schemas.openxmlformats.org/officeDocument/2006/relationships/image" Target="media/image304.png"/><Relationship Id="rId334" Type="http://schemas.openxmlformats.org/officeDocument/2006/relationships/image" Target="media/image305.png"/><Relationship Id="rId335" Type="http://schemas.openxmlformats.org/officeDocument/2006/relationships/image" Target="media/image306.png"/><Relationship Id="rId336"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339" Type="http://schemas.openxmlformats.org/officeDocument/2006/relationships/image" Target="media/image310.png"/><Relationship Id="rId340" Type="http://schemas.openxmlformats.org/officeDocument/2006/relationships/image" Target="media/image311.png"/><Relationship Id="rId341" Type="http://schemas.openxmlformats.org/officeDocument/2006/relationships/image" Target="media/image312.png"/><Relationship Id="rId342" Type="http://schemas.openxmlformats.org/officeDocument/2006/relationships/image" Target="media/image313.png"/><Relationship Id="rId343" Type="http://schemas.openxmlformats.org/officeDocument/2006/relationships/image" Target="media/image314.png"/><Relationship Id="rId344" Type="http://schemas.openxmlformats.org/officeDocument/2006/relationships/image" Target="media/image315.png"/><Relationship Id="rId345" Type="http://schemas.openxmlformats.org/officeDocument/2006/relationships/image" Target="media/image316.png"/><Relationship Id="rId346" Type="http://schemas.openxmlformats.org/officeDocument/2006/relationships/image" Target="media/image317.png"/><Relationship Id="rId347" Type="http://schemas.openxmlformats.org/officeDocument/2006/relationships/image" Target="media/image318.png"/><Relationship Id="rId348" Type="http://schemas.openxmlformats.org/officeDocument/2006/relationships/image" Target="media/image319.png"/><Relationship Id="rId349" Type="http://schemas.openxmlformats.org/officeDocument/2006/relationships/image" Target="media/image320.png"/><Relationship Id="rId350" Type="http://schemas.openxmlformats.org/officeDocument/2006/relationships/image" Target="media/image321.png"/><Relationship Id="rId351" Type="http://schemas.openxmlformats.org/officeDocument/2006/relationships/image" Target="media/image322.png"/><Relationship Id="rId352" Type="http://schemas.openxmlformats.org/officeDocument/2006/relationships/image" Target="media/image323.png"/><Relationship Id="rId353" Type="http://schemas.openxmlformats.org/officeDocument/2006/relationships/image" Target="media/image324.png"/><Relationship Id="rId354" Type="http://schemas.openxmlformats.org/officeDocument/2006/relationships/image" Target="media/image325.png"/><Relationship Id="rId355" Type="http://schemas.openxmlformats.org/officeDocument/2006/relationships/image" Target="media/image326.png"/><Relationship Id="rId356"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366" Type="http://schemas.openxmlformats.org/officeDocument/2006/relationships/image" Target="media/image337.png"/><Relationship Id="rId367"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383" Type="http://schemas.openxmlformats.org/officeDocument/2006/relationships/image" Target="media/image354.png"/><Relationship Id="rId208" Type="http://schemas.openxmlformats.org/officeDocument/2006/relationships/hyperlink" Target="https://www.sec.gov/Archives/edgar/data/1720116/000119312518062230/d528710dex21.htm" TargetMode="External"/><Relationship Id="rId209" Type="http://schemas.openxmlformats.org/officeDocument/2006/relationships/hyperlink" Target="https://www.sec.gov/Archives/edgar/data/1720116/000119312518097860/d559011dex31.htm" TargetMode="External"/><Relationship Id="rId210" Type="http://schemas.openxmlformats.org/officeDocument/2006/relationships/hyperlink" Target="https://www.sec.gov/Archives/edgar/data/1720116/000119312518097860/d559011dex32.htm" TargetMode="External"/><Relationship Id="rId211" Type="http://schemas.openxmlformats.org/officeDocument/2006/relationships/hyperlink" Target="https://www.sec.gov/Archives/edgar/data/0001720116/000156459020010508/rdvt-ex41_144.htm" TargetMode="External"/><Relationship Id="rId212" Type="http://schemas.openxmlformats.org/officeDocument/2006/relationships/hyperlink" Target="https://www.sec.gov/Archives/edgar/data/1720116/000119312518062230/d528710dex102.htm" TargetMode="External"/><Relationship Id="rId213" Type="http://schemas.openxmlformats.org/officeDocument/2006/relationships/hyperlink" Target="https://www.sec.gov/Archives/edgar/data/1720116/000119312518097860/d559011dex102.htm" TargetMode="External"/><Relationship Id="rId214" Type="http://schemas.openxmlformats.org/officeDocument/2006/relationships/hyperlink" Target="https://www.sec.gov/Archives/edgar/data/1720116/000119312518097860/d559011dex103.htm" TargetMode="External"/><Relationship Id="rId215" Type="http://schemas.openxmlformats.org/officeDocument/2006/relationships/hyperlink" Target="https://www.sec.gov/Archives/edgar/data/1720116/000119312518097860/d559011dex104.htm" TargetMode="External"/><Relationship Id="rId216" Type="http://schemas.openxmlformats.org/officeDocument/2006/relationships/hyperlink" Target="https://www.sec.gov/Archives/edgar/data/1720116/000119312518097860/d559011dex105.htm" TargetMode="External"/><Relationship Id="rId217" Type="http://schemas.openxmlformats.org/officeDocument/2006/relationships/hyperlink" Target="https://www.sec.gov/Archives/edgar/data/1720116/000119312518097860/d559011dex106.htm" TargetMode="External"/><Relationship Id="rId218" Type="http://schemas.openxmlformats.org/officeDocument/2006/relationships/hyperlink" Target="https://www.sec.gov/Archives/edgar/data/1720116/000156459018020212/rdvt-ex101_136.htm" TargetMode="External"/><Relationship Id="rId219" Type="http://schemas.openxmlformats.org/officeDocument/2006/relationships/hyperlink" Target="https://www.sec.gov/Archives/edgar/data/1720116/000156459018028035/rdvt-ex102_85.htm" TargetMode="External"/><Relationship Id="rId220" Type="http://schemas.openxmlformats.org/officeDocument/2006/relationships/hyperlink" Target="https://www.sec.gov/Archives/edgar/data/1720116/000156459019028779/rdvt-ex101_12.htm" TargetMode="External"/><Relationship Id="rId221" Type="http://schemas.openxmlformats.org/officeDocument/2006/relationships/hyperlink" Target="https://www.sec.gov/Archives/edgar/data/1720116/000156459020010508/rdvt-ex1013_193.htm" TargetMode="External"/><Relationship Id="rId222" Type="http://schemas.openxmlformats.org/officeDocument/2006/relationships/hyperlink" Target="https://www.sec.gov/Archives/edgar/data/1720116/000156459020024367/rdvt-ex101_312.htm" TargetMode="External"/><Relationship Id="rId223" Type="http://schemas.openxmlformats.org/officeDocument/2006/relationships/hyperlink" Target="https://www.sec.gov/Archives/edgar/data/1720116/000156459020028399/rdvt-ex101_6.htm" TargetMode="External"/><Relationship Id="rId224" Type="http://schemas.openxmlformats.org/officeDocument/2006/relationships/hyperlink" Target="https://www.sec.gov/Archives/edgar/data/1720116/000156459021006204/rdvt-ex101_6.htm" TargetMode="External"/><Relationship Id="rId225" Type="http://schemas.openxmlformats.org/officeDocument/2006/relationships/hyperlink" Target="https://www.sec.gov/Archives/edgar/data/0001720116/000156459021012098/rdvt-ex1015_19.htm" TargetMode="External"/><Relationship Id="rId226" Type="http://schemas.openxmlformats.org/officeDocument/2006/relationships/hyperlink" Target="https://www.sec.gov/Archives/edgar/data/0001720116/000156459021012098/rdvt-ex1016_18.htm" TargetMode="External"/><Relationship Id="rId227" Type="http://schemas.openxmlformats.org/officeDocument/2006/relationships/hyperlink" Target="https://www.sec.gov/Archives/edgar/data/0001720116/000156459021012098/rdvt-ex1017_16.htm" TargetMode="External"/><Relationship Id="rId228" Type="http://schemas.openxmlformats.org/officeDocument/2006/relationships/hyperlink" Target="https://www.sec.gov/Archives/edgar/data/0001720116/000156459021012098/rdvt-ex1018_17.htm" TargetMode="External"/><Relationship Id="rId229" Type="http://schemas.openxmlformats.org/officeDocument/2006/relationships/hyperlink" Target="https://www.sec.gov/Archives/edgar/data/0001720116/000095017021004778/rdv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2022-03-09T16:07:27Z</dcterms:created>
  <dcterms:modified xsi:type="dcterms:W3CDTF">2022-03-09T16:07:27Z</dcterms:modified>
</cp:coreProperties>
</file>