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72"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2"/>
          </w:tcPr>
          <w:p>
            <w:pPr>
              <w:ind w:left="780"/>
              <w:spacing w:after="0"/>
              <w:rPr>
                <w:sz w:val="20"/>
                <w:szCs w:val="20"/>
                <w:color w:val="auto"/>
              </w:rPr>
            </w:pPr>
            <w:r>
              <w:rPr>
                <w:rFonts w:ascii="Arial" w:cs="Arial" w:eastAsia="Arial" w:hAnsi="Arial"/>
                <w:sz w:val="18"/>
                <w:szCs w:val="18"/>
                <w:b w:val="1"/>
                <w:bCs w:val="1"/>
                <w:color w:val="auto"/>
                <w:w w:val="8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RED VIOLET,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82" w:lineRule="exact"/>
        <w:rPr>
          <w:sz w:val="24"/>
          <w:szCs w:val="24"/>
          <w:color w:val="auto"/>
        </w:rPr>
      </w:pPr>
    </w:p>
    <w:p>
      <w:pPr>
        <w:sectPr>
          <w:pgSz w:w="11900" w:h="16838" w:orient="portrait"/>
          <w:cols w:equalWidth="0" w:num="2">
            <w:col w:w="7340" w:space="720"/>
            <w:col w:w="3060"/>
          </w:cols>
          <w:pgMar w:left="320" w:top="373" w:right="45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98" w:lineRule="exact"/>
        <w:rPr>
          <w:sz w:val="24"/>
          <w:szCs w:val="24"/>
          <w:color w:val="auto"/>
        </w:rPr>
      </w:pPr>
    </w:p>
    <w:p>
      <w:pPr>
        <w:sectPr>
          <w:pgSz w:w="11900" w:h="16838" w:orient="portrait"/>
          <w:cols w:equalWidth="0" w:num="2">
            <w:col w:w="6680" w:space="720"/>
            <w:col w:w="3720"/>
          </w:cols>
          <w:pgMar w:left="320" w:top="373"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(561) 757-4000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56515</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2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3"/>
                <w:szCs w:val="13"/>
                <w:color w:val="auto"/>
              </w:rPr>
              <w:t>Name of each exchange on which registered</w:t>
            </w:r>
          </w:p>
        </w:tc>
      </w:tr>
      <w:tr>
        <w:trPr>
          <w:trHeight w:val="196"/>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2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The NASDAQ Stock Market LLC</w:t>
            </w:r>
          </w:p>
        </w:tc>
      </w:tr>
    </w:tbl>
    <w:p>
      <w:pPr>
        <w:spacing w:after="0" w:line="94"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2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4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7, 2021, the registrant had 12,241,752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4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440" w:type="dxa"/>
            <w:vAlign w:val="bottom"/>
            <w:gridSpan w:val="20"/>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and December 31, 2020</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2021 and 2020</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shareholders' equity for the three months ended March 31, 2021 and 2020</w:t>
              </w:r>
            </w:hyperlink>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3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three months ended March 31, 2021 and 2020</w:t>
              </w:r>
            </w:hyperlink>
          </w:p>
        </w:tc>
        <w:tc>
          <w:tcPr>
            <w:tcW w:w="1980" w:type="dxa"/>
            <w:vAlign w:val="bottom"/>
            <w:gridSpan w:val="2"/>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5560" w:type="dxa"/>
            <w:vAlign w:val="bottom"/>
            <w:gridSpan w:val="8"/>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0"/>
                <w:szCs w:val="20"/>
                <w:color w:val="auto"/>
              </w:rPr>
            </w:pPr>
          </w:p>
        </w:tc>
        <w:tc>
          <w:tcPr>
            <w:tcW w:w="63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Management's Discussion and Analysis of Financial Condition and Results of Operations</w:t>
              </w:r>
            </w:hyperlink>
          </w:p>
        </w:tc>
        <w:tc>
          <w:tcPr>
            <w:tcW w:w="2960" w:type="dxa"/>
            <w:vAlign w:val="bottom"/>
            <w:gridSpan w:val="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0"/>
                <w:szCs w:val="20"/>
                <w:color w:val="auto"/>
              </w:rPr>
            </w:pPr>
          </w:p>
        </w:tc>
        <w:tc>
          <w:tcPr>
            <w:tcW w:w="43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Quantitative and Qualitative Disclosures About Market Risk</w:t>
              </w:r>
            </w:hyperlink>
          </w:p>
        </w:tc>
        <w:tc>
          <w:tcPr>
            <w:tcW w:w="5040" w:type="dxa"/>
            <w:vAlign w:val="bottom"/>
            <w:gridSpan w:val="6"/>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20"/>
                <w:szCs w:val="20"/>
                <w:color w:val="auto"/>
              </w:rPr>
            </w:pPr>
          </w:p>
        </w:tc>
        <w:tc>
          <w:tcPr>
            <w:tcW w:w="93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PART II - OTHER INFORMATION</w:t>
              </w:r>
            </w:hyperlink>
          </w:p>
        </w:tc>
        <w:tc>
          <w:tcPr>
            <w:tcW w:w="78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4"/>
                <w:szCs w:val="24"/>
                <w:color w:val="auto"/>
              </w:rPr>
            </w:pPr>
          </w:p>
        </w:tc>
        <w:tc>
          <w:tcPr>
            <w:tcW w:w="93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260" w:type="dxa"/>
            <w:vAlign w:val="bottom"/>
          </w:tcPr>
          <w:p>
            <w:pPr>
              <w:spacing w:after="0"/>
              <w:rPr>
                <w:sz w:val="20"/>
                <w:szCs w:val="20"/>
                <w:color w:val="auto"/>
              </w:rPr>
            </w:pP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2">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0"/>
                <w:szCs w:val="20"/>
                <w:color w:val="auto"/>
              </w:rPr>
            </w:pPr>
          </w:p>
        </w:tc>
        <w:tc>
          <w:tcPr>
            <w:tcW w:w="8080" w:type="dxa"/>
            <w:vAlign w:val="bottom"/>
            <w:gridSpan w:val="1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0"/>
                <w:szCs w:val="20"/>
                <w:color w:val="auto"/>
              </w:rPr>
            </w:pPr>
          </w:p>
        </w:tc>
        <w:tc>
          <w:tcPr>
            <w:tcW w:w="93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0"/>
                <w:szCs w:val="20"/>
                <w:color w:val="auto"/>
              </w:rPr>
            </w:pPr>
          </w:p>
        </w:tc>
        <w:tc>
          <w:tcPr>
            <w:tcW w:w="2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3"/>
          </w:tcPr>
          <w:p>
            <w:pPr>
              <w:spacing w:after="0"/>
              <w:rPr>
                <w:sz w:val="20"/>
                <w:szCs w:val="20"/>
                <w:color w:val="auto"/>
              </w:rPr>
            </w:pPr>
          </w:p>
        </w:tc>
        <w:tc>
          <w:tcPr>
            <w:tcW w:w="5060" w:type="dxa"/>
            <w:vAlign w:val="bottom"/>
            <w:gridSpan w:val="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20"/>
                <w:szCs w:val="20"/>
                <w:color w:val="auto"/>
              </w:rPr>
            </w:pPr>
          </w:p>
        </w:tc>
        <w:tc>
          <w:tcPr>
            <w:tcW w:w="93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260" w:type="dxa"/>
            <w:vAlign w:val="bottom"/>
          </w:tcPr>
          <w:p>
            <w:pPr>
              <w:spacing w:after="0"/>
              <w:rPr>
                <w:sz w:val="20"/>
                <w:szCs w:val="20"/>
                <w:color w:val="auto"/>
              </w:rPr>
            </w:pPr>
          </w:p>
        </w:tc>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640" w:type="dxa"/>
            <w:vAlign w:val="bottom"/>
            <w:gridSpan w:val="12"/>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260" w:type="dxa"/>
            <w:vAlign w:val="bottom"/>
          </w:tcPr>
          <w:p>
            <w:pPr>
              <w:spacing w:after="0"/>
              <w:rPr>
                <w:sz w:val="20"/>
                <w:szCs w:val="20"/>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3">
              <w:r>
                <w:rPr>
                  <w:rFonts w:ascii="Arial" w:cs="Arial" w:eastAsia="Arial" w:hAnsi="Arial"/>
                  <w:sz w:val="18"/>
                  <w:szCs w:val="18"/>
                  <w:color w:val="0000EE"/>
                  <w:w w:val="82"/>
                </w:rPr>
                <w:t>Exhibits</w:t>
              </w:r>
            </w:hyperlink>
          </w:p>
        </w:tc>
        <w:tc>
          <w:tcPr>
            <w:tcW w:w="700" w:type="dxa"/>
            <w:vAlign w:val="bottom"/>
            <w:tcBorders>
              <w:top w:val="single" w:sz="8" w:color="0000EE"/>
            </w:tcBorders>
            <w:gridSpan w:val="2"/>
          </w:tcPr>
          <w:p>
            <w:pPr>
              <w:spacing w:after="0"/>
              <w:rPr>
                <w:sz w:val="20"/>
                <w:szCs w:val="20"/>
                <w:color w:val="auto"/>
              </w:rPr>
            </w:pPr>
          </w:p>
        </w:tc>
        <w:tc>
          <w:tcPr>
            <w:tcW w:w="8100" w:type="dxa"/>
            <w:vAlign w:val="bottom"/>
            <w:gridSpan w:val="15"/>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1"/>
        </w:trPr>
        <w:tc>
          <w:tcPr>
            <w:tcW w:w="104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68"/>
        </w:trPr>
        <w:tc>
          <w:tcPr>
            <w:tcW w:w="8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100" w:type="dxa"/>
            <w:vAlign w:val="bottom"/>
            <w:gridSpan w:val="13"/>
          </w:tcPr>
          <w:p>
            <w:pPr>
              <w:jc w:val="right"/>
              <w:ind w:right="15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$5 and $38</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March 31, 2021 and December 31, 2020, respectively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0"/>
                <w:szCs w:val="20"/>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16,739</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27,170</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52,950</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March 31, 2021 and December 31, 2020</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12,208,077 and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12,167,327 shares issued and outstanding, as of March 31, 2021 and December 31, 2020</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68,402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(23,251)</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(22,673)</w:t>
            </w:r>
          </w:p>
        </w:tc>
      </w:tr>
      <w:tr>
        <w:trPr>
          <w:trHeight w:val="223"/>
        </w:trPr>
        <w:tc>
          <w:tcPr>
            <w:tcW w:w="7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52,950</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7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75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FF0FC"/>
            </w:tcBorders>
          </w:tcPr>
          <w:p>
            <w:pPr>
              <w:spacing w:after="0"/>
              <w:rPr>
                <w:sz w:val="22"/>
                <w:szCs w:val="22"/>
                <w:color w:val="auto"/>
              </w:rPr>
            </w:pPr>
          </w:p>
        </w:tc>
      </w:tr>
      <w:tr>
        <w:trPr>
          <w:trHeight w:val="210"/>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754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r>
        <w:trPr>
          <w:trHeight w:val="210"/>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11,583,214</w:t>
            </w:r>
          </w:p>
        </w:tc>
        <w:tc>
          <w:tcPr>
            <w:tcW w:w="12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right"/>
              <w:ind w:right="32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11,657,912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35,250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11,693,162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12,167,327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(22,673)</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40,750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12,208,077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(23,251</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7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(578)</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(392)</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(1,293)</w:t>
            </w:r>
          </w:p>
        </w:tc>
        <w:tc>
          <w:tcPr>
            <w:tcW w:w="2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12,896</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11,454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Red Violet, Inc. (“red violet” or the “Company”), a Delaware corporation, have been prepared in accordance with accounting principles generally accepted in the United States (“GAAP”) and applicable rules and regulations of the Securities and Exchange Commission regarding interim financial reporting. Certain information and note disclosures normally included in annual financial statements prepared in accordance with GAAP have been condensed or omitted pursuant to those rules and regulations.</w:t>
      </w:r>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2021.</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2020 (“Form 10-K”).</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included in the Form 10-K, but does not include all disclosures required by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4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August 2018, the Financial Accounting Standard Board (the “FASB”) issued Accounting Standard Updates (“ASU”) No. 2018-15 (“ASU 2018-15”),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which requires an entity (customer) in a hosting arrangement that is a service contract to follow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is effective for the Company for annual reporting periods beginning after December 15, 2020, on a retrospective or prospective basis. The Company adopted it on January 1, 2021 on a prospective basis and this guidance had no material impact on the Company’s condensed consolidated financial statements and related disclosures.</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December 2019, the FASB issued ASU No. 2019-12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is intended to improve consistent application and simplify the accounting for income taxes. This ASU removes certain exceptions to the general principals in Topic 740 and clarifies and amends existing guidance. This standard is effective for the Company for annual reporting periods beginning after December 15, 2020. The Company adopted it on January 1, 2021 and this guidance had no material impact on the Company’s condensed consolidated financial statements and related disclosures.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Loss per share</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5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(578)</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12,207,193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11,583,214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total of 1,686,499 and 2,185,577 unvested restricted stock units (“RSUs”) have been excluded from the diluted loss per share for the three months ended March 31, 2021 and 2020, respectively, as the impact is anti-dilutive.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4"/>
                <w:szCs w:val="14"/>
                <w:b w:val="1"/>
                <w:bCs w:val="1"/>
                <w:color w:val="auto"/>
                <w:w w:val="96"/>
              </w:rPr>
              <w:t>March 31, 2021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127"/>
              <w:spacing w:after="0"/>
              <w:rPr>
                <w:sz w:val="20"/>
                <w:szCs w:val="20"/>
                <w:color w:val="auto"/>
              </w:rPr>
            </w:pPr>
            <w:r>
              <w:rPr>
                <w:rFonts w:ascii="Arial" w:cs="Arial" w:eastAsia="Arial" w:hAnsi="Arial"/>
                <w:sz w:val="14"/>
                <w:szCs w:val="14"/>
                <w:b w:val="1"/>
                <w:bCs w:val="1"/>
                <w:color w:val="auto"/>
                <w:w w:val="91"/>
              </w:rPr>
              <w:t>December 31, 2020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00" w:type="dxa"/>
            <w:vAlign w:val="bottom"/>
            <w:gridSpan w:val="3"/>
          </w:tcPr>
          <w:p>
            <w:pPr>
              <w:jc w:val="center"/>
              <w:ind w:right="33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20" w:type="dxa"/>
            <w:vAlign w:val="bottom"/>
            <w:gridSpan w:val="4"/>
          </w:tcPr>
          <w:p>
            <w:pPr>
              <w:jc w:val="center"/>
              <w:ind w:right="367"/>
              <w:spacing w:after="0" w:line="133" w:lineRule="exact"/>
              <w:rPr>
                <w:sz w:val="20"/>
                <w:szCs w:val="20"/>
                <w:color w:val="auto"/>
              </w:rPr>
            </w:pPr>
            <w:r>
              <w:rPr>
                <w:rFonts w:ascii="Arial" w:cs="Arial" w:eastAsia="Arial" w:hAnsi="Arial"/>
                <w:sz w:val="14"/>
                <w:szCs w:val="14"/>
                <w:b w:val="1"/>
                <w:bCs w:val="1"/>
                <w:color w:val="auto"/>
                <w:w w:val="90"/>
              </w:rPr>
              <w:t>Accumulated</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74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30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Amortization</w:t>
            </w: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320" w:type="dxa"/>
            <w:vAlign w:val="bottom"/>
            <w:gridSpan w:val="4"/>
          </w:tcPr>
          <w:p>
            <w:pPr>
              <w:jc w:val="center"/>
              <w:ind w:right="367"/>
              <w:spacing w:after="0"/>
              <w:rPr>
                <w:sz w:val="20"/>
                <w:szCs w:val="20"/>
                <w:color w:val="auto"/>
              </w:rPr>
            </w:pPr>
            <w:r>
              <w:rPr>
                <w:rFonts w:ascii="Arial" w:cs="Arial" w:eastAsia="Arial" w:hAnsi="Arial"/>
                <w:sz w:val="14"/>
                <w:szCs w:val="14"/>
                <w:b w:val="1"/>
                <w:bCs w:val="1"/>
                <w:color w:val="auto"/>
                <w:w w:val="98"/>
              </w:rPr>
              <w:t>Amortization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   (10,834</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(9,634</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Amortization expenses of $1,203 and $850 were included in depreciation and amortization expense for the three months ended March 31, 2021 and 2020, respectively. As of March 31, 2021, intangible assets of $2,974, included in the gross amounts of software developed for internal use, have not started amortization, as they are not ready for their intended use.</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$1,598 and $2,126 during the three months ended March 31, 2021 and 2020,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estimated amortization expense related to the Company’s intangible assets for the remainder of 2021 through 2026 and thereafter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5,425</w:t>
            </w:r>
          </w:p>
        </w:tc>
        <w:tc>
          <w:tcPr>
            <w:tcW w:w="120" w:type="dxa"/>
            <w:vAlign w:val="bottom"/>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w:t>
            </w:r>
          </w:p>
        </w:tc>
        <w:tc>
          <w:tcPr>
            <w:tcW w:w="120" w:type="dxa"/>
            <w:vAlign w:val="bottom"/>
            <w:shd w:val="clear" w:color="auto" w:fill="CFF0FC"/>
          </w:tcPr>
          <w:p>
            <w:pPr>
              <w:spacing w:after="0"/>
              <w:rPr>
                <w:sz w:val="19"/>
                <w:szCs w:val="19"/>
                <w:color w:val="auto"/>
              </w:rPr>
            </w:pPr>
          </w:p>
        </w:tc>
      </w:tr>
      <w:tr>
        <w:trPr>
          <w:trHeight w:val="229"/>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March 31, 2021 and December 31, 2020, the balance of goodwill of $5,227 was as a result of the acquisition of Interactive Data, LLC, a wholly-owned subsidiary of red violet, effective on October 2,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ended March 31, 2021 and 2020, no goodwill impairment charges were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8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 xml:space="preserve">The Company recognized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4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17"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For the three months ended March 31, 2021 and 2020, 80% and 69% of total revenue was attributable to customers with pricing contracts, respectively, versus 20% and 31% attributable to transactional customers, respectively. Pricing contracts are generally annual contracts or longer, with auto renewal.</w:t>
      </w:r>
    </w:p>
    <w:p>
      <w:pPr>
        <w:spacing w:after="0" w:line="97"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 customer pays consideration before the Company transfers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March 31, 2021 and December 31, 2020, the balance of deferred revenue was $453 and $504, respectively, all of which is expected to be realized in the next 12 months. In relation to the deferred revenue balance as of December 31, 2020, $252 was recognized into revenue during the three months ended March 31, 2021.</w:t>
      </w:r>
    </w:p>
    <w:p>
      <w:pPr>
        <w:spacing w:after="0" w:line="16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of March 31, 2021, $3,164 of revenue is expected to be recognized in the future for outstanding performance obligations, primarily related to pricing contracts that have a term of more than 12 months. $2,128 of revenue will be recognized in the remainder of 2021, $957 in 2022, $70 in 2023, and $9 in 2024.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43" w:lineRule="exact"/>
        <w:rPr>
          <w:sz w:val="20"/>
          <w:szCs w:val="20"/>
          <w:color w:val="auto"/>
        </w:rPr>
      </w:pPr>
    </w:p>
    <w:p>
      <w:pPr>
        <w:ind w:right="22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2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three months ended March 31, 2021 and 2020, the Company’s effective income tax rate was 0%, differing from the statutory federal income tax rate of 21%, and the difference is primarily the result of the full valuation allowance applied against the Company’s deferred tax assets.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ind w:right="22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2017 remain open for tax examinations.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March 31, 2021 and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0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of March 31, 2021 and December 31, 2020, the number of issued and outstanding shares of common stock was 12,208,077 and 12,167,327, respectively. The change in the number of issued and outstanding shares of common stock was due to an aggregate of 40,750 shares of common stock issued as a result of the vesting of RSUs.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8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w:t>
      </w:r>
    </w:p>
    <w:p>
      <w:pPr>
        <w:spacing w:after="0" w:line="149"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1,270,415 shares of common stock available for future issuance under the 2018 Plan, as amended.</w:t>
      </w:r>
    </w:p>
    <w:p>
      <w:pPr>
        <w:spacing w:after="0" w:line="18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three months ended March 31, 2021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2020</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1,764,450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Vested and delivered</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(40,750)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Vested not delivered</w:t>
            </w:r>
            <w:r>
              <w:rPr>
                <w:rFonts w:ascii="Arial" w:cs="Arial" w:eastAsia="Arial" w:hAnsi="Arial"/>
                <w:sz w:val="15"/>
                <w:szCs w:val="15"/>
                <w:color w:val="auto"/>
              </w:rPr>
              <w:t>(1)</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(37,201)</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Unvested as of March 31, 2021</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1,686,499</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80" w:right="160" w:hanging="372"/>
        <w:spacing w:after="0" w:line="269"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period from August 29, 2019 to September 8, 2020, the Company granted an aggregate of 277,500 RSUs to its employees. Such RSU grants shall not vest unless and until the Company has, for any fiscal quarter in which the RSUs are outstanding, (i) gross revenue determined in accordance with the Company’s reviewed or audited financial statements in excess of $10.0 million for such fiscal quarter, (ii) positive adjusted EBITDA of at least $1.5 million, as determined based on amounts derived from the Company’s reviewed or audited financial statements for such fiscal quarter, and (iii) the recipient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performance criteria have not been met. As of the respective grant dates, the Company determined that it was probable that the performance criteria would be met and therefore, began to record the related amortization expense on the grant dates. As of March 31, 2021, the Company determined that the performance criteria were met, and 33,200 shares were included in “Vested not delivered” in the table above. The remaining shares underlying such awards are expected to vest and be issued in accordance with their time-based vesting requirement.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ind w:right="300"/>
        <w:spacing w:after="0" w:line="277" w:lineRule="auto"/>
        <w:rPr>
          <w:sz w:val="20"/>
          <w:szCs w:val="20"/>
          <w:color w:val="auto"/>
        </w:rPr>
      </w:pPr>
      <w:r>
        <w:rPr>
          <w:rFonts w:ascii="Arial" w:cs="Arial" w:eastAsia="Arial" w:hAnsi="Arial"/>
          <w:sz w:val="18"/>
          <w:szCs w:val="18"/>
          <w:color w:val="auto"/>
        </w:rPr>
        <w:t>As of March 31, 2021, unrecognized share-based compensation expense associated with the granted RSUs amounted to $9,446, which is expected to be recognized over a remaining weighted average period of 2.3 years.</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Share-based compensation was allocated to the following accounts in the condensed consolidated financial statements for the three months ended March 31,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vMerge w:val="continue"/>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23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23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23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23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August 7, 2018, the Company entered into a services agreement with Mr. Michael Brauser (the “Consultant”), a greater than 10% stockholder, pursuant to which, the Consultant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Under the Services Agreement, the Consultant receives cash compensation of $30 per month and is entitled to participate in the Company’s incentive compensation plan.</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February 16, 2021, the Company entered into a Separation Agreement (the "Separation Agreement") with the Consultant. Pursuant to the Separation Agreement, the parties have agreed that the Services Agreement expiring on August 6, 2021 (“Expiration Date”), will not be renewed, but will continue in force and effect until the Expiration Date and that the Consultant will not take any actions on behalf of the Company, including pursuant to the Services Agreement, unless specifically requested in writing by the Company. Pursuant to the Separation Agreement, the Consultant also agreed (i) to certain non-solicitation obligations contained therein, (ii) that he and his affiliates will not disparage or assist or cooperate with any person or entity seeking to publicly disparage or economically harm the Company, and (iii) that the Consultant and his affiliates will not initiate any lawsuit, claim, or proceeding with respect to any claims against the Company, except (with designated exceptions) for any legal proceeding initiated solely to remedy a breach of or to enforce the Separation Agreement.</w:t>
      </w:r>
    </w:p>
    <w:p>
      <w:pPr>
        <w:spacing w:after="0" w:line="15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With respect to each annual or special meeting of the Company's stockholders until the Expiration Date of the Separation Agreement, the Consultant has agreed to vote the shares of the Company's common stock or any other securities entitled to vote then held by him or his affiliates in accordance with the board of directors' recommendations on director proposals, provided there is a change in no more than 25% of the current directors (not including changes resulting from a director's death or resignation), and the ratification of the appointment of the Company’s independent registered public accounting firm.</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agreed (i) that the remaining unvested 166,666 RSUs previously granted to Consultant in accordance with the 2018 RSU Agreement will continue to vest on July 1, 2021, in accordance with and subject to all other provisions and conditions of such grant, (ii) to amend the 2020 RSU Agreement, previously granting Consultant 30,000 RSUs such that the 30,000 RSUs will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expects to recognize an aggregate of $723 in share-based compensation expense over the remaining service period which ends on the Expiration Date.</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recognized consulting service fees relating to the Services Agreement of a total of $90 during the three months ended March 31, 2021 and 2020. In addition, amortization of share-based compensation expense of $548 and $339 for the three months ended March 31, 2021 and 2020, respectively, was recognized in relation to the RSUs previously granted to the Consultant.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Long-term loan</w:t>
      </w:r>
    </w:p>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May 5, 2020, the Company received funding under a promissory note dated May 5, 2020 (the “Promissory Note”) evidencing an unsecured non-recourse loan in the principal amount of $2,152 under the Coronavirus Aid, Relief, and Economic Security Act (“CARES Act”) (the “Loan”). The Loan to the Company was made through Legacy Bank of Florida (the “Lender”).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Long-term loan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454"/>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9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Included in consolidated balance sheet: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loan</w:t>
            </w:r>
          </w:p>
        </w:tc>
        <w:tc>
          <w:tcPr>
            <w:tcW w:w="22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6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loan (non-current)</w:t>
            </w:r>
          </w:p>
        </w:tc>
        <w:tc>
          <w:tcPr>
            <w:tcW w:w="1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Loan has a two-year term and matures on May 5, 2022. The interest rate on the Loan is 1.0% per annum. Pursuant to the Promissory Note, payments shall be deferred for the first six months of the term of the Loan, followed by 18 approximately equal monthly installments of principal and interest. The Promissory Note contains customary events of default relating to, among other things, payment defaults, and breach of representations and warranties, or other provisions of the Promissory Note. As a result of the passage of the Paycheck Protection Program Flexibility Act of 2020 on June 5, 2020, the U.S. Small Business Administration (“SBA”), provided updated guidance that payments can be deferred until the loan forgiveness is determined, or if the Company does not apply for forgiveness, then 10 months after the Covered Period (as defined below) ends.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may be forgiven partially or fully if the Loan proceeds are used for covered payroll, rent and utility costs incurred during the 24-week period that commenced on the date of funding (the “Covered Period”), and if at least 60% of the proceeds are used for covered payroll costs. Any forgiveness of the Loan will be subject to approval by the SBA and the Lender. The Company applied for forgiveness of the Loan in November 2020. Because the Loan exceeds $2,000, the Company anticipates the U.S. Department of Treasury will audit the loan. Although the Company used the proceeds of the Loan for such covered purposes and applied for forgiveness as required, it can provide no assurance that the Company will obtain forgiveness of the Loan in whole or in part.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Loan approximates its carrying amount as of March 31, 2021 as the interest rate approximates market rates for similar loans.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8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a summary of the Company’s lease information is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vMerge w:val="continue"/>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Operating lease costs</w:t>
            </w:r>
          </w:p>
        </w:tc>
        <w:tc>
          <w:tcPr>
            <w:tcW w:w="3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3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weighted average remaining operating lease term was 3.6 years.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As of March 31, 2021, scheduled future maturities and present value of the operating lease liabilities are as follows:</w:t>
      </w:r>
    </w:p>
    <w:p>
      <w:pPr>
        <w:sectPr>
          <w:pgSz w:w="11900" w:h="16838" w:orient="portrait"/>
          <w:cols w:equalWidth="0" w:num="1">
            <w:col w:w="11240"/>
          </w:cols>
          <w:pgMar w:left="320" w:top="301" w:right="3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Remainder of 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Present value included in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315"/>
        <w:spacing w:after="0"/>
        <w:rPr>
          <w:sz w:val="20"/>
          <w:szCs w:val="20"/>
          <w:color w:val="auto"/>
        </w:rPr>
      </w:pPr>
      <w:r>
        <w:rPr>
          <w:rFonts w:ascii="Arial" w:cs="Arial" w:eastAsia="Arial" w:hAnsi="Arial"/>
          <w:sz w:val="14"/>
          <w:szCs w:val="14"/>
          <w:b w:val="1"/>
          <w:bCs w:val="1"/>
          <w:color w:val="auto"/>
        </w:rPr>
        <w:t>March 31, 2021</w:t>
      </w:r>
    </w:p>
    <w:p>
      <w:pPr>
        <w:spacing w:after="0" w:line="25" w:lineRule="exact"/>
        <w:rPr>
          <w:sz w:val="20"/>
          <w:szCs w:val="20"/>
          <w:color w:val="auto"/>
        </w:rPr>
      </w:pPr>
    </w:p>
    <w:p>
      <w:pPr>
        <w:ind w:left="1315" w:hanging="1315"/>
        <w:spacing w:after="0"/>
        <w:tabs>
          <w:tab w:leader="none" w:pos="1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544</w:t>
      </w:r>
    </w:p>
    <w:p>
      <w:pPr>
        <w:spacing w:after="0" w:line="44"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743</w:t>
      </w:r>
    </w:p>
    <w:p>
      <w:pPr>
        <w:spacing w:after="0" w:line="45"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765</w:t>
      </w:r>
    </w:p>
    <w:p>
      <w:pPr>
        <w:spacing w:after="0" w:line="45" w:lineRule="exact"/>
        <w:rPr>
          <w:rFonts w:ascii="Arial" w:cs="Arial" w:eastAsia="Arial" w:hAnsi="Arial"/>
          <w:sz w:val="16"/>
          <w:szCs w:val="16"/>
          <w:color w:val="auto"/>
        </w:rPr>
      </w:pPr>
    </w:p>
    <w:p>
      <w:pPr>
        <w:ind w:left="1315"/>
        <w:spacing w:after="0"/>
        <w:rPr>
          <w:rFonts w:ascii="Arial" w:cs="Arial" w:eastAsia="Arial" w:hAnsi="Arial"/>
          <w:sz w:val="16"/>
          <w:szCs w:val="16"/>
          <w:color w:val="auto"/>
        </w:rPr>
      </w:pPr>
      <w:r>
        <w:rPr>
          <w:rFonts w:ascii="Arial" w:cs="Arial" w:eastAsia="Arial" w:hAnsi="Arial"/>
          <w:sz w:val="16"/>
          <w:szCs w:val="16"/>
          <w:color w:val="auto"/>
        </w:rPr>
        <w:t>542</w:t>
      </w:r>
    </w:p>
    <w:p>
      <w:pPr>
        <w:spacing w:after="0" w:line="45" w:lineRule="exact"/>
        <w:rPr>
          <w:rFonts w:ascii="Arial" w:cs="Arial" w:eastAsia="Arial" w:hAnsi="Arial"/>
          <w:sz w:val="16"/>
          <w:szCs w:val="16"/>
          <w:color w:val="auto"/>
        </w:rPr>
      </w:pPr>
    </w:p>
    <w:p>
      <w:pPr>
        <w:ind w:left="1415"/>
        <w:spacing w:after="0"/>
        <w:rPr>
          <w:rFonts w:ascii="Arial" w:cs="Arial" w:eastAsia="Arial" w:hAnsi="Arial"/>
          <w:sz w:val="16"/>
          <w:szCs w:val="16"/>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198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8" w:lineRule="exact"/>
        <w:rPr>
          <w:sz w:val="20"/>
          <w:szCs w:val="20"/>
          <w:color w:val="auto"/>
        </w:rPr>
      </w:pPr>
    </w:p>
    <w:p>
      <w:pPr>
        <w:ind w:left="1195" w:hanging="1195"/>
        <w:spacing w:after="0"/>
        <w:tabs>
          <w:tab w:leader="none" w:pos="1195" w:val="left"/>
        </w:tabs>
        <w:numPr>
          <w:ilvl w:val="0"/>
          <w:numId w:val="6"/>
        </w:numPr>
        <w:rPr>
          <w:rFonts w:ascii="Arial" w:cs="Arial" w:eastAsia="Arial" w:hAnsi="Arial"/>
          <w:sz w:val="15"/>
          <w:szCs w:val="15"/>
          <w:color w:val="auto"/>
        </w:rPr>
      </w:pPr>
      <w:r>
        <w:rPr>
          <w:rFonts w:ascii="Arial" w:cs="Arial" w:eastAsia="Arial" w:hAnsi="Arial"/>
          <w:sz w:val="15"/>
          <w:szCs w:val="15"/>
          <w:color w:val="auto"/>
        </w:rPr>
        <w:t>2,671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10198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07" w:lineRule="exact"/>
        <w:rPr>
          <w:sz w:val="20"/>
          <w:szCs w:val="20"/>
          <w:color w:val="auto"/>
        </w:rPr>
      </w:pPr>
    </w:p>
    <w:p>
      <w:pPr>
        <w:ind w:left="1315" w:hanging="1315"/>
        <w:spacing w:after="0"/>
        <w:tabs>
          <w:tab w:leader="none" w:pos="1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567</w:t>
      </w:r>
    </w:p>
    <w:p>
      <w:pPr>
        <w:spacing w:after="0" w:line="46" w:lineRule="exact"/>
        <w:rPr>
          <w:rFonts w:ascii="Arial" w:cs="Arial" w:eastAsia="Arial" w:hAnsi="Arial"/>
          <w:sz w:val="16"/>
          <w:szCs w:val="16"/>
          <w:color w:val="auto"/>
        </w:rPr>
      </w:pPr>
    </w:p>
    <w:p>
      <w:pPr>
        <w:ind w:left="1195"/>
        <w:spacing w:after="0"/>
        <w:rPr>
          <w:rFonts w:ascii="Arial" w:cs="Arial" w:eastAsia="Arial" w:hAnsi="Arial"/>
          <w:sz w:val="16"/>
          <w:szCs w:val="16"/>
          <w:color w:val="auto"/>
        </w:rPr>
      </w:pPr>
      <w:r>
        <w:rPr>
          <w:rFonts w:ascii="Arial" w:cs="Arial" w:eastAsia="Arial" w:hAnsi="Arial"/>
          <w:sz w:val="15"/>
          <w:szCs w:val="15"/>
          <w:color w:val="auto"/>
        </w:rPr>
        <w:t>1,760</w:t>
      </w:r>
    </w:p>
    <w:p>
      <w:pPr>
        <w:spacing w:after="0" w:line="57" w:lineRule="exact"/>
        <w:rPr>
          <w:sz w:val="20"/>
          <w:szCs w:val="20"/>
          <w:color w:val="auto"/>
        </w:rPr>
      </w:pPr>
    </w:p>
    <w:p>
      <w:pPr>
        <w:sectPr>
          <w:pgSz w:w="11900" w:h="16838" w:orient="portrait"/>
          <w:cols w:equalWidth="0" w:num="2">
            <w:col w:w="8805" w:space="720"/>
            <w:col w:w="1715"/>
          </w:cols>
          <w:pgMar w:left="320" w:top="30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95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top w:val="single" w:sz="8" w:color="auto"/>
            </w:tcBorders>
            <w:gridSpan w:val="2"/>
          </w:tcPr>
          <w:p>
            <w:pPr>
              <w:jc w:val="right"/>
              <w:ind w:right="46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2"/>
                <w:szCs w:val="22"/>
                <w:color w:val="auto"/>
              </w:rPr>
            </w:pPr>
          </w:p>
        </w:tc>
      </w:tr>
      <w:tr>
        <w:trPr>
          <w:trHeight w:val="210"/>
        </w:trPr>
        <w:tc>
          <w:tcPr>
            <w:tcW w:w="9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8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 incurred data costs of $2,122 and $2,132 for the three months ended March 31, 2021 and 2020, respectively, under certain data licensing agreements. As of March 31, 2021, material capital commitments under certain data licensing agreements were $8,688, shown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9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as appropriate, to minimize the impact of the Covid-19 pandemic on the Company’s business, results of operations and financial performance. To ensure the health and well-being of its employees, beginning in March 2020, the Company instructed employees at its offices to work from home on a temporary basis. Starting in the second quarter of 2020, the Company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the Company experienced reduced transaction volume in the second and third quarters of 2020. Transaction volume returned to pre-Covid levels by the end of the third quarter of 2020, except for collection customer volume. Collection customer transaction volume remained below pre-Covid levels during the first quarter of 2021, down $0.7 million, primarily attributable to the Company’s idiVERIFIED service, which is an ancillary collections market offering that is purely transactional and of a lower margin profile, for the three months ended March 31, 2021, compared to the three months ended March 31, 2020. The Company expects collection customer transaction volume, including that of its idiVERIFIED service, to return to pre-Covid levels in the second half of 2021. Beginning the second quarter of 2020, the Company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the Company provided concessions to a total of 152 customers, representing a $342 reduction in minimum committed spend. During the third quarter of 2020, the Company provided concessions to a total of 22 customers, representing a $94 reduction in minimum committed spend. During the fourth quarter of 2020, the Company provided concessions to a total of 7 customers, representing a $32 reduction in minimum committed spend. The Company continues to work with customers who have been impacted by Covid-19 and consider potential concessions on a case-by-case basis. The Company continues to take precautionary measures intended to minimize the risk of the Covid-19 pandemic to its employees, its customers, and the communities in which it operates. These measures may result in inefficiencies, delays and additional costs to the Company’s business. The Covid-19 pandemic and its impact on the Company and the economy has significantly limited the Company’s ability to forecast its future operating results, including its ability to predict revenue and expense levels, and plan for and model future operating results. The Company will continue to evaluate the nature and extent of the impact of the COVID-19 pandemic to its business.</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To further support the Company’s liquidity, beginning April 1, 2020, the Company elected, under Section 2302 of the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the Company received the Loan under the CARES Act as discussed in Note 10 above. The Company will continue to assess the CARES Act and other applicable government legislation aimed at assisting businesses during the Covid-19 pandemic. In accordance with best practices and guidance from the Centers for Disease Control and Prevention, the Company implemented protective safeguards, including daily temperature checks, mandatory wearing of masks, social distancing, plexiglass protective barriers, and an entire office HVAC UV-C system. The Company began its first phase of employees returning to the Boca Raton, Florida office in June 2020. By the end of the first quarter of 2021, nearly all of the Boca Raton office employees have returned to an in-office work environment. The Company will continue to assess the need and timing of additional employees returning to an in-office work environment. Given the dynamic nature of this health emergency, the full impact of the Covid-19 pandemic on the Company’s ongoing business, results of operations and overall financial performance cannot be reasonably estimated at this time.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2020 filed on March 10, 2021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5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15"/>
          <w:szCs w:val="15"/>
          <w:color w:val="auto"/>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wokflow efficiency and enable organizations to make better data-driven decisions.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2021 and 2020, idiCORE had 5,902 and 5,326 billable customers and FOREWARN had 58,831 and 36,506 users, respectively. The Company defines a billable customer of idiCORE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right="120"/>
        <w:spacing w:after="0" w:line="275"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80% and 69% of total revenue for the three months ended March 31, 2021 and 2020, respectively.</w:t>
      </w:r>
    </w:p>
    <w:p>
      <w:pPr>
        <w:spacing w:after="0" w:line="1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We have taken numerous steps, and will continue to take further actions as appropriate, to minimize the impact of the Covid-19 pandemic on our business, results of operations and financial performance. To ensure the health and well-being of our employees, beginning in March 2020, we instructed employees at our offices to work from home on a temporary basis. Starting in the second quarter of 2020, we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we experienced reduced transaction volume in the second and third quarters of 2020. Transaction volume returned to pre-Covid levels by the end of the third quarter 2020, except for collection customer volume. Collection customer transaction volume remained below pre-Covid levels during the first quarter of 2021, down $0.7 million, primarily attributable to our idiVERIFIED service, which is an ancillary collections market offering that is purely transactional and of a lower margin profile, for the three months ended March 31, 2021, compared to the three months ended March 31, 2020. We expect collection customer transaction volume, including that of our idiVERIFIED service, to return to pre-Covid levels in the second half of 2021. Beginning the second quarter of 2020, we took a proactive customer-centric approach working with customers who were impacted by Covid-</w:t>
      </w:r>
    </w:p>
    <w:p>
      <w:pPr>
        <w:spacing w:after="0" w:line="1" w:lineRule="exact"/>
        <w:rPr>
          <w:sz w:val="20"/>
          <w:szCs w:val="20"/>
          <w:color w:val="auto"/>
        </w:rPr>
      </w:pPr>
    </w:p>
    <w:p>
      <w:pPr>
        <w:ind w:right="60" w:firstLine="8"/>
        <w:spacing w:after="0" w:line="285"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we provided concessions to a total of 152 customers, representing a $342 thousand reduction in minimum committed spend. During the third quarter of 2020, we provided concessions to a total of 22 customers, representing a $94 thousand reduction in minimum committed spend. During the fourth quarter of 2020, we provided concessions to a total of 7 customers, representing a $32 thousand reduction in minimum committed spend. We continue to work with customers who have been impacted by Covid-19 and consider potential concessions on a case-by-case basis. We continue to take precautionary measures intended to minimize the risk of the Covid-19 pandemic to our employees, our customers, and the communities in which we operate. These measures may result in inefficiencies, delays and additional costs to our business. The Covid-19 pandemic and its impact on us and the economy has significantly limited our ability to forecast our future operating results, including our ability to predict revenue and expense levels, and plan for and model future operating results. We will continue to evaluate the nature and extent of the impact of the COVID-19 pandemic to our business.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6" w:name="page17"/>
    <w:bookmarkEnd w:id="16"/>
    <w:p>
      <w:pPr>
        <w:spacing w:after="0" w:line="268" w:lineRule="auto"/>
        <w:rPr>
          <w:sz w:val="20"/>
          <w:szCs w:val="20"/>
          <w:color w:val="auto"/>
        </w:rPr>
      </w:pPr>
      <w:r>
        <w:rPr>
          <w:rFonts w:ascii="Arial" w:cs="Arial" w:eastAsia="Arial" w:hAnsi="Arial"/>
          <w:sz w:val="17"/>
          <w:szCs w:val="17"/>
          <w:color w:val="auto"/>
        </w:rPr>
        <w:t>To further support our liquidity, beginning April 1, 2020, we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we received funding under a promissory note dated May 5, 2020 evidencing an unsecured non-recourse loan in the principal amount of $2.2 million under the CARES Act (the “Loan”). We submitted an application for forgiveness of the Loan in November 2020. We will continue to assess the CARES Act and other applicable government legislation aimed at assisting businesses during the Covid-19 pandemic. In accordance with best practices and guidance from the Centers for Disease Control and Prevention, we implemented protective safeguards, including daily temperature checks, mandatory wearing of masks, social distancing, plexiglass protective barriers, and an entire office HVAC UV-C system. We began our first phase of employees returning to the Boca Raton, Florida office in June 2020. By the end of the first quarter of 2021, nearly all of the Boca Raton office employees have returned to an in-office work environment. We will continue to assess the need and timing of additional employees returning to an in-office work environment. Given the dynamic nature of this health emergency, the full impact of the Covid-19 pandemic on our ongoing business, results of operations and overall financial performance cannot be reasonably estimated at this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additional information, please refer to our Form 10-K. There have been no material changes to Critical Accounting Policies and Estimates disclosed in our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as compared to the three months ended March 31, 2020:</w:t>
      </w:r>
    </w:p>
    <w:p>
      <w:pPr>
        <w:spacing w:after="0" w:line="18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revenue increased 10% to $10.2 million. Platform revenue increased 21% to $9.8 million. Services revenue decreased 66% to $0.4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narrowed 61% to $0.6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increased 66% to $2.9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increased 21% to $6.3 million. Gross margin increased to 61% from 55%.</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gross profit increased 24% to $7.5 million. Adjusted gross margin increased to 73% from 65%.</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$1.2 million in cash from operating activities in the first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were $12.9 million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18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attributable to customer contracts reached a record 80%. Customer contracts are generally annual contracts or longer with auto renewal.</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Added over 170 new customers to idiCORE™ during the first quarter, ending the quarter with 5,902 customers.</w:t>
      </w:r>
    </w:p>
    <w:p>
      <w:pPr>
        <w:spacing w:after="0" w:line="117" w:lineRule="exact"/>
        <w:rPr>
          <w:rFonts w:ascii="Arial" w:cs="Arial" w:eastAsia="Arial" w:hAnsi="Arial"/>
          <w:sz w:val="18"/>
          <w:szCs w:val="18"/>
          <w:color w:val="auto"/>
        </w:rPr>
      </w:pPr>
    </w:p>
    <w:p>
      <w:pPr>
        <w:ind w:left="380" w:right="660" w:hanging="372"/>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Added over 10,400 users to FOREWARN</w:t>
      </w:r>
      <w:r>
        <w:rPr>
          <w:rFonts w:ascii="Arial" w:cs="Arial" w:eastAsia="Arial" w:hAnsi="Arial"/>
          <w:sz w:val="15"/>
          <w:szCs w:val="15"/>
          <w:color w:val="auto"/>
        </w:rPr>
        <w:t>®</w:t>
      </w:r>
      <w:r>
        <w:rPr>
          <w:rFonts w:ascii="Arial" w:cs="Arial" w:eastAsia="Arial" w:hAnsi="Arial"/>
          <w:sz w:val="18"/>
          <w:szCs w:val="18"/>
          <w:color w:val="auto"/>
        </w:rPr>
        <w:t xml:space="preserve"> during the first quarter, ending the quarter with 58,831 users. Over 140 REALTOR</w:t>
      </w:r>
      <w:r>
        <w:rPr>
          <w:rFonts w:ascii="Arial" w:cs="Arial" w:eastAsia="Arial" w:hAnsi="Arial"/>
          <w:sz w:val="15"/>
          <w:szCs w:val="15"/>
          <w:color w:val="auto"/>
        </w:rPr>
        <w:t>®</w:t>
      </w:r>
      <w:r>
        <w:rPr>
          <w:rFonts w:ascii="Arial" w:cs="Arial" w:eastAsia="Arial" w:hAnsi="Arial"/>
          <w:sz w:val="18"/>
          <w:szCs w:val="18"/>
          <w:color w:val="auto"/>
        </w:rPr>
        <w:t xml:space="preserve"> Associations throughout the U.S. are now contracted to use FOREWARN.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Added two seasoned business development leaders with deep industry knowledge across multiple verticals we serve today.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ind w:right="20"/>
        <w:spacing w:after="0" w:line="257" w:lineRule="auto"/>
        <w:rPr>
          <w:sz w:val="20"/>
          <w:szCs w:val="20"/>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expense (income), net, depreciation and amortization, share-based compensation expense, litigation costs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vMerge w:val="continue"/>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w:t>
            </w:r>
          </w:p>
        </w:tc>
        <w:tc>
          <w:tcPr>
            <w:tcW w:w="2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 and others</w:t>
            </w:r>
          </w:p>
        </w:tc>
        <w:tc>
          <w:tcPr>
            <w:tcW w:w="2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FF0FC"/>
            </w:tcBorders>
            <w:vMerge w:val="continue"/>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26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(2,761)</w:t>
            </w:r>
          </w:p>
        </w:tc>
        <w:tc>
          <w:tcPr>
            <w:tcW w:w="4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(1,203)</w:t>
            </w: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3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Borders>
              <w:right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13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2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3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 compared to three months ended March 31, 2020</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$0.9 million or 10% to $10.2 million for the three months ended March 31, 2021 from $9.3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2020. This increase was driven by strong growth in usage from existing customers, with base revenue from existing customers increasing $0.7 million or 11%, and growth revenue from existing customers increasing $0.6 million or 51%. This growth was partially offset by a decrease in revenue from new customers of $0.4 million or 32%. As a result of certain Covid-19 related government mandated collections moratoria remaining in place during the period, collection customer volume was down $0.7 million for the three months ended March 31, 2021. This was primarily attributable to our idiVERIFIED service, which is an ancillary collections market offering that is purely transactional and of a lower margin profile. We expect collection customer transaction volume, including that of our idiVERIFIED service, to return to pre-Covid levels in the second half of 2021. Our idiCORE billable customer base grew from 5,326 customers as of March 31, 2020 to 5,902 customers as of March 31, 2021, and our FOREWARN user base grew from 36,506 users to 58,831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decreased $0.5 million or 16% to $2.8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2021 from $3.3 million for the three months ended March 31, 2020.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approximately 45% of our total data acquisition costs for the three months ended March 31, 2021 compared to approximately 39% for the three months ended March 31, 2020. Other cost of revenue items include expenses related to third-party infrastructure fees.</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27% for the three months ended March 31, 2021 from 35% for the three months ended March 31, 2020.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remained consistent at $2.2 million for the three months ended March 31, 2021 and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and marketing expenses consist of salaries and benefits, advertising and marketing, travel expenses, and share-based compensation expense, incurred by our sales team, and provision for bad debts.</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$0.2 million or 3% to $4.6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2021 from $4.4 million for the three months ended March 31, 2020. For the three months ended March 31, 2021 and 2020, our general and administrative expenses consisted primarily of employee salaries and benefits of $1.5 million and $1.2 million, share-based compensation expense of $1.9 million and $2.1 million, and professional fees of $0.7 million and $0.6 million, respectively.</w:t>
      </w:r>
    </w:p>
    <w:p>
      <w:pPr>
        <w:spacing w:after="0" w:line="14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$0.4 million or 38% to $1.3 million for the three months ended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2021 from $0.9 million for the three months ended March 31, 2020. The increase in depreciation and amortization for the three months ended March 31, 2021 resulted primarily from the amortization of software developed for internal use that became ready for its intended use after March 31, 2020.</w:t>
      </w:r>
    </w:p>
    <w:p>
      <w:pPr>
        <w:spacing w:after="0" w:line="1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Loss before income taxes</w:t>
      </w:r>
      <w:r>
        <w:rPr>
          <w:rFonts w:ascii="Arial" w:cs="Arial" w:eastAsia="Arial" w:hAnsi="Arial"/>
          <w:sz w:val="17"/>
          <w:szCs w:val="17"/>
          <w:color w:val="auto"/>
        </w:rPr>
        <w:t>. Loss before income taxes narrowed $0.9 million or 61% to $0.6 million for the three months ended March 31, 2021 from $1.5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March 31, 2020. The decrease in loss before income taxes was primarily attributable to the increase in revenue, decrease in our cost of revenue as a percentage of revenue, and decrease in share-based compensation expense, which was partially offset by the increase in employee salaries and benefits and sales commission of $0.5 million, and depreciation and amortization of $0.4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three months ended March 31, 2021 and 2020. A full valuation allowance on the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assets was recognized as of March 31, 2021 and 2020. See Note 6, “Income Taxes,” included in “Notes to Condensed Consolidated Financial Statements,” for details.</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narrowed $0.9 million or 61% to $0.6 million for the three months ended March 31, 2021 from $1.5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 as a result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For the three months ended March 31, 2021, net cash provided by operating activities was $1.2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the net loss of $0.6 million, adjusted for certain non-cash items (consisting of share-based compensation expense, depreciation and amortization, write-off of long-lived assets, provision for bad debts, and noncash lease expenses) totaling $3.5 million, and the cash used as a result of changes in assets and liabilities of $1.7 million, primarily the result of the increase in accounts receivable and prepaid expenses and other current assets, and the decrease in accounts payable, accrued expenses and other current liabilities and operating lease liabilities. For the three months ended March 31, 2020, net cash provided by operating activities was $1.2 million, primarily the result of the net loss of $1.5 million, adjusted for certain non-cash items, as mentioned above, totaling $3.4 million, and the cash used as a result of changes in assets and liabilities of $0.7 million, primarily the result of the increase in prepaid expenses and other current assets, and the decrease in accrued expenses and other current liabilities and operating lease liabilities.</w:t>
      </w:r>
    </w:p>
    <w:p>
      <w:pPr>
        <w:spacing w:after="0" w:line="1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three months ended March 31, 2021 and 2020, net cash used in investing activities was $1.3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$1.6 million, respectively, primarily as a result of capitalized costs included in intangible assets.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2021, we had material commitments under certain data licensing agreements of $8.7 million. We anticipate funding our operations using available cash and cash flow generated from operations within the next twelve months.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reported net loss of $0.6 million and $1.5 million for the three months ended March 31, 2021 and 2020, respectively. As of March 31, 2021, we had a total shareholders’ equity balance of $45.2 million.</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March 31, 2021, we had cash and cash equivalents of approximately $12.9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01"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March 31, 2021.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March 31, 2021 that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2020 filed with the Securities and Exchange Commission on March 10,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w w:val="99"/>
              </w:rPr>
              <w:t>Incorporated by Reference</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3"/>
                <w:szCs w:val="13"/>
                <w:b w:val="1"/>
                <w:bCs w:val="1"/>
                <w:color w:val="auto"/>
              </w:rPr>
              <w:t>Exhibit No.</w:t>
            </w:r>
          </w:p>
        </w:tc>
        <w:tc>
          <w:tcPr>
            <w:tcW w:w="120" w:type="dxa"/>
            <w:vAlign w:val="bottom"/>
          </w:tcPr>
          <w:p>
            <w:pPr>
              <w:spacing w:after="0"/>
              <w:rPr>
                <w:sz w:val="12"/>
                <w:szCs w:val="12"/>
                <w:color w:val="auto"/>
              </w:rPr>
            </w:pPr>
          </w:p>
        </w:tc>
        <w:tc>
          <w:tcPr>
            <w:tcW w:w="4740" w:type="dxa"/>
            <w:vAlign w:val="bottom"/>
            <w:gridSpan w:val="11"/>
          </w:tcPr>
          <w:p>
            <w:pPr>
              <w:spacing w:after="0" w:line="142" w:lineRule="exact"/>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3"/>
                <w:szCs w:val="13"/>
                <w:b w:val="1"/>
                <w:bCs w:val="1"/>
                <w:color w:val="auto"/>
              </w:rPr>
              <w:t>Form</w:t>
            </w:r>
          </w:p>
        </w:tc>
        <w:tc>
          <w:tcPr>
            <w:tcW w:w="1220" w:type="dxa"/>
            <w:vAlign w:val="bottom"/>
            <w:gridSpan w:val="3"/>
          </w:tcPr>
          <w:p>
            <w:pPr>
              <w:ind w:left="100"/>
              <w:spacing w:after="0" w:line="142" w:lineRule="exact"/>
              <w:rPr>
                <w:sz w:val="20"/>
                <w:szCs w:val="20"/>
                <w:color w:val="auto"/>
              </w:rPr>
            </w:pPr>
            <w:r>
              <w:rPr>
                <w:rFonts w:ascii="Arial" w:cs="Arial" w:eastAsia="Arial" w:hAnsi="Arial"/>
                <w:sz w:val="13"/>
                <w:szCs w:val="13"/>
                <w:b w:val="1"/>
                <w:bCs w:val="1"/>
                <w:color w:val="auto"/>
              </w:rPr>
              <w:t>File No.</w:t>
            </w:r>
          </w:p>
        </w:tc>
        <w:tc>
          <w:tcPr>
            <w:tcW w:w="1020" w:type="dxa"/>
            <w:vAlign w:val="bottom"/>
          </w:tcPr>
          <w:p>
            <w:pPr>
              <w:spacing w:after="0" w:line="142" w:lineRule="exact"/>
              <w:rPr>
                <w:sz w:val="20"/>
                <w:szCs w:val="20"/>
                <w:color w:val="auto"/>
              </w:rPr>
            </w:pPr>
            <w:r>
              <w:rPr>
                <w:rFonts w:ascii="Arial" w:cs="Arial" w:eastAsia="Arial" w:hAnsi="Arial"/>
                <w:sz w:val="13"/>
                <w:szCs w:val="13"/>
                <w:b w:val="1"/>
                <w:bCs w:val="1"/>
                <w:color w:val="auto"/>
              </w:rPr>
              <w:t>Exhibit</w:t>
            </w:r>
          </w:p>
        </w:tc>
        <w:tc>
          <w:tcPr>
            <w:tcW w:w="140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auto"/>
            </w:tcBorders>
            <w:gridSpan w:val="10"/>
          </w:tcPr>
          <w:p>
            <w:pPr>
              <w:spacing w:after="0" w:line="142" w:lineRule="exact"/>
              <w:rPr>
                <w:rFonts w:ascii="Arial" w:cs="Arial" w:eastAsia="Arial" w:hAnsi="Arial"/>
                <w:sz w:val="14"/>
                <w:szCs w:val="14"/>
                <w:color w:val="0000EE"/>
              </w:rPr>
            </w:pPr>
            <w:hyperlink r:id="rId45">
              <w:r>
                <w:rPr>
                  <w:rFonts w:ascii="Arial" w:cs="Arial" w:eastAsia="Arial" w:hAnsi="Arial"/>
                  <w:sz w:val="14"/>
                  <w:szCs w:val="14"/>
                  <w:color w:val="0000EE"/>
                </w:rPr>
                <w:t>Separation Agreement between Red Violet, Inc. and Michael Brauser dated</w:t>
              </w:r>
            </w:hyperlink>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8-K</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001-38407</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February 17, 2021</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1"/>
                <w:szCs w:val="11"/>
                <w:color w:val="auto"/>
              </w:rPr>
            </w:pPr>
          </w:p>
        </w:tc>
        <w:tc>
          <w:tcPr>
            <w:tcW w:w="432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r:id="rId45">
              <w:r>
                <w:rPr>
                  <w:rFonts w:ascii="Arial" w:cs="Arial" w:eastAsia="Arial" w:hAnsi="Arial"/>
                  <w:sz w:val="14"/>
                  <w:szCs w:val="14"/>
                  <w:color w:val="0000EE"/>
                </w:rPr>
                <w:t>February 16, 2021</w:t>
              </w:r>
              <w:r>
                <w:rPr>
                  <w:rFonts w:ascii="Arial" w:cs="Arial" w:eastAsia="Arial" w:hAnsi="Arial"/>
                  <w:sz w:val="14"/>
                  <w:szCs w:val="14"/>
                  <w:color w:val="000000"/>
                </w:rPr>
                <w:t>.</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1"/>
          </w:tcPr>
          <w:p>
            <w:pPr>
              <w:spacing w:after="0" w:line="142" w:lineRule="exact"/>
              <w:rPr>
                <w:rFonts w:ascii="Arial" w:cs="Arial" w:eastAsia="Arial" w:hAnsi="Arial"/>
                <w:sz w:val="14"/>
                <w:szCs w:val="14"/>
                <w:color w:val="0000EE"/>
              </w:rPr>
            </w:pPr>
            <w:hyperlink w:anchor="page25">
              <w:r>
                <w:rPr>
                  <w:rFonts w:ascii="Arial" w:cs="Arial" w:eastAsia="Arial" w:hAnsi="Arial"/>
                  <w:sz w:val="14"/>
                  <w:szCs w:val="14"/>
                  <w:color w:val="0000EE"/>
                </w:rPr>
                <w:t>Certification of Chief Executive Officer filed pursuant to Exchange Act Rules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89"/>
              </w:rPr>
            </w:pPr>
            <w:hyperlink w:anchor="page25">
              <w:r>
                <w:rPr>
                  <w:rFonts w:ascii="Arial" w:cs="Arial" w:eastAsia="Arial" w:hAnsi="Arial"/>
                  <w:sz w:val="14"/>
                  <w:szCs w:val="14"/>
                  <w:color w:val="0000EE"/>
                  <w:w w:val="89"/>
                </w:rPr>
                <w:t>13a-14(a) and 15d-14(a) of the Securities and Exchange Act of 1934 as adopted</w:t>
              </w:r>
            </w:hyperlink>
          </w:p>
        </w:tc>
        <w:tc>
          <w:tcPr>
            <w:tcW w:w="6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1"/>
                <w:szCs w:val="11"/>
                <w:color w:val="auto"/>
              </w:rPr>
            </w:pPr>
          </w:p>
        </w:tc>
        <w:tc>
          <w:tcPr>
            <w:tcW w:w="4600" w:type="dxa"/>
            <w:vAlign w:val="bottom"/>
            <w:gridSpan w:val="10"/>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pursuant to Section 302 of the Sarbanes-Oxley Act of 2002</w:t>
              </w:r>
              <w:r>
                <w:rPr>
                  <w:rFonts w:ascii="Arial" w:cs="Arial" w:eastAsia="Arial" w:hAnsi="Arial"/>
                  <w:sz w:val="14"/>
                  <w:szCs w:val="14"/>
                  <w:color w:val="000000"/>
                </w:rPr>
                <w:t>.</w:t>
              </w:r>
            </w:hyperlink>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Borders>
              <w:top w:val="single" w:sz="8" w:color="0000EE"/>
            </w:tcBorders>
            <w:gridSpan w:val="3"/>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Certification of Chief Financial Officer filed pursuant to</w:t>
              </w:r>
            </w:hyperlink>
          </w:p>
        </w:tc>
        <w:tc>
          <w:tcPr>
            <w:tcW w:w="1340" w:type="dxa"/>
            <w:vAlign w:val="bottom"/>
            <w:gridSpan w:val="8"/>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Exchange Act Rules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740" w:type="dxa"/>
            <w:vAlign w:val="bottom"/>
            <w:gridSpan w:val="11"/>
          </w:tcPr>
          <w:p>
            <w:pPr>
              <w:spacing w:after="0" w:line="129" w:lineRule="exact"/>
              <w:rPr>
                <w:rFonts w:ascii="Arial" w:cs="Arial" w:eastAsia="Arial" w:hAnsi="Arial"/>
                <w:sz w:val="14"/>
                <w:szCs w:val="14"/>
                <w:color w:val="0000EE"/>
                <w:w w:val="94"/>
              </w:rPr>
            </w:pPr>
            <w:hyperlink w:anchor="page26">
              <w:r>
                <w:rPr>
                  <w:rFonts w:ascii="Arial" w:cs="Arial" w:eastAsia="Arial" w:hAnsi="Arial"/>
                  <w:sz w:val="14"/>
                  <w:szCs w:val="14"/>
                  <w:color w:val="0000EE"/>
                  <w:w w:val="94"/>
                </w:rPr>
                <w:t>13a-14(a) and 15d-14(a) of the Securities and Exchange Act of 1934 as adopted</w:t>
              </w:r>
            </w:hyperlink>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1"/>
                <w:szCs w:val="11"/>
                <w:color w:val="auto"/>
              </w:rPr>
            </w:pPr>
          </w:p>
        </w:tc>
        <w:tc>
          <w:tcPr>
            <w:tcW w:w="460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26">
              <w:r>
                <w:rPr>
                  <w:rFonts w:ascii="Arial" w:cs="Arial" w:eastAsia="Arial" w:hAnsi="Arial"/>
                  <w:sz w:val="14"/>
                  <w:szCs w:val="14"/>
                  <w:color w:val="0000EE"/>
                </w:rPr>
                <w:t>pursuant to Section 302 of the Sarbanes-Oxley Act of 2002</w:t>
              </w:r>
              <w:r>
                <w:rPr>
                  <w:rFonts w:ascii="Arial" w:cs="Arial" w:eastAsia="Arial" w:hAnsi="Arial"/>
                  <w:sz w:val="14"/>
                  <w:szCs w:val="14"/>
                  <w:color w:val="000000"/>
                </w:rPr>
                <w:t>.</w:t>
              </w:r>
            </w:hyperlink>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1"/>
          </w:tcPr>
          <w:p>
            <w:pPr>
              <w:spacing w:after="0" w:line="142" w:lineRule="exact"/>
              <w:rPr>
                <w:rFonts w:ascii="Arial" w:cs="Arial" w:eastAsia="Arial" w:hAnsi="Arial"/>
                <w:sz w:val="14"/>
                <w:szCs w:val="14"/>
                <w:color w:val="0000EE"/>
                <w:w w:val="97"/>
              </w:rPr>
            </w:pPr>
            <w:hyperlink w:anchor="page27">
              <w:r>
                <w:rPr>
                  <w:rFonts w:ascii="Arial" w:cs="Arial" w:eastAsia="Arial" w:hAnsi="Arial"/>
                  <w:sz w:val="14"/>
                  <w:szCs w:val="14"/>
                  <w:color w:val="0000EE"/>
                  <w:w w:val="97"/>
                </w:rPr>
                <w:t>Certification by Chief Executive Officer pursuant to 18 U.S.C. Section 1350, as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1"/>
                <w:szCs w:val="11"/>
                <w:color w:val="auto"/>
              </w:rPr>
            </w:pPr>
          </w:p>
        </w:tc>
        <w:tc>
          <w:tcPr>
            <w:tcW w:w="458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adopted pursuant to Section 906 of the Sarbanes-Oxley Act of 2002</w:t>
              </w:r>
              <w:r>
                <w:rPr>
                  <w:rFonts w:ascii="Arial" w:cs="Arial" w:eastAsia="Arial" w:hAnsi="Arial"/>
                  <w:sz w:val="14"/>
                  <w:szCs w:val="14"/>
                  <w:color w:val="000000"/>
                </w:rPr>
                <w:t>.</w:t>
              </w:r>
            </w:hyperlink>
          </w:p>
        </w:tc>
        <w:tc>
          <w:tcPr>
            <w:tcW w:w="1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1"/>
          </w:tcPr>
          <w:p>
            <w:pPr>
              <w:spacing w:after="0" w:line="142" w:lineRule="exact"/>
              <w:rPr>
                <w:rFonts w:ascii="Arial" w:cs="Arial" w:eastAsia="Arial" w:hAnsi="Arial"/>
                <w:sz w:val="14"/>
                <w:szCs w:val="14"/>
                <w:color w:val="0000EE"/>
                <w:w w:val="98"/>
              </w:rPr>
            </w:pPr>
            <w:hyperlink w:anchor="page28">
              <w:r>
                <w:rPr>
                  <w:rFonts w:ascii="Arial" w:cs="Arial" w:eastAsia="Arial" w:hAnsi="Arial"/>
                  <w:sz w:val="14"/>
                  <w:szCs w:val="14"/>
                  <w:color w:val="0000EE"/>
                  <w:w w:val="98"/>
                </w:rPr>
                <w:t>Certification by Chief Financial Officer pursuant to 18 U.S.C. Section 1350, as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1"/>
                <w:szCs w:val="11"/>
                <w:color w:val="auto"/>
              </w:rPr>
            </w:pPr>
          </w:p>
        </w:tc>
        <w:tc>
          <w:tcPr>
            <w:tcW w:w="454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adopted pursuant to Section 906 of the Sarbanes-Oxley Act of 2002</w:t>
              </w:r>
              <w:r>
                <w:rPr>
                  <w:rFonts w:ascii="Arial" w:cs="Arial" w:eastAsia="Arial" w:hAnsi="Arial"/>
                  <w:sz w:val="14"/>
                  <w:szCs w:val="14"/>
                  <w:color w:val="000000"/>
                </w:rPr>
                <w:t>.</w:t>
              </w:r>
            </w:hyperlink>
          </w:p>
        </w:tc>
        <w:tc>
          <w:tcPr>
            <w:tcW w:w="20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7"/>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900" w:type="dxa"/>
            <w:vAlign w:val="bottom"/>
            <w:tcBorders>
              <w:top w:val="single" w:sz="8" w:color="0000EE"/>
            </w:tcBorders>
            <w:gridSpan w:val="4"/>
          </w:tcPr>
          <w:p>
            <w:pPr>
              <w:spacing w:after="0" w:line="137" w:lineRule="exact"/>
              <w:rPr>
                <w:sz w:val="20"/>
                <w:szCs w:val="20"/>
                <w:color w:val="auto"/>
              </w:rPr>
            </w:pPr>
            <w:r>
              <w:rPr>
                <w:rFonts w:ascii="Arial" w:cs="Arial" w:eastAsia="Arial" w:hAnsi="Arial"/>
                <w:sz w:val="14"/>
                <w:szCs w:val="14"/>
                <w:color w:val="auto"/>
                <w:w w:val="94"/>
              </w:rPr>
              <w:t>Inline XBRL Instance Document – the instance document does not</w:t>
            </w:r>
          </w:p>
        </w:tc>
        <w:tc>
          <w:tcPr>
            <w:tcW w:w="840" w:type="dxa"/>
            <w:vAlign w:val="bottom"/>
            <w:gridSpan w:val="7"/>
          </w:tcPr>
          <w:p>
            <w:pPr>
              <w:spacing w:after="0" w:line="137" w:lineRule="exact"/>
              <w:rPr>
                <w:sz w:val="20"/>
                <w:szCs w:val="20"/>
                <w:color w:val="auto"/>
              </w:rPr>
            </w:pPr>
            <w:r>
              <w:rPr>
                <w:rFonts w:ascii="Arial" w:cs="Arial" w:eastAsia="Arial" w:hAnsi="Arial"/>
                <w:sz w:val="14"/>
                <w:szCs w:val="14"/>
                <w:color w:val="auto"/>
              </w:rPr>
              <w:t>appear in the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11"/>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rPr>
              <w:t>XBRL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14"/>
                <w:szCs w:val="14"/>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14"/>
                <w:szCs w:val="14"/>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120" w:type="dxa"/>
            <w:vAlign w:val="bottom"/>
          </w:tcPr>
          <w:p>
            <w:pPr>
              <w:spacing w:after="0"/>
              <w:rPr>
                <w:sz w:val="14"/>
                <w:szCs w:val="14"/>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14"/>
                <w:szCs w:val="14"/>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120" w:type="dxa"/>
            <w:vAlign w:val="bottom"/>
          </w:tcPr>
          <w:p>
            <w:pPr>
              <w:spacing w:after="0"/>
              <w:rPr>
                <w:sz w:val="14"/>
                <w:szCs w:val="14"/>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4740" w:type="dxa"/>
            <w:vAlign w:val="bottom"/>
            <w:gridSpan w:val="11"/>
          </w:tcPr>
          <w:p>
            <w:pPr>
              <w:spacing w:after="0"/>
              <w:rPr>
                <w:sz w:val="20"/>
                <w:szCs w:val="20"/>
                <w:color w:val="auto"/>
              </w:rPr>
            </w:pPr>
            <w:r>
              <w:rPr>
                <w:rFonts w:ascii="Arial" w:cs="Arial" w:eastAsia="Arial" w:hAnsi="Arial"/>
                <w:sz w:val="14"/>
                <w:szCs w:val="14"/>
                <w:color w:val="auto"/>
                <w:w w:val="95"/>
              </w:rPr>
              <w:t>Cover Page Interactive Data File (embedded within the Inline XBRL document).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0" w:right="120" w:hanging="992"/>
        <w:spacing w:after="0" w:line="253" w:lineRule="auto"/>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40"/>
        <w:spacing w:after="0"/>
        <w:tabs>
          <w:tab w:leader="none" w:pos="714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6"/>
          <w:szCs w:val="16"/>
          <w:b w:val="1"/>
          <w:bCs w:val="1"/>
          <w:color w:val="auto"/>
        </w:rPr>
        <w:t>Red Violet,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21"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6"/>
          <w:szCs w:val="16"/>
          <w:color w:val="auto"/>
        </w:rPr>
        <w:t>By:  /s/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March 31, 2021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March 31, 2021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7"/>
          <w:szCs w:val="17"/>
          <w:color w:val="auto"/>
        </w:rPr>
        <w:t>By:  /s/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9"/>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5" Type="http://schemas.openxmlformats.org/officeDocument/2006/relationships/hyperlink" Target="http://www.sec.gov/Archives/edgar/data/1720116/000156459021006204/rdv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2021-05-11T16:41:29Z</dcterms:created>
  <dcterms:modified xsi:type="dcterms:W3CDTF">2021-05-11T16:41:29Z</dcterms:modified>
</cp:coreProperties>
</file>