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12, 2020</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March 12, 2020, Red Violet, Inc., a Delaware corporation (the “Company”), issued a press release announcing its financial results for the fourth quarter and year ended December 31, 2019 (the “Earnings Release”). A copy of the Earnings Release is furnished herewith as Exhibit 99.1.</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Also on March 12, 2020, following the issuance of the Earnings Release, the Company conducted a conference call to discuss the reported financial results for the fourth quarter and year ended December 31, 2019. The Company had issued a press release on March 3, 2020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March 12, 2020</w:t>
        </w:r>
      </w:hyperlink>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656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auto"/>
          </w:rPr>
          <w:t>March 12, 2020 Conference Call Script</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02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213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red violet Announces Fourth Quarter and Full Year 2019 Financial Results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Increases 92% to $9.1 Million Generating $1.2 Million in Cash from Operating Activities in the Fourth Quarter</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BOCA RATON, Fla. – March 12, 2020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and full year ended December 31, 2019.</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“Bucking the trend in what is historically a seasonally slower quarter for our business, we capped off a spectacular year, generating record revenue and cash from operations,” stated Derek Dubner, red violet’s CEO. “Leveraging our cloud-native platform, we continue to see larger customers take advantage of the platform’s speed, flexibility and efficiency to grow their businesses, as demonstrated by our 100% increase in revenue from existing customers in 2019. We are winning head-to-head against the competition, led by innovation, next-generation technology, and our relentless focus on driving customer-centric solutions into the marketplace, which continues to fuel our growth. We kicked off 2020 in strong fashion, with solid revenue growth and adjusted EBITDA pacing towards $2 million for Q1 of 2020, which would exceed our adjusted EBITDA for the entire year of 2019. We have never been better positioned for the future than we are today.”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2019 as compared to the three months ended December 31, 2018:</w:t>
      </w:r>
    </w:p>
    <w:p>
      <w:pPr>
        <w:spacing w:after="0" w:line="252"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92% to $9.1 million.</w:t>
      </w:r>
    </w:p>
    <w:p>
      <w:pPr>
        <w:spacing w:after="0" w:line="117"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was $4.9 million (including share-based compensation expense of $4.6 million, which includes a one-time $2.3 million) as compared to $2.0 million (including share-based compensation expense of $0.3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was $0.8 million as compared to a negative $1.0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155% to $4.9 million. Gross margin increased to 54% from 41%.</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134% to $5.6 million. Adjusted gross margin increased to 62% from 51%.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as compared to the year ended December 31, 2018:</w:t>
      </w:r>
    </w:p>
    <w:p>
      <w:pPr>
        <w:spacing w:after="0" w:line="26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increased 86% to $30.3 million.</w:t>
      </w:r>
    </w:p>
    <w:p>
      <w:pPr>
        <w:spacing w:after="0" w:line="117" w:lineRule="exact"/>
        <w:rPr>
          <w:rFonts w:ascii="Arial" w:cs="Arial" w:eastAsia="Arial" w:hAnsi="Arial"/>
          <w:sz w:val="18"/>
          <w:szCs w:val="18"/>
          <w:color w:val="auto"/>
        </w:rPr>
      </w:pPr>
    </w:p>
    <w:p>
      <w:pPr>
        <w:ind w:left="380" w:right="6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was $11.1 million (including share-based compensation expense of $9.9 million) as compared to $6.9 million (including share-based compensation expense of $0.7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was $1.9 million as compared to a negative $4.3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159% to $15.4 million. Gross margin increased to 51% from 36%.</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increased 135% to $18.0 million. Adjusted gross margin increased to 60% from 47%.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Recent Business Highlights</w:t>
      </w:r>
    </w:p>
    <w:p>
      <w:pPr>
        <w:spacing w:after="0" w:line="270" w:lineRule="exact"/>
        <w:rPr>
          <w:sz w:val="20"/>
          <w:szCs w:val="20"/>
          <w:color w:val="auto"/>
        </w:rPr>
      </w:pPr>
    </w:p>
    <w:p>
      <w:pPr>
        <w:ind w:left="380" w:right="14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power of CORE™, red violet’s cloud-based, next-generation technology platform, idiCORE delivered over 280 new customers in the fourth quarter.</w:t>
      </w:r>
    </w:p>
    <w:p>
      <w:pPr>
        <w:spacing w:after="0" w:line="62" w:lineRule="exact"/>
        <w:rPr>
          <w:rFonts w:ascii="Arial" w:cs="Arial" w:eastAsia="Arial" w:hAnsi="Arial"/>
          <w:sz w:val="18"/>
          <w:szCs w:val="18"/>
          <w:color w:val="auto"/>
        </w:rPr>
      </w:pPr>
    </w:p>
    <w:p>
      <w:pPr>
        <w:ind w:left="380" w:right="1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as a leading innovative technology in the real estate industry, our subscription app-based solution, FOREWARN, added over 6,700 users in the fourth quarter.</w:t>
      </w:r>
    </w:p>
    <w:p>
      <w:pPr>
        <w:spacing w:after="0" w:line="62" w:lineRule="exact"/>
        <w:rPr>
          <w:rFonts w:ascii="Arial" w:cs="Arial" w:eastAsia="Arial" w:hAnsi="Arial"/>
          <w:sz w:val="18"/>
          <w:szCs w:val="18"/>
          <w:color w:val="auto"/>
        </w:rPr>
      </w:pPr>
    </w:p>
    <w:p>
      <w:pPr>
        <w:ind w:left="380" w:right="50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partnership with our first statewide MLS, Maine Listings, and our first statewide association, Connecticut REALTORS</w:t>
      </w:r>
      <w:r>
        <w:rPr>
          <w:rFonts w:ascii="Arial" w:cs="Arial" w:eastAsia="Arial" w:hAnsi="Arial"/>
          <w:sz w:val="15"/>
          <w:szCs w:val="15"/>
          <w:color w:val="auto"/>
        </w:rPr>
        <w:t>®</w:t>
      </w:r>
      <w:r>
        <w:rPr>
          <w:rFonts w:ascii="Arial" w:cs="Arial" w:eastAsia="Arial" w:hAnsi="Arial"/>
          <w:sz w:val="18"/>
          <w:szCs w:val="18"/>
          <w:color w:val="auto"/>
        </w:rPr>
        <w:t>, to provide FOREWARN as a proactive safety and identity verification tool to their members.</w:t>
      </w:r>
    </w:p>
    <w:p>
      <w:pPr>
        <w:spacing w:after="0" w:line="62" w:lineRule="exact"/>
        <w:rPr>
          <w:rFonts w:ascii="Arial" w:cs="Arial" w:eastAsia="Arial" w:hAnsi="Arial"/>
          <w:sz w:val="18"/>
          <w:szCs w:val="18"/>
          <w:color w:val="auto"/>
        </w:rPr>
      </w:pPr>
    </w:p>
    <w:p>
      <w:pPr>
        <w:ind w:left="380" w:right="2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revenue growth from existing customer expansion. Growth revenue from existing customers grew 177% over the fourth quarter of the prior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sales and use tax expense, insurance proceeds in relation to settled litigation, transition service income, and write-off of long-lived assets and others. We define adjusted gross profit as revenue less cost of revenue (exclusive of depreciation and amortization), and adjusted gross margin as adjusted gross profit as a percentage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2095739.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2095739.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At red violet, we believe that time is your most valuable asset. Through powerful analytics, we transform data into intelligence, in a fast and efficient manner, so that our clients can spend their time on what matters most - running their organizations with confidence. Through leading-edge, proprietary technology and a massive data repository, our analytics and information solutions harness the power of data fusion, uncovering the relevance of disparate data points and converting them into comprehensive and insightful views of people, businesses, assets and their interrelationships. We empower clients across markets and industries to better execute all aspects of their business, from managing risk, recovering debt, identifying fraud and abuse, and ensuring legislative compliance, to identifying and acquiring customers. At red violet, we are dedicated to making the world a safer place and reducing the cost of doing business. For more information, please visit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our relentless focus on driving customer-centric solutions into the marketplace will continue to fuel our growth, whether adjusted EBITDA is pacing towards $2 million for the 2020 first quarter and whether we have never been better positioned for the future than we are today.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2018 filed on March 7, 2019, as may be supplemented or amended by the Company's other SEC filings, including the Form 10-K for year ended December 31, 2019 expected to be filed today.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$40 and $77</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December 31, 2019 and 2018,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December 31, 2019 and December 31, 2018</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11,657,912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10,266,613 shares issued, 11,554,765 and 10,266,613 shares outstanding, as of</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December 31, 2019 and 2018</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and 0 shares as of December 31, 2019 and 2018</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(15,860)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558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10,762,881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4"/>
          <w:szCs w:val="14"/>
          <w:color w:val="auto"/>
        </w:rPr>
        <w:t>Share-based compensation expense in each category: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1040" w:type="dxa"/>
            <w:vAlign w:val="bottom"/>
            <w:gridSpan w:val="2"/>
            <w:shd w:val="clear" w:color="auto" w:fill="CFF0FC"/>
          </w:tcPr>
          <w:p>
            <w:pPr>
              <w:jc w:val="right"/>
              <w:ind w:right="6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FF0FC"/>
          </w:tcPr>
          <w:p>
            <w:pPr>
              <w:spacing w:after="0"/>
              <w:rPr>
                <w:sz w:val="14"/>
                <w:szCs w:val="14"/>
                <w:color w:val="auto"/>
              </w:rPr>
            </w:pPr>
          </w:p>
        </w:tc>
      </w:tr>
      <w:tr>
        <w:trPr>
          <w:trHeight w:val="162"/>
        </w:trPr>
        <w:tc>
          <w:tcPr>
            <w:tcW w:w="75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expenses</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9,459</w:t>
            </w: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FF0FC"/>
            </w:tcBorders>
          </w:tcPr>
          <w:p>
            <w:pPr>
              <w:spacing w:after="0"/>
              <w:rPr>
                <w:sz w:val="14"/>
                <w:szCs w:val="14"/>
                <w:color w:val="auto"/>
              </w:rPr>
            </w:pPr>
          </w:p>
        </w:tc>
      </w:tr>
      <w:tr>
        <w:trPr>
          <w:trHeight w:val="155"/>
        </w:trPr>
        <w:tc>
          <w:tcPr>
            <w:tcW w:w="7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9,913</w:t>
            </w:r>
          </w:p>
        </w:tc>
        <w:tc>
          <w:tcPr>
            <w:tcW w:w="3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6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709</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(11,076)</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Allocation of expenses from Fluent, Inc.</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Noncash lease expenses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(1,860)</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(3,501)</w:t>
            </w: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(8,053)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(5,912)</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(5,911)</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 contributed by Fluent, Inc.</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(1,255)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26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w:t>
            </w:r>
          </w:p>
        </w:tc>
        <w:tc>
          <w:tcPr>
            <w:tcW w:w="2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26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3,387</w:t>
            </w:r>
          </w:p>
        </w:tc>
        <w:tc>
          <w:tcPr>
            <w:tcW w:w="26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63"/>
        </w:trPr>
        <w:tc>
          <w:tcPr>
            <w:tcW w:w="7760" w:type="dxa"/>
            <w:vAlign w:val="bottom"/>
          </w:tcPr>
          <w:p>
            <w:pPr>
              <w:ind w:left="558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sales and use tax expense, insurance proceeds in relation to settled litigation,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Three Months Ended December 31,</w:t>
            </w:r>
          </w:p>
        </w:tc>
        <w:tc>
          <w:tcPr>
            <w:tcW w:w="280" w:type="dxa"/>
            <w:vAlign w:val="bottom"/>
          </w:tcPr>
          <w:p>
            <w:pPr>
              <w:spacing w:after="0"/>
              <w:rPr>
                <w:sz w:val="14"/>
                <w:szCs w:val="14"/>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50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 net</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Sales and use tax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Insurance proceeds in relation to settled litigation</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Transition service income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5"/>
              </w:rPr>
              <w:t>Three Months Ended December 31,</w:t>
            </w:r>
          </w:p>
        </w:tc>
        <w:tc>
          <w:tcPr>
            <w:tcW w:w="280" w:type="dxa"/>
            <w:vAlign w:val="bottom"/>
          </w:tcPr>
          <w:p>
            <w:pPr>
              <w:spacing w:after="0"/>
              <w:rPr>
                <w:sz w:val="14"/>
                <w:szCs w:val="14"/>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6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Q1'18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Q2'18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Q3'18</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Q4'18</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Q2'19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Q3'19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Q4'19</w:t>
            </w:r>
          </w:p>
        </w:tc>
      </w:tr>
      <w:tr>
        <w:trPr>
          <w:trHeight w:val="210"/>
        </w:trPr>
        <w:tc>
          <w:tcPr>
            <w:tcW w:w="2680" w:type="dxa"/>
            <w:vAlign w:val="bottom"/>
            <w:tcBorders>
              <w:top w:val="single" w:sz="8" w:color="CEF0FC"/>
            </w:tcBorders>
            <w:shd w:val="clear" w:color="auto" w:fill="CEF0FC"/>
          </w:tcPr>
          <w:p>
            <w:pPr>
              <w:spacing w:after="0"/>
              <w:rPr>
                <w:sz w:val="20"/>
                <w:szCs w:val="20"/>
                <w:color w:val="auto"/>
              </w:rPr>
            </w:pPr>
            <w:r>
              <w:rPr>
                <w:rFonts w:ascii="Arial" w:cs="Arial" w:eastAsia="Arial" w:hAnsi="Arial"/>
                <w:sz w:val="16"/>
                <w:szCs w:val="16"/>
                <w:b w:val="1"/>
                <w:bCs w:val="1"/>
                <w:color w:val="auto"/>
              </w:rPr>
              <w:t>Customer metrics</w:t>
            </w:r>
          </w:p>
        </w:tc>
        <w:tc>
          <w:tcPr>
            <w:tcW w:w="28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2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0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2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r>
      <w:tr>
        <w:trPr>
          <w:trHeight w:val="216"/>
        </w:trPr>
        <w:tc>
          <w:tcPr>
            <w:tcW w:w="2680" w:type="dxa"/>
            <w:vAlign w:val="bottom"/>
          </w:tcPr>
          <w:p>
            <w:pPr>
              <w:ind w:left="260"/>
              <w:spacing w:after="0" w:line="216"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5,064</w:t>
            </w:r>
          </w:p>
        </w:tc>
        <w:tc>
          <w:tcPr>
            <w:tcW w:w="140" w:type="dxa"/>
            <w:vAlign w:val="bottom"/>
          </w:tcPr>
          <w:p>
            <w:pPr>
              <w:spacing w:after="0"/>
              <w:rPr>
                <w:sz w:val="18"/>
                <w:szCs w:val="18"/>
                <w:color w:val="auto"/>
              </w:rPr>
            </w:pPr>
          </w:p>
        </w:tc>
      </w:tr>
      <w:tr>
        <w:trPr>
          <w:trHeight w:val="216"/>
        </w:trPr>
        <w:tc>
          <w:tcPr>
            <w:tcW w:w="268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28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2,427</w:t>
            </w:r>
          </w:p>
        </w:tc>
        <w:tc>
          <w:tcPr>
            <w:tcW w:w="1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5,095</w:t>
            </w:r>
          </w:p>
        </w:tc>
        <w:tc>
          <w:tcPr>
            <w:tcW w:w="1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7,872</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11,397</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15,444</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19,721</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23,853</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30,577</w:t>
            </w:r>
          </w:p>
        </w:tc>
        <w:tc>
          <w:tcPr>
            <w:tcW w:w="140" w:type="dxa"/>
            <w:vAlign w:val="bottom"/>
            <w:shd w:val="clear" w:color="auto" w:fill="CEF0FC"/>
          </w:tcPr>
          <w:p>
            <w:pPr>
              <w:spacing w:after="0"/>
              <w:rPr>
                <w:sz w:val="18"/>
                <w:szCs w:val="18"/>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b w:val="1"/>
                <w:bCs w:val="1"/>
                <w:color w:val="auto"/>
              </w:rPr>
              <w:t>Revenue metrics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8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2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840" w:type="dxa"/>
            <w:vAlign w:val="bottom"/>
            <w:gridSpan w:val="2"/>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r>
      <w:tr>
        <w:trPr>
          <w:trHeight w:val="216"/>
        </w:trPr>
        <w:tc>
          <w:tcPr>
            <w:tcW w:w="2680" w:type="dxa"/>
            <w:vAlign w:val="bottom"/>
          </w:tcPr>
          <w:p>
            <w:pPr>
              <w:ind w:left="260"/>
              <w:spacing w:after="0" w:line="216" w:lineRule="exact"/>
              <w:rPr>
                <w:sz w:val="20"/>
                <w:szCs w:val="20"/>
                <w:color w:val="auto"/>
              </w:rPr>
            </w:pPr>
            <w:r>
              <w:rPr>
                <w:rFonts w:ascii="Arial" w:cs="Arial" w:eastAsia="Arial" w:hAnsi="Arial"/>
                <w:sz w:val="15"/>
                <w:szCs w:val="15"/>
                <w:color w:val="auto"/>
              </w:rPr>
              <w:t>Net revenue attrition %</w:t>
            </w:r>
            <w:r>
              <w:rPr>
                <w:rFonts w:ascii="Arial" w:cs="Arial" w:eastAsia="Arial" w:hAnsi="Arial"/>
                <w:sz w:val="25"/>
                <w:szCs w:val="25"/>
                <w:color w:val="auto"/>
                <w:vertAlign w:val="superscript"/>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6"/>
        </w:trPr>
        <w:tc>
          <w:tcPr>
            <w:tcW w:w="268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44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756</w:t>
            </w:r>
          </w:p>
        </w:tc>
        <w:tc>
          <w:tcPr>
            <w:tcW w:w="140" w:type="dxa"/>
            <w:vAlign w:val="bottom"/>
            <w:shd w:val="clear" w:color="auto" w:fill="CEF0FC"/>
          </w:tcPr>
          <w:p>
            <w:pPr>
              <w:spacing w:after="0"/>
              <w:rPr>
                <w:sz w:val="18"/>
                <w:szCs w:val="18"/>
                <w:color w:val="auto"/>
              </w:rPr>
            </w:pPr>
          </w:p>
        </w:tc>
        <w:tc>
          <w:tcPr>
            <w:tcW w:w="18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802</w:t>
            </w:r>
          </w:p>
        </w:tc>
        <w:tc>
          <w:tcPr>
            <w:tcW w:w="140" w:type="dxa"/>
            <w:vAlign w:val="bottom"/>
            <w:shd w:val="clear" w:color="auto" w:fill="CEF0FC"/>
          </w:tcPr>
          <w:p>
            <w:pPr>
              <w:spacing w:after="0"/>
              <w:rPr>
                <w:sz w:val="18"/>
                <w:szCs w:val="18"/>
                <w:color w:val="auto"/>
              </w:rPr>
            </w:pPr>
          </w:p>
        </w:tc>
        <w:tc>
          <w:tcPr>
            <w:tcW w:w="18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842</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1,096</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1,285</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1,406</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1,018</w:t>
            </w:r>
          </w:p>
        </w:tc>
        <w:tc>
          <w:tcPr>
            <w:tcW w:w="140" w:type="dxa"/>
            <w:vAlign w:val="bottom"/>
            <w:shd w:val="clear" w:color="auto" w:fill="CEF0FC"/>
          </w:tcPr>
          <w:p>
            <w:pPr>
              <w:spacing w:after="0"/>
              <w:rPr>
                <w:sz w:val="18"/>
                <w:szCs w:val="18"/>
                <w:color w:val="auto"/>
              </w:rPr>
            </w:pPr>
          </w:p>
        </w:tc>
      </w:tr>
      <w:tr>
        <w:trPr>
          <w:trHeight w:val="203"/>
        </w:trPr>
        <w:tc>
          <w:tcPr>
            <w:tcW w:w="2680" w:type="dxa"/>
            <w:vAlign w:val="bottom"/>
          </w:tcPr>
          <w:p>
            <w:pPr>
              <w:ind w:left="260"/>
              <w:spacing w:after="0"/>
              <w:rPr>
                <w:sz w:val="20"/>
                <w:szCs w:val="20"/>
                <w:color w:val="auto"/>
              </w:rPr>
            </w:pPr>
            <w:r>
              <w:rPr>
                <w:rFonts w:ascii="Arial" w:cs="Arial" w:eastAsia="Arial" w:hAnsi="Arial"/>
                <w:sz w:val="16"/>
                <w:szCs w:val="16"/>
                <w:color w:val="auto"/>
              </w:rPr>
              <w:t>Base revenue from existing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680" w:type="dxa"/>
            <w:vAlign w:val="bottom"/>
          </w:tcPr>
          <w:p>
            <w:pPr>
              <w:ind w:left="260"/>
              <w:spacing w:after="0" w:line="216" w:lineRule="exact"/>
              <w:rPr>
                <w:sz w:val="20"/>
                <w:szCs w:val="20"/>
                <w:color w:val="auto"/>
              </w:rPr>
            </w:pPr>
            <w:r>
              <w:rPr>
                <w:rFonts w:ascii="Arial" w:cs="Arial" w:eastAsia="Arial" w:hAnsi="Arial"/>
                <w:sz w:val="15"/>
                <w:szCs w:val="15"/>
                <w:color w:val="auto"/>
              </w:rPr>
              <w:t>customers</w:t>
            </w:r>
            <w:r>
              <w:rPr>
                <w:rFonts w:ascii="Arial" w:cs="Arial" w:eastAsia="Arial" w:hAnsi="Arial"/>
                <w:sz w:val="25"/>
                <w:szCs w:val="25"/>
                <w:color w:val="auto"/>
                <w:vertAlign w:val="superscript"/>
              </w:rPr>
              <w:t>(6)</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1,952</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2,472</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2,934</w:t>
            </w:r>
          </w:p>
        </w:tc>
        <w:tc>
          <w:tcPr>
            <w:tcW w:w="1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3,127</w:t>
            </w:r>
          </w:p>
        </w:tc>
        <w:tc>
          <w:tcPr>
            <w:tcW w:w="1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3,593</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4,480</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5,578</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6,690</w:t>
            </w:r>
          </w:p>
        </w:tc>
        <w:tc>
          <w:tcPr>
            <w:tcW w:w="140" w:type="dxa"/>
            <w:vAlign w:val="bottom"/>
          </w:tcPr>
          <w:p>
            <w:pPr>
              <w:spacing w:after="0"/>
              <w:rPr>
                <w:sz w:val="18"/>
                <w:szCs w:val="18"/>
                <w:color w:val="auto"/>
              </w:rPr>
            </w:pPr>
          </w:p>
        </w:tc>
      </w:tr>
      <w:tr>
        <w:trPr>
          <w:trHeight w:val="203"/>
        </w:trPr>
        <w:tc>
          <w:tcPr>
            <w:tcW w:w="2680" w:type="dxa"/>
            <w:vAlign w:val="bottom"/>
            <w:shd w:val="clear" w:color="auto" w:fill="CEF0FC"/>
          </w:tcPr>
          <w:p>
            <w:pPr>
              <w:ind w:left="260"/>
              <w:spacing w:after="0"/>
              <w:rPr>
                <w:sz w:val="20"/>
                <w:szCs w:val="20"/>
                <w:color w:val="auto"/>
              </w:rPr>
            </w:pPr>
            <w:r>
              <w:rPr>
                <w:rFonts w:ascii="Arial" w:cs="Arial" w:eastAsia="Arial" w:hAnsi="Arial"/>
                <w:sz w:val="16"/>
                <w:szCs w:val="16"/>
                <w:color w:val="auto"/>
              </w:rPr>
              <w:t>Growth revenue from existing</w:t>
            </w:r>
          </w:p>
        </w:tc>
        <w:tc>
          <w:tcPr>
            <w:tcW w:w="28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0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r>
      <w:tr>
        <w:trPr>
          <w:trHeight w:val="216"/>
        </w:trPr>
        <w:tc>
          <w:tcPr>
            <w:tcW w:w="268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customers</w:t>
            </w:r>
            <w:r>
              <w:rPr>
                <w:rFonts w:ascii="Arial" w:cs="Arial" w:eastAsia="Arial" w:hAnsi="Arial"/>
                <w:sz w:val="25"/>
                <w:szCs w:val="25"/>
                <w:color w:val="auto"/>
                <w:vertAlign w:val="superscript"/>
              </w:rPr>
              <w:t>(7)</w:t>
            </w:r>
          </w:p>
        </w:tc>
        <w:tc>
          <w:tcPr>
            <w:tcW w:w="44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EF0FC"/>
          </w:tcPr>
          <w:p>
            <w:pPr>
              <w:spacing w:after="0"/>
              <w:rPr>
                <w:sz w:val="18"/>
                <w:szCs w:val="18"/>
                <w:color w:val="auto"/>
              </w:rPr>
            </w:pPr>
          </w:p>
        </w:tc>
        <w:tc>
          <w:tcPr>
            <w:tcW w:w="18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635</w:t>
            </w:r>
          </w:p>
        </w:tc>
        <w:tc>
          <w:tcPr>
            <w:tcW w:w="140" w:type="dxa"/>
            <w:vAlign w:val="bottom"/>
            <w:shd w:val="clear" w:color="auto" w:fill="CEF0FC"/>
          </w:tcPr>
          <w:p>
            <w:pPr>
              <w:spacing w:after="0"/>
              <w:rPr>
                <w:sz w:val="18"/>
                <w:szCs w:val="18"/>
                <w:color w:val="auto"/>
              </w:rPr>
            </w:pPr>
          </w:p>
        </w:tc>
        <w:tc>
          <w:tcPr>
            <w:tcW w:w="18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584</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485</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856</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1,169</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1,273</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1,342</w:t>
            </w:r>
          </w:p>
        </w:tc>
        <w:tc>
          <w:tcPr>
            <w:tcW w:w="140" w:type="dxa"/>
            <w:vAlign w:val="bottom"/>
            <w:shd w:val="clear" w:color="auto" w:fill="CEF0FC"/>
          </w:tcPr>
          <w:p>
            <w:pPr>
              <w:spacing w:after="0"/>
              <w:rPr>
                <w:sz w:val="18"/>
                <w:szCs w:val="18"/>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b w:val="1"/>
                <w:bCs w:val="1"/>
                <w:color w:val="auto"/>
              </w:rPr>
              <w:t>Other metrics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68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2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EF0FC"/>
          </w:tcPr>
          <w:p>
            <w:pPr>
              <w:spacing w:after="0"/>
              <w:rPr>
                <w:sz w:val="19"/>
                <w:szCs w:val="19"/>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r>
      <w:tr>
        <w:trPr>
          <w:trHeight w:val="219"/>
        </w:trPr>
        <w:tc>
          <w:tcPr>
            <w:tcW w:w="268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2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r>
      <w:tr>
        <w:trPr>
          <w:trHeight w:val="219"/>
        </w:trPr>
        <w:tc>
          <w:tcPr>
            <w:tcW w:w="268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2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EF0FC"/>
          </w:tcPr>
          <w:p>
            <w:pPr>
              <w:spacing w:after="0"/>
              <w:rPr>
                <w:sz w:val="19"/>
                <w:szCs w:val="19"/>
                <w:color w:val="auto"/>
              </w:rPr>
            </w:pPr>
          </w:p>
        </w:tc>
      </w:tr>
    </w:tbl>
    <w:p>
      <w:pPr>
        <w:spacing w:after="0" w:line="256" w:lineRule="exact"/>
        <w:rPr>
          <w:sz w:val="20"/>
          <w:szCs w:val="20"/>
          <w:color w:val="auto"/>
        </w:rPr>
      </w:pPr>
    </w:p>
    <w:p>
      <w:pPr>
        <w:jc w:val="both"/>
        <w:ind w:left="380" w:right="30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month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21"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8"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8"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attrition is defined as the revenue lost as a result of customer attrition, net of reinstated customer revenue, excluding FOREWARN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Net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30"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8" w:lineRule="exact"/>
        <w:rPr>
          <w:rFonts w:ascii="Arial" w:cs="Arial" w:eastAsia="Arial" w:hAnsi="Arial"/>
          <w:sz w:val="18"/>
          <w:szCs w:val="18"/>
          <w:color w:val="auto"/>
        </w:rPr>
      </w:pPr>
    </w:p>
    <w:p>
      <w:pPr>
        <w:ind w:left="380" w:right="160" w:hanging="372"/>
        <w:spacing w:after="0" w:line="316"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 w:lineRule="exact"/>
        <w:rPr>
          <w:rFonts w:ascii="Arial" w:cs="Arial" w:eastAsia="Arial" w:hAnsi="Arial"/>
          <w:sz w:val="16"/>
          <w:szCs w:val="16"/>
          <w:color w:val="auto"/>
        </w:rPr>
      </w:pPr>
    </w:p>
    <w:p>
      <w:pPr>
        <w:ind w:left="380" w:right="3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7"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Earnings Results Conference Call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Derek Dubner, Interim Chairman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Good day ladies and gentlemen, and welcome to red violet’s fourth quarter 2019 earnings conference call. At this time, all participants are in a listen only mode. Later we will conduct a question and answer session and instructions will follow at that time. If anyone should require operator assistance, please press star then zero on your touch tone telephone.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2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fourth quarter 2019 financial results. With me today is Derek Dubner, our Chief Executive Officer, and Dan MacLachlan, our Chief Financial Officer. Our call today will begin with comments from Derek and Dan, followed by a question and answer session.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7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the call, we may present certain non-GAAP financial information relating to adjusted gross profit, adjusted gross margin and adjusted EBITDA. Reconciliations of these non-GAAP financial measures to their most directly comparable GAAP financial measure are provided in the fourth quarter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Chief Executive Officer, Derek Dubner.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Derek Dubner</w:t>
      </w:r>
    </w:p>
    <w:p>
      <w:pPr>
        <w:spacing w:after="0" w:line="2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Thank you, and good afternoon to those joining us today to discuss our fourth quarter 2019 results. We are pleased to report a very strong fourth quarter, which capped off a stellar 2019. For the fourth quarter, we saw record revenue of $9.1 million, a 92% increase over fourth quarter 2018, led by strong growth from existing customer expansion, with a 177% increase in growth from revenue from existing customers. Adjusted gross profit increased 134% to $5.6 million and our adjusted gross margin increased to 62% from 51% in the same period of 2018. Adjusted EBITDA was $0.8 million. Adjusted EBITDA for the fourth quarter would have been $1.5 million factoring in one item which Dan will discuss later.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2019, total revenue increased 86% to $30.3 million and adjusted EBITDA grew $6.4 million to $1.9 million.</w:t>
      </w:r>
    </w:p>
    <w:p>
      <w:pPr>
        <w:spacing w:after="0" w:line="2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demonstrated by our performance, we are pleased with the strength we saw in our business in the fourth quarter, especially given that the fourth quarter has historically presented headwinds for our industry. As to idiCORE, our flagship product, we continue to execute in furtherance of penetrating various verticals and moving upmarket within verticals. On the FOREWARN front, our subscription app-based solution for face-to-face engagement, we continue to penetrate the real estate industry with this first-of-its-kind real-time identity verification and risk mitigation tool. Real estate association after association are securing the services of FOREWARN for their membership, highlighting the inevitable fact that this solution should be in every real estate professional’s hand. We proudly recently announced our first two statewide adoptions of FOREWARN by Maine and Connecticut and we expect more to follow. We are also developing new applications for FOREWARN in other industries reliant on face-to-face engagement.</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seeing broad based strength throughout the business, across brands and delivery channels. During the quarter, we added over 280 new idiCORE customers and over 6,700 FOREWARN users. Online and batch channels grew 47% and 77% respectively over fourth quarter 2018. API, where our larger customers leverage the power of our data and industry agnostic platform, CORE, to integrate directly with their systems, saw the largest growth with</w:t>
      </w:r>
    </w:p>
    <w:p>
      <w:pPr>
        <w:spacing w:after="0" w:line="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210%. Our platform provides for a standard, yet easily customizable, dynamic API, along with other means of product utilization, that allows us to deliver mission-critical solutions for many industries, generating real-time insights and enabling better data-driven decisioning. We are very encouraged as we continue to drive revenue from larger customers and create opportunities in new market segments that were previously not available to us.</w:t>
      </w:r>
    </w:p>
    <w:p>
      <w:pPr>
        <w:spacing w:after="0" w:line="1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 a first-class team of data scientists, engineers and technology personnel, we are leading the charge in our industry. Engineered in the cloud from the ground up, CORE is proving to be differentiated technology, delivering speed, flexibility, efficiency, and scalability that our customers are not getting from the competition. As well, we continue to aggregate and assimilate a massive data repository consisting of public record, publicly-available and proprietary data, including a trove of self-reported consumer data. We maintain a durable, scalable, cloud infrastructure by which we store and deploy our data assets and solutions. And throughout our development cycle, we are intently focused on the customer experience. From the first point of contact with a prospect, through setup, product trial, integration, customization, product use and relationship management, understanding and solving for the customer’s needs are our primary goal.</w:t>
      </w:r>
    </w:p>
    <w:p>
      <w:pPr>
        <w:spacing w:after="0" w:line="1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As I have discussed before, our business is driven by three guiding principles: drive innovation, create differentiated technology and solutions, and maintain a relentless focus on the customer experience. Our numbers continue to confirm that we are executing on those principles.</w:t>
      </w:r>
    </w:p>
    <w:p>
      <w:pPr>
        <w:spacing w:after="0" w:line="1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are very proud of our performance in 2019, generating $30.3 million in revenues, compared to $16.3 million in 2018. For 2020, we are off to another record-breaking start and remain well positioned to deliver what we believe will be another transformative year. With the first two months of 2020 behind us, we are currently on pace to achieve $2.0 million in adjusted EBITDA in the first quarter of 2020. This is particularly exciting as this would exceed our entire adjusted EBITDA for all of 2019.</w:t>
      </w:r>
    </w:p>
    <w:p>
      <w:pPr>
        <w:spacing w:after="0" w:line="1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a terrific team, leading technology, and differentiated products and solutions. I have great confidence that we will continue to deliver for the foreseeable future. With that, I turn it over to Dan to discuss the financials.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2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Thank you, Derek, and good afternoon. This has been an extraordinary year for red violet. Across the entire organization, our teams have been incredibly focused and disciplined and we’re seeing this translate into our numbers quarter after quarter. In addition to the key accomplishments Derek addressed, I wanted to highlight some 2019 financial metrics that I believe will give you a clear picture of the operational leverage of our business and what that means for us going forward in 2020. For the full-year 2019, our $14.0 million increase in revenue translated into a $10.4 million increase in adjusted gross profit. That $10.4 million increase by itself is a great measure of our leverage. But, to give you an idea of how that ultimately translates to cash flow, we generated $9.7 million of incremental cash flow from operations off that $10.4 million increase in adjusted gross profit. That is greater than 90% contribution of adjusted gross profit to cash flow from operations in 2019. We’re extremely proud of this number. It is a testament to our technology platform, our people, and the ability to leverage this business model and drive profitably into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I’m excited to report on our record setting fourth quarter. Starting with our consolidated results, for clarity, all the comparisons I will discuss today will be against the fourth quarter of 2018, unless noted otherwise.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Revenue increased 92% to $9.1 million led by strong growth from existing customer expansion, with 177% increase in growth revenue from existing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customers. Adjusted gross profit increased 134% to $5.6 million and our adjusted gross margin increased to 62% from 51%. Our adjusted EBITDA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compared to a negative $1.0 million in the fourth quarter of 2018. We expect to see continued strong margin and adjusted EBITDA expansion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throughout 2020 as we continue to capitalize on the P&amp;L’s operating leverage.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do want to highlight one item that was included in our $0.8 million in adjusted EBITDA for the fourth quarter. There was a total of $0.7 million in year-end discretionary cash bonuses to employees granted as a result of the Company’s 2019 performance. Although discretionary and not necessarily recurring, because this was related to compensation, we did not back this amount out of adjusted EBITDA. If you exclude the $0.7 million in discretionary cash bonuses, the adjusted EBITDA for the fourth quarter would have been $1.5 million.</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Continuing to the details of our P&amp;L, as mentioned, revenues were $9.1 million for the fourth quarter. We added over 280 new customers to idiCORE and over 6,700 users to FOREWARN in the quarter. In what has historically been a seasonally slower quarter for us, the new customer and new user numbers are extremely encouraging. In addition, we saw stellar revenue growth from existing customers as larger customers continue to increase their volume and spend with us. We increased the headcount of our sales team in the fourth quarter and will continue to expand our sales capabilities throughout 2020. With continued revenue expansion from existing customers driven by product enhancements and an increasing salesforce that has been optimized to drive new business, we believe we are well positioned to fuel accelerated revenue growth in 2020.</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Moving down the P&amp;L, our cost of revenues were $3.4 million compared to $2.3 million for the fourth quarter 2018. This $1.1 million increase was a result of increases in data licensing and infrastructure costs. Adjusted gross profit increased 134% to $5.6 million, producing an adjusted gross margin of 62%, an 11 percentage point increase over fourth quarter 2018. As I discussed earlier, we expect to see our adjusted gross margin continue to expand throughout 2020 as we drive revenue growth.</w:t>
      </w:r>
    </w:p>
    <w:p>
      <w:pPr>
        <w:spacing w:after="0" w:line="16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Sales and marketing expenses increased to $0.8 million. I’m sorry, sales and marketing expenses increased $0.8 million to $2.1 million for the fourth quarter. The increase was due primarily to increased headcount and sales commissions related to revenue growth. The $2.1 million of sales and marketing expense for the quarter consisted primarily of $1.0 million in employee salaries and benefits and $0.5 million in sales commissions.</w:t>
      </w:r>
    </w:p>
    <w:p>
      <w:pPr>
        <w:spacing w:after="0" w:line="15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General and administrative expenses were $7.6 million for the quarter, consisting primarily of $4.5 million of non-cash share-based compensation which includes a one-time $2.3 million charge, $1.6 million of employee salaries and benefits and $0.8 million in accounting, IT and other professional</w:t>
      </w:r>
    </w:p>
    <w:p>
      <w:pPr>
        <w:ind w:right="140"/>
        <w:spacing w:after="0" w:line="273" w:lineRule="auto"/>
        <w:rPr>
          <w:sz w:val="20"/>
          <w:szCs w:val="20"/>
          <w:color w:val="auto"/>
        </w:rPr>
      </w:pPr>
      <w:r>
        <w:rPr>
          <w:rFonts w:ascii="Arial" w:cs="Arial" w:eastAsia="Arial" w:hAnsi="Arial"/>
          <w:sz w:val="17"/>
          <w:szCs w:val="17"/>
          <w:color w:val="auto"/>
        </w:rPr>
        <w:t>fees. Compared to the fourth quarter 2018, general and administrative expenses increased $5.0 million, attributed primarily to a $4.2 million increase in non-cash share-based compensation. In addition to the one-time share-based expense and the discretionary bonuses discussed earlier, the fourth quarter included a charge of $0.2 million for the settlement of a sales and use tax audit open since the first quarter 2018. Excluding these non-recurring items, we expect our general and administrative expenses to trend between $4.5 and $5.0 million over the next several quarters.</w:t>
      </w:r>
    </w:p>
    <w:p>
      <w:pPr>
        <w:spacing w:after="0" w:line="1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was $0.8 million for the quarter, compared to $0.6 million in fourth quarter 2018. This increase was primarily the result of the amortization of internally developed software.</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loss was $4.9 million for the quarter, largely a result of non-cash share-based compensation expense of $4.6 million. Comparatively, net loss for the fourth quarter 2018 was $2.0 million, which included $0.3 million of non-cash share-based compensation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42 cents per share for the quarter based on a weighted average share count of 11.6 million shares.</w:t>
      </w:r>
    </w:p>
    <w:p>
      <w:pPr>
        <w:spacing w:after="0" w:line="21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Moving on to the balance sheet, cash and cash equivalents were $11.8 million at December 31, 2019, compared to $10.0 million at December 31, 2018. Current assets were $16.0 million compared to $13.1 million and current liabilities were $4.3 million compared to $3.5 million.</w:t>
      </w:r>
    </w:p>
    <w:p>
      <w:pPr>
        <w:spacing w:after="0" w:line="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generated $1.6 million in cash from operating activities for the twelve months ended December 31, 2019, compared to using $8.1 million in cash for operating activities for the same period in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80"/>
        <w:spacing w:after="0" w:line="279" w:lineRule="auto"/>
        <w:rPr>
          <w:sz w:val="20"/>
          <w:szCs w:val="20"/>
          <w:color w:val="auto"/>
        </w:rPr>
      </w:pPr>
      <w:r>
        <w:rPr>
          <w:rFonts w:ascii="Arial" w:cs="Arial" w:eastAsia="Arial" w:hAnsi="Arial"/>
          <w:sz w:val="17"/>
          <w:szCs w:val="17"/>
          <w:color w:val="auto"/>
        </w:rPr>
        <w:t>Internally, we track our operational cash earn versus burn on a monthly basis by calculating adjusted EBITDA and subtracting the cash we use for the development of internal use software and other capital expenses, both found on our statement of cash flows. Based on this earn/burn analysis, we burned $0.7 million for the fourth quarter 2019, compared to burning $2.5 million for the fourth quarter 2018. Additionally, if your remove the discretionary cash bonuses I discussed earlier, we would have been earn/burn breakeven in the fourth quarter 2019.</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used in investing activities was $6.0 million for the twelve months ended December 31, 2019, mainly the result of $5.9 million used for software developed for internal use.</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provided by financing activities was $6.2 million for the twelve months ended December 31, 2019, resulting from the net proceeds of $7.4 million of capital raised in the third quarter less $1.3 million of cash used for the taxes on the net settlement of 103,000 shares, now included in our treasury, of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Ladies and Gentlemen, if you have a question at this time, please press star and then the number one key on your touch tone telephone. If your question has been answered or you wish to remove yourself the que, you may press the pound key.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2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Thank you. Seeing no questions today, we appreciate everyone joining our conference call today and we look forward to reporting to you our progress on our next quarterly call. Good afternoon.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this concludes today’s conference call. You may now disconnect.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2020-03-16T07:17:38Z</dcterms:created>
  <dcterms:modified xsi:type="dcterms:W3CDTF">2020-03-16T07:17:38Z</dcterms:modified>
</cp:coreProperties>
</file>