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40331.htm"/>
      <w:bookmarkStart w:id="1" w:name="ksrdvt2024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001-38407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588" w:type="dxa"/>
        <w:jc w:val="left"/>
        <w:tblInd w:w="0" w:type="dxa"/>
        <w:tblLayout w:type="fixed"/>
        <w:tblCellMar>
          <w:top w:w="28" w:type="dxa"/>
          <w:left w:w="28" w:type="dxa"/>
          <w:bottom w:w="28" w:type="dxa"/>
          <w:right w:w="28" w:type="dxa"/>
        </w:tblCellMar>
      </w:tblPr>
      <w:tblGrid>
        <w:gridCol w:w="4696"/>
        <w:gridCol w:w="14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82-2408531</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2650 North Military Trail, Suite 300, Boca Raton, Florida</w:t>
      </w:r>
      <w:r>
        <w:rPr>
          <w:rFonts w:ascii="Times New Roman" w:hAnsi="Times New Roman"/>
          <w:color w:val="000000"/>
          <w:sz w:val="20"/>
        </w:rPr>
        <w:t xml:space="preserve"> </w:t>
      </w:r>
      <w:r>
        <w:rPr>
          <w:rFonts w:ascii="Times New Roman" w:hAnsi="Times New Roman"/>
          <w:b/>
          <w:color w:val="000000"/>
          <w:sz w:val="20"/>
        </w:rPr>
        <w:t>33431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(561) 757-4000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6" w:type="dxa"/>
        <w:jc w:val="left"/>
        <w:tblInd w:w="0" w:type="dxa"/>
        <w:tblLayout w:type="fixed"/>
        <w:tblCellMar>
          <w:top w:w="28" w:type="dxa"/>
          <w:left w:w="28" w:type="dxa"/>
          <w:bottom w:w="28" w:type="dxa"/>
          <w:right w:w="28" w:type="dxa"/>
        </w:tblCellMar>
      </w:tblPr>
      <w:tblGrid>
        <w:gridCol w:w="1921"/>
        <w:gridCol w:w="701"/>
        <w:gridCol w:w="391"/>
        <w:gridCol w:w="2386"/>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6, 2024, the registrant had 13,730,543 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FORM 10-Q</w:t>
      </w:r>
    </w:p>
    <w:tbl>
      <w:tblPr>
        <w:tblW w:w="10205" w:type="dxa"/>
        <w:jc w:val="left"/>
        <w:tblInd w:w="0" w:type="dxa"/>
        <w:tblLayout w:type="fixed"/>
        <w:tblCellMar>
          <w:top w:w="28" w:type="dxa"/>
          <w:left w:w="28" w:type="dxa"/>
          <w:bottom w:w="28" w:type="dxa"/>
          <w:right w:w="28" w:type="dxa"/>
        </w:tblCellMar>
      </w:tblPr>
      <w:tblGrid>
        <w:gridCol w:w="744"/>
        <w:gridCol w:w="161"/>
        <w:gridCol w:w="8368"/>
        <w:gridCol w:w="283"/>
        <w:gridCol w:w="649"/>
      </w:tblGrid>
      <w:tr>
        <w:trPr/>
        <w:tc>
          <w:tcPr>
            <w:tcW w:w="7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b/>
                <w:color w:val="000000"/>
                <w:sz w:val="16"/>
              </w:rPr>
            </w:pPr>
            <w:r>
              <w:rPr>
                <w:rFonts w:ascii="Times New Roman" w:hAnsi="Times New Roman"/>
                <w:b/>
                <w:color w:val="000000"/>
                <w:sz w:val="16"/>
              </w:rPr>
              <w:t>Page</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2024 and December 31, 2023</w:t>
              </w:r>
            </w:hyperlink>
            <w:hyperlink w:anchor="condensed_consolidated_balance_sheets">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68" w:type="dxa"/>
            <w:tcBorders/>
            <w:shd w:fill="FFFFFF" w:val="clear"/>
            <w:tcMar>
              <w:top w:w="0" w:type="dxa"/>
              <w:left w:w="0" w:type="dxa"/>
              <w:bottom w:w="0" w:type="dxa"/>
              <w:right w:w="0" w:type="dxa"/>
            </w:tcMar>
            <w:vAlign w:val="center"/>
          </w:tcPr>
          <w:p>
            <w:pPr>
              <w:pStyle w:val="TableContents"/>
              <w:pBdr/>
              <w:bidi w:val="0"/>
              <w:spacing w:before="0" w:after="283"/>
              <w:ind w:left="0" w:right="0" w:hanging="1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months ended March 31, 2024 and 2023</w:t>
              </w:r>
            </w:hyperlink>
            <w:hyperlink w:anchor="condensed_consolidated_statements_operat">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changes">
              <w:r>
                <w:rPr>
                  <w:rStyle w:val="InternetLink"/>
                  <w:rFonts w:ascii="Times New Roman" w:hAnsi="Times New Roman"/>
                  <w:color w:val="0000FF"/>
                  <w:sz w:val="20"/>
                  <w:u w:val="single"/>
                </w:rPr>
                <w:t>Condensed consolidated statements of changes in shareholders' equity for the three months ended March 31, 2024 and 2023</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68" w:type="dxa"/>
            <w:tcBorders/>
            <w:shd w:fill="FFFFFF" w:val="clear"/>
            <w:tcMar>
              <w:top w:w="0" w:type="dxa"/>
              <w:left w:w="0" w:type="dxa"/>
              <w:bottom w:w="0" w:type="dxa"/>
              <w:right w:w="0" w:type="dxa"/>
            </w:tcMar>
            <w:vAlign w:val="center"/>
          </w:tcPr>
          <w:p>
            <w:pPr>
              <w:pStyle w:val="TableContents"/>
              <w:pBdr/>
              <w:bidi w:val="0"/>
              <w:spacing w:before="0" w:after="283"/>
              <w:ind w:left="0" w:right="0" w:hanging="15"/>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2024 and 2023</w:t>
              </w:r>
            </w:hyperlink>
            <w:hyperlink w:anchor="condensed_consolidated_statements_cash_f">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80"/>
                  <w:sz w:val="20"/>
                  <w:u w:val="single"/>
                </w:rPr>
                <w:t>Mine Safety Disclosure</w:t>
              </w:r>
            </w:hyperlink>
            <w:r>
              <w:rPr>
                <w:rFonts w:ascii="Times New Roman" w:hAnsi="Times New Roman"/>
                <w:color w:val="0000FF"/>
                <w:sz w:val="20"/>
                <w:u w:val="single"/>
              </w:rPr>
              <w: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required by the context, all references in this Quarterly Report on Form 10-Q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3"/>
        <w:gridCol w:w="146"/>
        <w:gridCol w:w="296"/>
        <w:gridCol w:w="953"/>
        <w:gridCol w:w="166"/>
        <w:gridCol w:w="146"/>
        <w:gridCol w:w="352"/>
        <w:gridCol w:w="1130"/>
        <w:gridCol w:w="213"/>
      </w:tblGrid>
      <w:tr>
        <w:trPr/>
        <w:tc>
          <w:tcPr>
            <w:tcW w:w="6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vAlign w:val="center"/>
          </w:tcPr>
          <w:p>
            <w:pPr>
              <w:pStyle w:val="TableContents"/>
              <w:bidi w:val="0"/>
              <w:spacing w:before="0" w:after="283"/>
              <w:jc w:val="left"/>
              <w:rPr/>
            </w:pPr>
            <w:r>
              <w:rPr/>
              <w:t> </w:t>
            </w:r>
          </w:p>
        </w:tc>
        <w:tc>
          <w:tcPr>
            <w:tcW w:w="12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$212 and $159 as of</w:t>
              <w:br/>
              <w: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40,280</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2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13,942,164 and</w:t>
              <w:br/>
              <w:t>  13,980,274 shares issued, and 13,740,164 and 13,970,846 shares outstanding, as of</w:t>
              <w:br/>
              <w:t>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202,000 and 9,428 shares as of March 31, 2024 and</w:t>
              <w:br/>
              <w:t>  December 31, 2023</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1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213" w:type="dxa"/>
            <w:tcBorders/>
            <w:shd w:fill="CFF0FC" w:val="cle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184" w:type="dxa"/>
        <w:jc w:val="left"/>
        <w:tblInd w:w="0" w:type="dxa"/>
        <w:tblLayout w:type="fixed"/>
        <w:tblCellMar>
          <w:top w:w="28" w:type="dxa"/>
          <w:left w:w="28" w:type="dxa"/>
          <w:bottom w:w="28" w:type="dxa"/>
          <w:right w:w="28" w:type="dxa"/>
        </w:tblCellMar>
      </w:tblPr>
      <w:tblGrid>
        <w:gridCol w:w="5041"/>
        <w:gridCol w:w="146"/>
        <w:gridCol w:w="211"/>
        <w:gridCol w:w="1036"/>
        <w:gridCol w:w="146"/>
        <w:gridCol w:w="146"/>
        <w:gridCol w:w="211"/>
        <w:gridCol w:w="1036"/>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211" w:type="dxa"/>
            <w:tcBorders/>
            <w:shd w:fill="FFFFFF" w:val="cle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211"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11" w:type="dxa"/>
            <w:tcBorders/>
            <w:shd w:fill="FFFFFF" w:val="cle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1" w:type="dxa"/>
            <w:tcBorders/>
            <w:shd w:fill="FFFFFF" w:val="cle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13,997,154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14,236,771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418"/>
        <w:gridCol w:w="146"/>
        <w:gridCol w:w="146"/>
        <w:gridCol w:w="1036"/>
        <w:gridCol w:w="166"/>
        <w:gridCol w:w="146"/>
        <w:gridCol w:w="276"/>
        <w:gridCol w:w="415"/>
        <w:gridCol w:w="146"/>
        <w:gridCol w:w="146"/>
        <w:gridCol w:w="146"/>
        <w:gridCol w:w="841"/>
        <w:gridCol w:w="166"/>
        <w:gridCol w:w="146"/>
        <w:gridCol w:w="211"/>
        <w:gridCol w:w="631"/>
        <w:gridCol w:w="166"/>
        <w:gridCol w:w="146"/>
        <w:gridCol w:w="223"/>
        <w:gridCol w:w="714"/>
        <w:gridCol w:w="166"/>
        <w:gridCol w:w="146"/>
        <w:gridCol w:w="234"/>
        <w:gridCol w:w="817"/>
        <w:gridCol w:w="166"/>
        <w:gridCol w:w="146"/>
        <w:gridCol w:w="211"/>
        <w:gridCol w:w="676"/>
        <w:gridCol w:w="212"/>
      </w:tblGrid>
      <w:tr>
        <w:trPr/>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71,093</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77" w:type="dxa"/>
        <w:jc w:val="left"/>
        <w:tblInd w:w="0" w:type="dxa"/>
        <w:tblLayout w:type="fixed"/>
        <w:tblCellMar>
          <w:top w:w="28" w:type="dxa"/>
          <w:left w:w="28" w:type="dxa"/>
          <w:bottom w:w="28" w:type="dxa"/>
          <w:right w:w="28" w:type="dxa"/>
        </w:tblCellMar>
      </w:tblPr>
      <w:tblGrid>
        <w:gridCol w:w="6721"/>
        <w:gridCol w:w="146"/>
        <w:gridCol w:w="242"/>
        <w:gridCol w:w="778"/>
        <w:gridCol w:w="191"/>
        <w:gridCol w:w="168"/>
        <w:gridCol w:w="242"/>
        <w:gridCol w:w="778"/>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INFORMATION:</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Basis of preparation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in this quarterly report on Form 10-Q should be read in conjunction with the consolidated financial statements and accompanying notes included in the Company’s Annual Report on Form 10-K for the year ended December 31, 2023 filed with the SEC on March 7, 2024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 as of December 31, 2023 included herein was derived from the audited financial statements as of that date included in the Form 10-K, but does not include all disclosures required by US GAAP.</w:t>
      </w:r>
    </w:p>
    <w:p>
      <w:pPr>
        <w:pStyle w:val="TextBody"/>
        <w:bidi w:val="0"/>
        <w:spacing w:before="200" w:after="283"/>
        <w:jc w:val="left"/>
        <w:rPr>
          <w:rFonts w:ascii="Times New Roman" w:hAnsi="Times New Roman"/>
          <w:sz w:val="20"/>
        </w:rPr>
      </w:pPr>
      <w:r>
        <w:rPr>
          <w:rFonts w:ascii="Times New Roman" w:hAnsi="Times New Roman"/>
          <w:color w:val="000000"/>
          <w:sz w:val="20"/>
        </w:rPr>
        <w:t>The Company has only one operating segment, as defined by Accounting Standards Codification (“ASC”) 280,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subsidiaries. All significant transactions among the Company and its subsidiaries have been eliminated upon consolidation.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Recently issued accounting standards</w:t>
      </w:r>
    </w:p>
    <w:p>
      <w:pPr>
        <w:pStyle w:val="TextBody"/>
        <w:bidi w:val="0"/>
        <w:spacing w:before="160" w:after="283"/>
        <w:jc w:val="left"/>
        <w:rPr>
          <w:rFonts w:ascii="Times New Roman" w:hAnsi="Times New Roman"/>
          <w:sz w:val="20"/>
        </w:rPr>
      </w:pPr>
      <w:r>
        <w:rPr>
          <w:rFonts w:ascii="Times New Roman" w:hAnsi="Times New Roman"/>
          <w:color w:val="231F20"/>
          <w:sz w:val="20"/>
        </w:rPr>
        <w:t>In December 2023, the Financial Accounting Standard Board (the “FASB”) issued Accounting Standard Updates (“ASU”) No. 2023-09, "</w:t>
      </w:r>
      <w:r>
        <w:rPr>
          <w:rFonts w:ascii="Times New Roman" w:hAnsi="Times New Roman"/>
          <w:i/>
          <w:color w:val="231F20"/>
          <w:sz w:val="20"/>
        </w:rPr>
        <w:t>Income Taxes (Topic 740): Improvements to Income Tax Disclosures (ASU 2023-09)</w:t>
      </w:r>
      <w:r>
        <w:rPr>
          <w:rFonts w:ascii="Times New Roman" w:hAnsi="Times New Roman"/>
          <w:color w:val="231F2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its impact on our condensed consolidated financial statements and related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 </w:t>
      </w:r>
    </w:p>
    <w:p>
      <w:pPr>
        <w:pStyle w:val="TextBody"/>
        <w:bidi w:val="0"/>
        <w:jc w:val="left"/>
        <w:rPr/>
      </w:pPr>
      <w:r>
        <w:rPr/>
        <w:t> </w:t>
      </w:r>
    </w:p>
    <w:tbl>
      <w:tblPr>
        <w:tblW w:w="6469" w:type="dxa"/>
        <w:jc w:val="left"/>
        <w:tblInd w:w="0" w:type="dxa"/>
        <w:tblLayout w:type="fixed"/>
        <w:tblCellMar>
          <w:top w:w="28" w:type="dxa"/>
          <w:left w:w="28" w:type="dxa"/>
          <w:bottom w:w="28" w:type="dxa"/>
          <w:right w:w="28" w:type="dxa"/>
        </w:tblCellMar>
      </w:tblPr>
      <w:tblGrid>
        <w:gridCol w:w="3346"/>
        <w:gridCol w:w="146"/>
        <w:gridCol w:w="211"/>
        <w:gridCol w:w="1036"/>
        <w:gridCol w:w="146"/>
        <w:gridCol w:w="146"/>
        <w:gridCol w:w="211"/>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13,997,154</w:t>
            </w:r>
          </w:p>
        </w:tc>
        <w:tc>
          <w:tcPr>
            <w:tcW w:w="1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14,236,771</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2024 and 2023, diluted weighted average shares outstanding are calculated by the inclusion of unvested restricted stock units ("RSUs").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other than goodwill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Amortization</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expenses of $2,214 and $1,858 for the three months ended March 31, 2024 and 2023, respectively, were included in depreciation and amortization expense. As of March 31, 2024, intangible assets of $5,265, included in the gross amounts of software developed for internal use, have not started amortization, as they are not ready for their intended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capitalized costs of software developed for internal use of $2,773 and $2,732 during the three months ended March 31, 2024 and 2023,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estimated amortization expense related to the Company’s intangible assets for the remainder of 2024 through 2029 and thereafter are as follows:</w:t>
      </w:r>
    </w:p>
    <w:p>
      <w:pPr>
        <w:pStyle w:val="TextBody"/>
        <w:bidi w:val="0"/>
        <w:jc w:val="left"/>
        <w:rPr/>
      </w:pPr>
      <w:r>
        <w:rPr/>
        <w:t> </w:t>
      </w:r>
    </w:p>
    <w:tbl>
      <w:tblPr>
        <w:tblW w:w="3293" w:type="dxa"/>
        <w:jc w:val="left"/>
        <w:tblInd w:w="0" w:type="dxa"/>
        <w:tblLayout w:type="fixed"/>
        <w:tblCellMar>
          <w:top w:w="28" w:type="dxa"/>
          <w:left w:w="28" w:type="dxa"/>
          <w:bottom w:w="28" w:type="dxa"/>
          <w:right w:w="28" w:type="dxa"/>
        </w:tblCellMar>
      </w:tblPr>
      <w:tblGrid>
        <w:gridCol w:w="1696"/>
        <w:gridCol w:w="146"/>
        <w:gridCol w:w="299"/>
        <w:gridCol w:w="96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represents the cost in excess of the fair value of the net assets acquired in a business combination. As of March 31, 2024 and December 31, 2023, the balance of goodwill of $5,227 was as a result of the acquisition of Interactive Data, LLC, a wholly-owned subsidiary of red violet, effective on October 2, 2014.</w:t>
      </w:r>
    </w:p>
    <w:p>
      <w:pPr>
        <w:pStyle w:val="TextBody"/>
        <w:bidi w:val="0"/>
        <w:spacing w:before="200" w:after="283"/>
        <w:jc w:val="left"/>
        <w:rPr>
          <w:rFonts w:ascii="Times New Roman" w:hAnsi="Times New Roman"/>
          <w:sz w:val="20"/>
        </w:rPr>
      </w:pPr>
      <w:r>
        <w:rPr>
          <w:rFonts w:ascii="Times New Roman" w:hAnsi="Times New Roman"/>
          <w:color w:val="000000"/>
          <w:sz w:val="20"/>
        </w:rPr>
        <w:t>In accordance with ASC 350, “</w:t>
      </w:r>
      <w:r>
        <w:rPr>
          <w:rFonts w:ascii="Times New Roman" w:hAnsi="Times New Roman"/>
          <w:i/>
          <w:color w:val="000000"/>
          <w:sz w:val="20"/>
        </w:rPr>
        <w:t>Intangibles - Goodwill and Other,”</w:t>
      </w:r>
      <w:r>
        <w:rPr>
          <w:rFonts w:ascii="Times New Roman" w:hAnsi="Times New Roman"/>
          <w:color w:val="000000"/>
          <w:sz w:val="20"/>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 goodwill impairment loss during the three months ended March 31, 2024 and 2023, and there was no accumulated goodwill impairment loss as of March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The Company recognized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March 31, 2024, the current and noncurrent portion unbilled accounts receivable of $841 and $216, respectively, were included within accounts receivable and other noncurrent assets, respectively, on the condensed consolidated balance sheets. As of December 31, 2023, the current and noncurrent portion unbilled accounts receivable of $829 and $371, respectively, were included within accounts receivable and other noncurrent assets, respectively, on the consolidated balance sheets. The Company's revenue arrangements do not contain significant financing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2024 and 2023, 78% and 75% of total revenue was attributable to customers with pricing contracts, respectively, versus 22% and 25% attributable to transactional customers, respectively. Pricing contracts are generally annual contracts or longer, with auto renewal.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customer pays consideration before the Company transfers services to the customer, those amounts are classified as deferred revenue. As of March 31, 2024 and December 31, 2023, the balance of deferred revenue was $652 and $690, respectively, all of which is expected to be realized in the next 12 months. In relation to the deferred revenue balance as of December 31, 2023, $264 was recognized into revenue during the three months ended March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$23,174 of revenue is expected to be recognized in the future for performance obligations that are unsatisfied or partially unsatisfied, related to pricing contracts that have a term of more than 12 months, of which, $8,932 of revenue will be recognized in the remainder of 2024, $7,659 in 2025, $3,669 in 2026, $2,582 in 2027, $287 in 2028, and $45 in 2029.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commissions are incurred and recorded on an ongoing basis over the term of the customer relationship. These costs are recorded in 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Prior to the third quarter of 2023, primarily due to cumulative pre-tax losses, management determined a full valuation allowance was necessary to reduce the deferred tax assets to the amount that is more likely than not to be realized. During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March 31, 2024 was more likely than not.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effective income tax rate was 24% and (4%) for the three months ended March 31, 2024 and 2023, respectively, differing from the U.S. corporate statutory federal income tax rate of 21%. The difference for the three months ended March 31, 2024 was primarily the effect of state income taxes and certain nondeductible permanent differences, partially offset by the utilization of research and development tax credits. The difference for the three months ended March 31, 2023 was primarily the result of the valuation allowance applied to reduce the Company’s deferred tax assets to the amount that is more likely than not to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does not have any material unrecognized tax benefits as of March 31, 2024 and December 31,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Common stock and treasury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and December 31, 2023, the number of issued shares of common stock was 13,942,164 and 13,980,274, respectively, which included shares of treasury stock of 202,000 and 9,428, respectively. The changes in the number of issued shares of common stock and treasury stock were due to the following factors: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aggregate of 67,125 shares of common stock were issued as a result of the vesting of RSUs, of which, 20,867 shares of common stock were withheld to pay withholding taxes upon such vesting, which were reflected in treasury stock, with a cost of $383. Related treasury stock of 20,867 shares was then retired during the three months ended March 31, 2024.</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repurchase of up to $5.0 million of the Company's common stock from time to time, and subsequently on each of December 19, 2023 and March 28, 2024, the board of directors authorized the repurchase of an additional $5.0 million of the Company's common stock (the "Stock Repurchase Program"). The Stock Repurchase Program does not obligate the Company to repurchase any shares and may be modified, suspended, or terminated at any time and for any reason at the discretion of the board of directors. During the three months ended March 31, 2024, the Company repurchased 276,940 shares of common stock under the Stock Repurchase Program, which was reflected in treasury stock, with a cost of $5,514. Related treasury stock of 84,368 shares, with a cost of $1,559, was retired during the three months ended March 31, 2024, which resulted in a treasury stock balance of $4,143 as of March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there were 1,907,155 shares of common stock available for future issuance under the 2018 Plan, as amended.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date, all stock incentives issued under the 2018 Plan, as amended, have been in the form of RSUs. RSUs granted under the 2018 Plan, as amended,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March 31, 2024 were as follows: </w:t>
      </w:r>
    </w:p>
    <w:tbl>
      <w:tblPr>
        <w:tblW w:w="6485" w:type="dxa"/>
        <w:jc w:val="left"/>
        <w:tblInd w:w="0" w:type="dxa"/>
        <w:tblLayout w:type="fixed"/>
        <w:tblCellMar>
          <w:top w:w="28" w:type="dxa"/>
          <w:left w:w="28" w:type="dxa"/>
          <w:bottom w:w="28" w:type="dxa"/>
          <w:right w:w="28" w:type="dxa"/>
        </w:tblCellMar>
      </w:tblPr>
      <w:tblGrid>
        <w:gridCol w:w="2926"/>
        <w:gridCol w:w="146"/>
        <w:gridCol w:w="172"/>
        <w:gridCol w:w="1103"/>
        <w:gridCol w:w="166"/>
        <w:gridCol w:w="146"/>
        <w:gridCol w:w="441"/>
        <w:gridCol w:w="119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Withheld as treasury stock</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2024</w:t>
            </w:r>
          </w:p>
        </w:tc>
        <w:tc>
          <w:tcPr>
            <w:tcW w:w="146" w:type="dxa"/>
            <w:tcBorders/>
            <w:shd w:fill="FFFFFF" w:val="clear"/>
            <w:vAlign w:val="center"/>
          </w:tcPr>
          <w:p>
            <w:pPr>
              <w:pStyle w:val="TableContents"/>
              <w:bidi w:val="0"/>
              <w:spacing w:before="0" w:after="283"/>
              <w:jc w:val="center"/>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March 2024, the Company granted 130,000 RSUs, subject to performance-based requirements, to one non-executive employee at a grant date fair value of $18.30 per share. Such RSU grant shall not vest unless and until the Company has achieved certain revenue for a portion of its business prior to December 31, 2030, the last achievement date deadline. No amortization of share-based compensation expense has been recognized for 115,000 RSUs among the above-mentioned grant, because, as of March 31, 2024, the Company determined that it is not probable that related performance criteria will be met. In addition to the 130,000 RSUs discussed above, the Company granted, during the three months ended March 31, 2024, an aggregate of 84,150 RSUs to certain employees and one director at grant date fair values ranging from $18.12 to $18.30 per share, with a vesting period ranging from one to four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Withheld as treasury stock represents shares withheld to pay statutory taxes upon the vesting of RSUs. Refer to Note 7, "Common stock and treasury stock," for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unrecognized share-based compensation expense associated with the granted RSUs amounted to $16,483, which is expected to be recognized over a remaining weighted average period of 2.9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Share-based compensation was allocated to the following accounts in the condensed consolidated financial statements for the three months ended March 31, 2024 and 2023:</w:t>
      </w:r>
    </w:p>
    <w:p>
      <w:pPr>
        <w:pStyle w:val="TextBody"/>
        <w:bidi w:val="0"/>
        <w:jc w:val="left"/>
        <w:rPr/>
      </w:pPr>
      <w:r>
        <w:rPr/>
        <w:t> </w:t>
      </w:r>
    </w:p>
    <w:tbl>
      <w:tblPr>
        <w:tblW w:w="5824" w:type="dxa"/>
        <w:jc w:val="left"/>
        <w:tblInd w:w="0" w:type="dxa"/>
        <w:tblLayout w:type="fixed"/>
        <w:tblCellMar>
          <w:top w:w="28" w:type="dxa"/>
          <w:left w:w="28" w:type="dxa"/>
          <w:bottom w:w="28" w:type="dxa"/>
          <w:right w:w="28" w:type="dxa"/>
        </w:tblCellMar>
      </w:tblPr>
      <w:tblGrid>
        <w:gridCol w:w="3091"/>
        <w:gridCol w:w="146"/>
        <w:gridCol w:w="272"/>
        <w:gridCol w:w="738"/>
        <w:gridCol w:w="188"/>
        <w:gridCol w:w="188"/>
        <w:gridCol w:w="272"/>
        <w:gridCol w:w="73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 intangible assets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its corporate headquarters lease agreement to exercise the extension option for an additional 60 months through June 30, 2029, with an option to further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2024 and 2023, a summary of the Company’s lease information is shown below:</w:t>
      </w:r>
    </w:p>
    <w:p>
      <w:pPr>
        <w:pStyle w:val="TextBody"/>
        <w:bidi w:val="0"/>
        <w:jc w:val="left"/>
        <w:rPr/>
      </w:pPr>
      <w:r>
        <w:rPr/>
        <w:t> </w:t>
      </w:r>
    </w:p>
    <w:tbl>
      <w:tblPr>
        <w:tblW w:w="5286" w:type="dxa"/>
        <w:jc w:val="left"/>
        <w:tblInd w:w="0" w:type="dxa"/>
        <w:tblLayout w:type="fixed"/>
        <w:tblCellMar>
          <w:top w:w="28" w:type="dxa"/>
          <w:left w:w="28" w:type="dxa"/>
          <w:bottom w:w="28" w:type="dxa"/>
          <w:right w:w="28" w:type="dxa"/>
        </w:tblCellMar>
      </w:tblPr>
      <w:tblGrid>
        <w:gridCol w:w="2551"/>
        <w:gridCol w:w="146"/>
        <w:gridCol w:w="325"/>
        <w:gridCol w:w="649"/>
        <w:gridCol w:w="225"/>
        <w:gridCol w:w="225"/>
        <w:gridCol w:w="325"/>
        <w:gridCol w:w="649"/>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974" w:type="dxa"/>
            <w:gridSpan w:val="2"/>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74"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2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vAlign w:val="center"/>
          </w:tcPr>
          <w:p>
            <w:pPr>
              <w:pStyle w:val="TableContents"/>
              <w:bidi w:val="0"/>
              <w:spacing w:before="0" w:after="283"/>
              <w:jc w:val="left"/>
              <w:rPr/>
            </w:pPr>
            <w:r>
              <w:rPr/>
              <w:t> </w:t>
            </w:r>
          </w:p>
        </w:tc>
        <w:tc>
          <w:tcPr>
            <w:tcW w:w="974" w:type="dxa"/>
            <w:gridSpan w:val="2"/>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74"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2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the weighted average remaining operating lease term was 4.7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scheduled future maturities and present value of the operating lease liabilities are as follows:</w:t>
      </w:r>
    </w:p>
    <w:p>
      <w:pPr>
        <w:pStyle w:val="TextBody"/>
        <w:bidi w:val="0"/>
        <w:jc w:val="left"/>
        <w:rPr/>
      </w:pPr>
      <w:r>
        <w:rPr/>
        <w:t> </w:t>
      </w:r>
    </w:p>
    <w:tbl>
      <w:tblPr>
        <w:tblW w:w="8513" w:type="dxa"/>
        <w:jc w:val="left"/>
        <w:tblInd w:w="0" w:type="dxa"/>
        <w:tblLayout w:type="fixed"/>
        <w:tblCellMar>
          <w:top w:w="28" w:type="dxa"/>
          <w:left w:w="28" w:type="dxa"/>
          <w:bottom w:w="28" w:type="dxa"/>
          <w:right w:w="28" w:type="dxa"/>
        </w:tblCellMar>
      </w:tblPr>
      <w:tblGrid>
        <w:gridCol w:w="6916"/>
        <w:gridCol w:w="146"/>
        <w:gridCol w:w="340"/>
        <w:gridCol w:w="920"/>
        <w:gridCol w:w="191"/>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91"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included in condensed consolidated balance sheet:</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between the maturities and the present value of operating lease liabilities</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Capital commitment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incurred data costs of $2,434 and $2,361 for the three months ended March 31, 2024 and 2023, respectively, under certain data licensing agreements. As of March 31, 2024, material capital commitments under certain data licensing agreements were $20,083, shown as follows:</w:t>
      </w:r>
    </w:p>
    <w:p>
      <w:pPr>
        <w:pStyle w:val="TextBody"/>
        <w:bidi w:val="0"/>
        <w:jc w:val="left"/>
        <w:rPr/>
      </w:pPr>
      <w:r>
        <w:rPr/>
        <w:t> </w:t>
      </w:r>
    </w:p>
    <w:tbl>
      <w:tblPr>
        <w:tblW w:w="3478" w:type="dxa"/>
        <w:jc w:val="left"/>
        <w:tblInd w:w="0" w:type="dxa"/>
        <w:tblLayout w:type="fixed"/>
        <w:tblCellMar>
          <w:top w:w="28" w:type="dxa"/>
          <w:left w:w="28" w:type="dxa"/>
          <w:bottom w:w="28" w:type="dxa"/>
          <w:right w:w="28" w:type="dxa"/>
        </w:tblCellMar>
      </w:tblPr>
      <w:tblGrid>
        <w:gridCol w:w="1781"/>
        <w:gridCol w:w="246"/>
        <w:gridCol w:w="299"/>
        <w:gridCol w:w="961"/>
        <w:gridCol w:w="191"/>
      </w:tblGrid>
      <w:tr>
        <w:trPr/>
        <w:tc>
          <w:tcPr>
            <w:tcW w:w="1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2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2024</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91" w:type="dxa"/>
            <w:tcBorders/>
            <w:shd w:fill="CFF0FC" w:val="clear"/>
            <w:vAlign w:val="center"/>
          </w:tcPr>
          <w:p>
            <w:pPr>
              <w:pStyle w:val="TableContents"/>
              <w:bidi w:val="0"/>
              <w:spacing w:before="0" w:after="283"/>
              <w:jc w:val="left"/>
              <w:rPr/>
            </w:pPr>
            <w:r>
              <w:rPr/>
              <w:t> </w:t>
            </w:r>
          </w:p>
        </w:tc>
      </w:tr>
      <w:tr>
        <w:trPr/>
        <w:tc>
          <w:tcPr>
            <w:tcW w:w="17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191" w:type="dxa"/>
            <w:tcBorders/>
            <w:shd w:fill="FFFFFF" w:val="clear"/>
            <w:vAlign w:val="center"/>
          </w:tcPr>
          <w:p>
            <w:pPr>
              <w:pStyle w:val="TableContents"/>
              <w:bidi w:val="0"/>
              <w:spacing w:before="0" w:after="283"/>
              <w:jc w:val="left"/>
              <w:rPr/>
            </w:pPr>
            <w:r>
              <w:rPr/>
              <w:t> </w:t>
            </w:r>
          </w:p>
        </w:tc>
      </w:tr>
      <w:tr>
        <w:trPr/>
        <w:tc>
          <w:tcPr>
            <w:tcW w:w="17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191" w:type="dxa"/>
            <w:tcBorders/>
            <w:shd w:fill="CFF0FC" w:val="clear"/>
            <w:vAlign w:val="center"/>
          </w:tcPr>
          <w:p>
            <w:pPr>
              <w:pStyle w:val="TableContents"/>
              <w:bidi w:val="0"/>
              <w:spacing w:before="0" w:after="283"/>
              <w:jc w:val="left"/>
              <w:rPr/>
            </w:pPr>
            <w:r>
              <w:rPr/>
              <w:t> </w:t>
            </w:r>
          </w:p>
        </w:tc>
      </w:tr>
      <w:tr>
        <w:trPr/>
        <w:tc>
          <w:tcPr>
            <w:tcW w:w="17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2023 filed on March 7, 2024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References in this discussion and analysis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AI/ML-driven identity intelligence platform, CORE</w:t>
      </w:r>
      <w:r>
        <w:rPr>
          <w:rFonts w:ascii="Times New Roman" w:hAnsi="Times New Roman"/>
          <w:color w:val="000000"/>
          <w:sz w:val="13"/>
        </w:rPr>
        <w:t>TM</w:t>
      </w:r>
      <w:r>
        <w:rPr>
          <w:rFonts w:ascii="Times New Roman" w:hAnsi="Times New Roman"/>
          <w:color w:val="000000"/>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left"/>
        <w:rPr>
          <w:rFonts w:ascii="Times New Roman" w:hAnsi="Times New Roman"/>
          <w:sz w:val="20"/>
        </w:rPr>
      </w:pPr>
      <w:r>
        <w:rPr>
          <w:rFonts w:ascii="Times New Roman" w:hAnsi="Times New Roman"/>
          <w:color w:val="000000"/>
          <w:sz w:val="20"/>
        </w:rPr>
        <w:t>While our platform powers a vast array of solutions for our customers, we presently market our solutions primarily through two brands, IDI</w:t>
      </w:r>
      <w:r>
        <w:rPr>
          <w:rFonts w:ascii="Times New Roman" w:hAnsi="Times New Roman"/>
          <w:color w:val="000000"/>
          <w:sz w:val="13"/>
        </w:rPr>
        <w:t xml:space="preserve"> </w:t>
      </w:r>
      <w:r>
        <w:rPr>
          <w:rFonts w:ascii="Times New Roman" w:hAnsi="Times New Roman"/>
          <w:color w:val="000000"/>
          <w:sz w:val="20"/>
        </w:rPr>
        <w:t>and FOREWARN</w:t>
      </w:r>
      <w:r>
        <w:rPr>
          <w:rFonts w:ascii="Times New Roman" w:hAnsi="Times New Roman"/>
          <w:color w:val="000000"/>
          <w:sz w:val="13"/>
        </w:rPr>
        <w:t>®</w:t>
      </w:r>
      <w:r>
        <w:rPr>
          <w:rFonts w:ascii="Times New Roman" w:hAnsi="Times New Roman"/>
          <w:color w:val="000000"/>
          <w:sz w:val="20"/>
        </w:rPr>
        <w:t>. IDI is a leading-edge, analytics and information solutions provider delivering actionable intelligence to the an expansive and diverse set of industries in support of use cases such as the verification and authentication of consumer identities, due diligence, prevention of fraud and abuse, legislative compliance, and debt recovery. idiCORE</w:t>
      </w:r>
      <w:r>
        <w:rPr>
          <w:rFonts w:ascii="Times New Roman" w:hAnsi="Times New Roman"/>
          <w:color w:val="000000"/>
          <w:sz w:val="13"/>
        </w:rPr>
        <w:t></w:t>
      </w:r>
      <w:r>
        <w:rPr>
          <w:rFonts w:ascii="Times New Roman" w:hAnsi="Times New Roman"/>
          <w:color w:val="000000"/>
          <w:sz w:val="20"/>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2024 and 2023, IDI had 8,241 and 7,256 billable customers and FOREWARN had 236,639 and 131,348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March 31, 2024 and 2023, 78% and 75% of total revenue was attributable to customers with pricing contracts, respectively, versus 22% and 25% attributable to transactional customers,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please refer to our Form 10-K. There have been no material changes to Critical Accounting Policies and Estimates disclosed in our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00" w:after="283"/>
        <w:jc w:val="left"/>
        <w:rPr>
          <w:rFonts w:ascii="Times New Roman" w:hAnsi="Times New Roman"/>
          <w:sz w:val="20"/>
        </w:rPr>
      </w:pPr>
      <w:r>
        <w:rPr>
          <w:rFonts w:ascii="Times New Roman" w:hAnsi="Times New Roman"/>
          <w:color w:val="000000"/>
          <w:sz w:val="20"/>
        </w:rPr>
        <w:t>See Note 1(b), “</w:t>
      </w:r>
      <w:r>
        <w:rPr>
          <w:rFonts w:ascii="Times New Roman" w:hAnsi="Times New Roman"/>
          <w:i/>
          <w:color w:val="000000"/>
          <w:sz w:val="20"/>
        </w:rPr>
        <w:t>Recently issued accounting standards,”</w:t>
      </w:r>
      <w:r>
        <w:rPr>
          <w:rFonts w:ascii="Times New Roman" w:hAnsi="Times New Roman"/>
          <w:color w:val="000000"/>
          <w:sz w:val="20"/>
        </w:rPr>
        <w:t xml:space="preserve"> in “Notes to Condensed Consolidated Financial Statements.”</w:t>
      </w:r>
    </w:p>
    <w:p>
      <w:pPr>
        <w:pStyle w:val="TextBody"/>
        <w:bidi w:val="0"/>
        <w:spacing w:before="200" w:after="283"/>
        <w:jc w:val="left"/>
        <w:rPr>
          <w:rFonts w:ascii="Times New Roman" w:hAnsi="Times New Roman"/>
          <w:b/>
          <w:color w:val="000000"/>
          <w:sz w:val="20"/>
        </w:rPr>
      </w:pPr>
      <w:bookmarkStart w:id="10" w:name="gmnh874a1a8db3fe4af2a262b7d6093c0e4f"/>
      <w:bookmarkEnd w:id="10"/>
      <w:r>
        <w:rPr>
          <w:rFonts w:ascii="Times New Roman" w:hAnsi="Times New Roman"/>
          <w:b/>
          <w:color w:val="000000"/>
          <w:sz w:val="20"/>
        </w:rPr>
        <w:t>First Quarter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2024 as compared to the three months ended March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20% to $17.5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20% to $11.5 million. Gross margin remained consistent at 66%.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20% to $13.8 million. Adjusted gross margin increased to 79% from 78%.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149% to $1.8 million, which resulted in earnings of $0.13 per basic and diluted share. Net income margin increased to 10% from 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54% to $5.7 million. Adjusted EBITDA margin increased to 32% from 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36% to $3.2 million, which resulted in adjusted earnings of $0.23 and $0.22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181% to $4.3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$32.1 million as of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First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Added 366 customers to IDI during the first quarter, ending the quarter with 8,241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a record 51,259 users to FOREWARN during the first quarter, ending the quarter with 236,639 users. Over 425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Purchased 291,879 shares of the Company’s common stock year to date through April 30, 2024, at an average price of $19.81 per share pursuant to the Company’s $15.0 million Stock Repurchase Program (as defined below), as amended, that was authorized on May 2, 2022. As of April 30, 2024, the Company has $4.6 million remaining under the Stock Repurchase Program.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6220" w:type="dxa"/>
        <w:jc w:val="left"/>
        <w:tblInd w:w="0" w:type="dxa"/>
        <w:tblLayout w:type="fixed"/>
        <w:tblCellMar>
          <w:top w:w="28" w:type="dxa"/>
          <w:left w:w="28" w:type="dxa"/>
          <w:bottom w:w="28" w:type="dxa"/>
          <w:right w:w="28" w:type="dxa"/>
        </w:tblCellMar>
      </w:tblPr>
      <w:tblGrid>
        <w:gridCol w:w="3361"/>
        <w:gridCol w:w="146"/>
        <w:gridCol w:w="231"/>
        <w:gridCol w:w="740"/>
        <w:gridCol w:w="296"/>
        <w:gridCol w:w="159"/>
        <w:gridCol w:w="231"/>
        <w:gridCol w:w="740"/>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2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316"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 and others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13,997,154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14,236,771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tax effect of adjustments is calculated using the expected federal and state statutory tax rate. The expected federal and state income tax rate was approximately 25.75% for the three months ended March 31, 2024. There was no tax effect of such adjustments for the three months ended March 31, 2023, as a full valuation allowance was provided for the net deferred tax assets.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tbl>
      <w:tblPr>
        <w:tblW w:w="7900" w:type="dxa"/>
        <w:jc w:val="left"/>
        <w:tblInd w:w="0" w:type="dxa"/>
        <w:tblLayout w:type="fixed"/>
        <w:tblCellMar>
          <w:top w:w="28" w:type="dxa"/>
          <w:left w:w="28" w:type="dxa"/>
          <w:bottom w:w="28" w:type="dxa"/>
          <w:right w:w="28" w:type="dxa"/>
        </w:tblCellMar>
      </w:tblPr>
      <w:tblGrid>
        <w:gridCol w:w="5041"/>
        <w:gridCol w:w="146"/>
        <w:gridCol w:w="231"/>
        <w:gridCol w:w="740"/>
        <w:gridCol w:w="296"/>
        <w:gridCol w:w="159"/>
        <w:gridCol w:w="231"/>
        <w:gridCol w:w="740"/>
        <w:gridCol w:w="31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316"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w:t>
            </w:r>
          </w:p>
        </w:tc>
        <w:tc>
          <w:tcPr>
            <w:tcW w:w="2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9,589</w:t>
            </w:r>
          </w:p>
        </w:tc>
        <w:tc>
          <w:tcPr>
            <w:tcW w:w="316" w:type="dxa"/>
            <w:tcBorders/>
            <w:shd w:fill="FFFFFF" w:val="cle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6641" w:type="dxa"/>
        <w:jc w:val="left"/>
        <w:tblInd w:w="0" w:type="dxa"/>
        <w:tblLayout w:type="fixed"/>
        <w:tblCellMar>
          <w:top w:w="28" w:type="dxa"/>
          <w:left w:w="28" w:type="dxa"/>
          <w:bottom w:w="28" w:type="dxa"/>
          <w:right w:w="28" w:type="dxa"/>
        </w:tblCellMar>
      </w:tblPr>
      <w:tblGrid>
        <w:gridCol w:w="3886"/>
        <w:gridCol w:w="146"/>
        <w:gridCol w:w="253"/>
        <w:gridCol w:w="759"/>
        <w:gridCol w:w="199"/>
        <w:gridCol w:w="175"/>
        <w:gridCol w:w="253"/>
        <w:gridCol w:w="759"/>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21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Three months ended March 31, 2024 compared to three months ended March 31, 2023</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Revenue increased $2.9 million or 20% to $17.5 million for the three months ended March 31, 2024 from $14.6 million for the three months ended March 31, 2023. Base revenue from existing customers increased $2.1 million or 19%, and growth revenue from existing customers increased $1.0 million or 62%, while revenue from new customers decreased $0.2 million or 13%. Our IDI billable customer base grew from 7,256 customers as of March 31, 2023 to 8,241 customers as of March 31, 2024, and our FOREWARN user base grew from 131,348 users to 236,639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pStyle w:val="TextBody"/>
        <w:bidi w:val="0"/>
        <w:spacing w:before="200" w:after="283"/>
        <w:jc w:val="left"/>
        <w:rPr>
          <w:rFonts w:ascii="Times New Roman" w:hAnsi="Times New Roman"/>
          <w:sz w:val="20"/>
        </w:rPr>
      </w:pPr>
      <w:r>
        <w:rPr>
          <w:rFonts w:ascii="Times New Roman" w:hAnsi="Times New Roman"/>
          <w:b/>
          <w:i/>
          <w:color w:val="000000"/>
          <w:sz w:val="20"/>
        </w:rPr>
        <w:t>Cost of revenue (exclusive of depreciation and amortization)</w:t>
      </w:r>
      <w:r>
        <w:rPr>
          <w:rFonts w:ascii="Times New Roman" w:hAnsi="Times New Roman"/>
          <w:color w:val="000000"/>
          <w:sz w:val="20"/>
        </w:rPr>
        <w:t>. Cost of revenue increased $0.6 million or 18% to $3.8 million for the three months ended March 31, 2024 from $3.2 million for the three months ended March 31,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41% and 48% of our total data acquisition costs for the three months ended March 31, 2024 and 2023, respectively. Other cost of revenue items include expenses related to third-party infrastructure fees and pertinent personnel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the construct of our data costs is primarily a flat-fee, unlimited usage model, the cost of revenue as a percentage of revenue decreased to 21% for the three months ended March 31, 2024 from 22% for the three months ended March 31, 2023. We expect that cost of revenue as a percentage of revenue will continue to decrease over the coming years as our revenue increases. Historically, at scale, the industry business model’s cost of revenue will trend between 15% and 30% as a percentage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Sales and marketing expenses decreased $0.2 million or 5% to $3.7 million for the three months ended March 31, 2024 from $3.9 million for the three months ended March 31, 2023. Sales and marketing expenses consist of salaries and benefits, advertising and marketing, travel expenses, and share-based compensation expense, incurred by our sales team, and provision for bad debts. The decrease during the three months ended March 31, 2024 was primarily attributable to the decrease of $0.6 million in provision for bad debts, which was offset by the increase of $0.3 million in salaries and benefits, and sales commission.</w:t>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General and administrative expenses increased $0.6 million or 10% to $5.8 million for the three months ended March 31, 2024 from $5.2 million for the three months ended March 31, 2023. For the three months ended March 31, 2024 and 2023, our general and administrative expenses consisted primarily of employee salaries and benefits of $2.7 million and $2.8 million, respectively, share-based compensation expense of $1.3 million and $1.3 million, respectively, and professional fees of $1.2 million and $0.6 million,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color w:val="000000"/>
          <w:sz w:val="20"/>
        </w:rPr>
        <w:t>. Depreciation and amortization expenses increased $0.4 million or 18% to $2.3 million for the three months ended March 31, 2024 from $1.9 million for the three months ended March 31, 2023. The increase in depreciation and amortization for the three months ended March 31, 2024 resulted primarily from the amortization of software developed for internal use that became ready for its intended use after March 31, 2023.</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 net</w:t>
      </w:r>
      <w:r>
        <w:rPr>
          <w:rFonts w:ascii="Times New Roman" w:hAnsi="Times New Roman"/>
          <w:color w:val="000000"/>
          <w:sz w:val="20"/>
        </w:rPr>
        <w:t>. Interest income, net increased $0.1 million or 28% to $0.4 million for the three months ended March 31, 2024 from $0.3 million for the three months ended March 31, 2023. This was primarily due to interest income earned on investments in certain money market funds.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before income taxes</w:t>
      </w:r>
      <w:r>
        <w:rPr>
          <w:rFonts w:ascii="Times New Roman" w:hAnsi="Times New Roman"/>
          <w:color w:val="000000"/>
          <w:sz w:val="20"/>
        </w:rPr>
        <w:t>. Income before income taxes increased $1.6 million or 242% to $2.3 million for the three months ended March 31, 2024 from $0.7 million for the three months ended March 31, 2023. The increase was primarily attributable to the increase in revenue, decrease in our cost of revenue as a percentage of revenue, and decrease in provision for bad debts of $0.6 million, which was partially offset by the increase in employee salaries and benefits and sales commissions of $0.3 million, professional fees of $0.6 million, and depreciation and amortization of $0.4 million.</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Income tax expense of $0.6 million was recognized for the three months ended March 31, 2024 compared to income tax benefit of $0.03 million for the three months ended March 31, 2023. A valuation allowance on the deferred tax assets was recognized as of March 31, 2023 to reduce the deferred tax assets to the amount that is more likely than not to be realized. Beginning from the three months ended September 30, 2023, the Company released the valuation allowance as the Company concluded that the realization of the deferred tax assets is more likely than not. See Note 6, “Income taxes,” included in “Notes to Condensed Consolidated Financial Statements.”</w:t>
      </w:r>
    </w:p>
    <w:p>
      <w:pPr>
        <w:pStyle w:val="TextBody"/>
        <w:bidi w:val="0"/>
        <w:spacing w:before="200" w:after="283"/>
        <w:jc w:val="left"/>
        <w:rPr>
          <w:rFonts w:ascii="Times New Roman" w:hAnsi="Times New Roman"/>
          <w:sz w:val="20"/>
        </w:rPr>
      </w:pPr>
      <w:r>
        <w:rPr>
          <w:rFonts w:ascii="Times New Roman" w:hAnsi="Times New Roman"/>
          <w:b/>
          <w:i/>
          <w:color w:val="000000"/>
          <w:sz w:val="20"/>
        </w:rPr>
        <w:t>Net income</w:t>
      </w:r>
      <w:r>
        <w:rPr>
          <w:rFonts w:ascii="Times New Roman" w:hAnsi="Times New Roman"/>
          <w:color w:val="000000"/>
          <w:sz w:val="20"/>
        </w:rPr>
        <w:t>. Net income was $1.8 million for the three months ended March 31, 2024 compared to $0.7 million for the three months ended March 31, 2023, as a result of the foregoing.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the persistent inflationary pressure throughout 2023 and up to March 31, 2024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For the three months ended March 31, 2024, net cash provided by operating activities was $4.3 million, primarily the result of the net income of $1.8 million, adjusted for certain non-cash items (consisting of share-based compensation expense, depreciation and amortization, provision for bad debts, noncash lease expenses, and deferred income tax expense (benefit)) totaling $4.3 million, and the cash used as a result of changes in assets and liabilities of $1.8 million, primarily the result of the increase in accounts receivable, and prepaid expenses and other current assets, and the decrease in accrued expenses and other current liabilities, which was offset by the increase in accounts payable. For the three months ended March 31, 2023, net cash provided by operating activities was $1.5 million, primarily the result of the net income of $0.7 million, adjusted for certain non-cash items, primarily as mentioned above, totaling $4.1 million, and the cash used as a result of changes in assets and liabilities of $3.3 million, primarily the result of the increase in accounts receivable, prepaid expenses and other current assets and other noncurrent assets, and the decrease in accrued expenses and other current liabilities, and operating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For the three months ended March 31, 2024 and 2023, net cash used in investing activities was $2.4 million and $2.3 million, respectively, primarily as a result of capitalized costs included in intangible assets.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For the three months ended March 31, 2024, net cash used in financing activities was $1.8 million, resulting from the taxes paid related to the net share settlement of vesting of RSUs of $0.4 million, and the result of $1.4 million paid in aggregate for the repurchase of common stock pursuant to a stock repurchase program that the board of directors authorized on May 2, 2022 (the "Stock Repurchase Program"), authorizing the repurchase of up to $5.0 million of our common stock. Subsequently on each December 19, 2023 and March 28, 2024, the board of directors approved the repurchases of an additional $5.0 million of our common stock under the Stock Repurchase Program. For the three months ended March 31, 2023, net cash used in financing activities was $0.2 million, mainly the result of $0.2 million paid in aggregate for the repurchase of common stock pursuant to the Stock Repurchase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we had material commitments under certain data licensing agreements of $20.1 million. We anticipate funding our operations using available cash and cash flow generated from operations within the next twelve months.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reported net income of $1.8 million and $0.7 million for the three months ended March 31, 2024 and 2023, respectively. As of March 31, 2024, we had a total shareholders’ equity balance of $83.8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2024, we had cash and cash equivalents of approximately $32.1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2024, we did not have any off-balance sheet arrangements, as defined in Item 303 of Regulation S-K.</w:t>
      </w:r>
    </w:p>
    <w:p>
      <w:pPr>
        <w:pStyle w:val="TextBody"/>
        <w:bidi w:val="0"/>
        <w:spacing w:before="20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include information required by this item.</w:t>
      </w:r>
    </w:p>
    <w:p>
      <w:pPr>
        <w:pStyle w:val="TextBody"/>
        <w:bidi w:val="0"/>
        <w:spacing w:before="20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the Company’s Chief Executive Officer and Chief Financial Officer, evaluated the effectiveness of the Company’s disclosure controls and procedures (as defined in Rules 13a-15(e) and 15d–15(e) of the Exchange Act) as of March 31, 2024.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2024.</w:t>
      </w:r>
    </w:p>
    <w:p>
      <w:pPr>
        <w:pStyle w:val="TextBody"/>
        <w:bidi w:val="0"/>
        <w:spacing w:before="20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management's evaluation pursuant to Rules 13a-15(d) or 15d-15(d) of the Exchange Act during the quarter ended March 31, 2024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on Effectiveness of Controls and Procedures and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Accounting Standards Codification 450, “</w:t>
      </w:r>
      <w:r>
        <w:rPr>
          <w:rFonts w:ascii="Times New Roman" w:hAnsi="Times New Roman"/>
          <w:i/>
          <w:color w:val="000000"/>
          <w:sz w:val="20"/>
        </w:rPr>
        <w:t>Contingencies</w:t>
      </w:r>
      <w:r>
        <w:rPr>
          <w:rFonts w:ascii="Times New Roman" w:hAnsi="Times New Roman"/>
          <w:color w:val="000000"/>
          <w:sz w:val="20"/>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the Company’s Annual Report on Form 10-K for the year ended December 31, 2023 filed with the SEC on March 7, 2024.</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relating to the Company's repurchase of common stock during the three months ended March 31, 2024 pursuant to the Stock Repurchase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3"/>
        <w:gridCol w:w="146"/>
        <w:gridCol w:w="214"/>
        <w:gridCol w:w="1144"/>
        <w:gridCol w:w="146"/>
        <w:gridCol w:w="146"/>
        <w:gridCol w:w="320"/>
        <w:gridCol w:w="868"/>
        <w:gridCol w:w="146"/>
        <w:gridCol w:w="146"/>
        <w:gridCol w:w="362"/>
        <w:gridCol w:w="1937"/>
        <w:gridCol w:w="146"/>
        <w:gridCol w:w="146"/>
        <w:gridCol w:w="484"/>
        <w:gridCol w:w="2136"/>
        <w:gridCol w:w="195"/>
      </w:tblGrid>
      <w:tr>
        <w:trPr/>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Period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 per share</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2024 - January 31, 2024</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1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5,075,644</w:t>
            </w:r>
          </w:p>
        </w:tc>
        <w:tc>
          <w:tcPr>
            <w:tcW w:w="195" w:type="dxa"/>
            <w:tcBorders/>
            <w:shd w:fill="CFF0FC" w:val="clear"/>
            <w:vAlign w:val="center"/>
          </w:tcPr>
          <w:p>
            <w:pPr>
              <w:pStyle w:val="TableContents"/>
              <w:bidi w:val="0"/>
              <w:spacing w:before="0" w:after="283"/>
              <w:jc w:val="left"/>
              <w:rPr/>
            </w:pPr>
            <w:r>
              <w:rPr/>
              <w:t> </w:t>
            </w:r>
          </w:p>
        </w:tc>
      </w:tr>
      <w:tr>
        <w:trPr/>
        <w:tc>
          <w:tcPr>
            <w:tcW w:w="1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2024 - February 29, 2024</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4,579,445</w:t>
            </w:r>
          </w:p>
        </w:tc>
        <w:tc>
          <w:tcPr>
            <w:tcW w:w="195" w:type="dxa"/>
            <w:tcBorders/>
            <w:shd w:fill="FFFFFF" w:val="clear"/>
            <w:vAlign w:val="center"/>
          </w:tcPr>
          <w:p>
            <w:pPr>
              <w:pStyle w:val="TableContents"/>
              <w:bidi w:val="0"/>
              <w:spacing w:before="0" w:after="283"/>
              <w:jc w:val="left"/>
              <w:rPr/>
            </w:pPr>
            <w:r>
              <w:rPr/>
              <w:t> </w:t>
            </w:r>
          </w:p>
        </w:tc>
      </w:tr>
      <w:tr>
        <w:trPr/>
        <w:tc>
          <w:tcPr>
            <w:tcW w:w="1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2024 - March 31, 2024</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4,870,824</w:t>
            </w:r>
          </w:p>
        </w:tc>
        <w:tc>
          <w:tcPr>
            <w:tcW w:w="195" w:type="dxa"/>
            <w:tcBorders/>
            <w:shd w:fill="CFF0FC" w:val="clear"/>
            <w:vAlign w:val="center"/>
          </w:tcPr>
          <w:p>
            <w:pPr>
              <w:pStyle w:val="TableContents"/>
              <w:bidi w:val="0"/>
              <w:spacing w:before="0" w:after="283"/>
              <w:jc w:val="left"/>
              <w:rPr/>
            </w:pPr>
            <w:r>
              <w:rPr/>
              <w:t> </w:t>
            </w:r>
          </w:p>
        </w:tc>
      </w:tr>
      <w:tr>
        <w:trPr/>
        <w:tc>
          <w:tcPr>
            <w:tcW w:w="1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From April 1, 2024 to April 30, 2024, the Company purchased an additional 14,939 shares at an average price of $18.54 per share pursuant to the Stock Repurchase Program.</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Exclusive of commission fees incurred in relation to the repurchase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repurchase of up to $5.0 million of the Company's common stock from time to time, and subsequently on each of December 19, 2023 and March 28, 2024, the board of directors authorized the repurchase of an additional $5.0 million of the Company's common stock (the "Stock Repurchase Program"). The Stock Repurchase Program does not obligate the Company to repurchase any shares and it may be modified, suspended, or terminated at any time and for any reason at the discretion of the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pStyle w:val="TextBody"/>
        <w:bidi w:val="0"/>
        <w:spacing w:before="20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146"/>
        <w:gridCol w:w="6031"/>
        <w:gridCol w:w="146"/>
        <w:gridCol w:w="421"/>
        <w:gridCol w:w="146"/>
        <w:gridCol w:w="409"/>
        <w:gridCol w:w="146"/>
        <w:gridCol w:w="556"/>
        <w:gridCol w:w="146"/>
        <w:gridCol w:w="570"/>
        <w:gridCol w:w="146"/>
        <w:gridCol w:w="693"/>
      </w:tblGrid>
      <w:tr>
        <w:trPr/>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w:t>
            </w:r>
          </w:p>
        </w:tc>
      </w:tr>
      <w:tr>
        <w:trPr/>
        <w:tc>
          <w:tcPr>
            <w:tcW w:w="6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10_1.htm">
              <w:r>
                <w:rPr>
                  <w:rStyle w:val="InternetLink"/>
                  <w:rFonts w:ascii="Times New Roman" w:hAnsi="Times New Roman"/>
                  <w:color w:val="0000FF"/>
                  <w:sz w:val="16"/>
                  <w:u w:val="single"/>
                </w:rPr>
                <w:t>Third Amendment to Employment Agreement dated March 5, 2024 by and between Red Violet, Inc. and Jeffrey Dell.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1.htm">
              <w:r>
                <w:rPr>
                  <w:rStyle w:val="InternetLink"/>
                  <w:rFonts w:ascii="Times New Roman" w:hAnsi="Times New Roman"/>
                  <w:color w:val="0000FF"/>
                  <w:sz w:val="16"/>
                  <w:u w:val="single"/>
                </w:rPr>
                <w:t>Certification of Chief Executive Officer filed pursuant to Exchange Act Rules 13a-14(a) and 15d-14(a) of the Securities Exchange Act of 1934 as adopted pursuant to Section 302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2.htm">
              <w:r>
                <w:rPr>
                  <w:rStyle w:val="InternetLink"/>
                  <w:rFonts w:ascii="Times New Roman" w:hAnsi="Times New Roman"/>
                  <w:color w:val="0000FF"/>
                  <w:sz w:val="16"/>
                  <w:u w:val="single"/>
                </w:rPr>
                <w:t>Certification of Chief Financial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1.htm">
              <w:r>
                <w:rPr>
                  <w:rStyle w:val="InternetLink"/>
                  <w:rFonts w:ascii="Times New Roman" w:hAnsi="Times New Roman"/>
                  <w:color w:val="0000FF"/>
                  <w:sz w:val="16"/>
                  <w:u w:val="single"/>
                </w:rPr>
                <w:t>Certification by Chief Executive Officer pursuant to 18 U.S.C. Section 1350, as adopted pursuant to Section 906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2.htm">
              <w:r>
                <w:rPr>
                  <w:rStyle w:val="InternetLink"/>
                  <w:rFonts w:ascii="Times New Roman" w:hAnsi="Times New Roman"/>
                  <w:color w:val="0000FF"/>
                  <w:sz w:val="16"/>
                  <w:u w:val="single"/>
                </w:rPr>
                <w:t>Certification by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Management contract or compensatory plan or arrangement.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20" w:type="dxa"/>
        <w:jc w:val="left"/>
        <w:tblInd w:w="0" w:type="dxa"/>
        <w:tblLayout w:type="fixed"/>
        <w:tblCellMar>
          <w:top w:w="28" w:type="dxa"/>
          <w:left w:w="28" w:type="dxa"/>
          <w:bottom w:w="28" w:type="dxa"/>
          <w:right w:w="28" w:type="dxa"/>
        </w:tblCellMar>
      </w:tblPr>
      <w:tblGrid>
        <w:gridCol w:w="1156"/>
        <w:gridCol w:w="14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May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Red Violet, Inc.</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rdvt-ex10_1.htm"/>
      <w:bookmarkStart w:id="23" w:name="ksrdvtex10_1"/>
      <w:bookmarkEnd w:id="22"/>
      <w:bookmarkEnd w:id="23"/>
      <w:r>
        <w:rPr>
          <w:rFonts w:ascii="Times New Roman" w:hAnsi="Times New Roman"/>
          <w:b/>
          <w:color w:val="000000"/>
          <w:sz w:val="20"/>
        </w:rPr>
        <w:t>Exhibit 10.1</w:t>
      </w:r>
      <w:r>
        <w:br w:type="page"/>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THIRD AMENDMENT TO EMPLOYMENT AGREEMENT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This Third Amendment to Employment Agreement (the "</w:t>
      </w:r>
      <w:r>
        <w:rPr>
          <w:rFonts w:ascii="Times New Roman" w:hAnsi="Times New Roman"/>
          <w:color w:val="000000"/>
          <w:sz w:val="20"/>
          <w:u w:val="single"/>
        </w:rPr>
        <w:t>Amendment</w:t>
      </w:r>
      <w:r>
        <w:rPr>
          <w:rFonts w:ascii="Times New Roman" w:hAnsi="Times New Roman"/>
          <w:color w:val="000000"/>
          <w:sz w:val="20"/>
        </w:rPr>
        <w:t>") is made as of March 5, 2024 (the “</w:t>
      </w:r>
      <w:r>
        <w:rPr>
          <w:rFonts w:ascii="Times New Roman" w:hAnsi="Times New Roman"/>
          <w:color w:val="000000"/>
          <w:sz w:val="20"/>
          <w:u w:val="single"/>
        </w:rPr>
        <w:t>Third Amendment Effective Date</w:t>
      </w:r>
      <w:r>
        <w:rPr>
          <w:rFonts w:ascii="Times New Roman" w:hAnsi="Times New Roman"/>
          <w:color w:val="000000"/>
          <w:sz w:val="20"/>
        </w:rPr>
        <w:t>”) by and between Red Violet, Inc., a Delaware corporation (the "</w:t>
      </w:r>
      <w:r>
        <w:rPr>
          <w:rFonts w:ascii="Times New Roman" w:hAnsi="Times New Roman"/>
          <w:color w:val="000000"/>
          <w:sz w:val="20"/>
          <w:u w:val="single"/>
        </w:rPr>
        <w:t>Company</w:t>
      </w:r>
      <w:r>
        <w:rPr>
          <w:rFonts w:ascii="Times New Roman" w:hAnsi="Times New Roman"/>
          <w:color w:val="000000"/>
          <w:sz w:val="20"/>
        </w:rPr>
        <w:t>"), and Jeffrey Dell (the "</w:t>
      </w:r>
      <w:r>
        <w:rPr>
          <w:rFonts w:ascii="Times New Roman" w:hAnsi="Times New Roman"/>
          <w:color w:val="000000"/>
          <w:sz w:val="20"/>
          <w:u w:val="single"/>
        </w:rPr>
        <w:t>Executive</w:t>
      </w:r>
      <w:r>
        <w:rPr>
          <w:rFonts w:ascii="Times New Roman" w:hAnsi="Times New Roman"/>
          <w:color w:val="000000"/>
          <w:sz w:val="20"/>
        </w:rPr>
        <w:t>"). Capitalized terms used herein but not otherwise defined shall have the meaning ascribed to them in the Employment Agreement (defined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the Company and Executive entered into that certain Employment Agreement made by and between the Company and Executive, dated April 9, 2019 and as amended on November 9, 2020 and May 8, 2023 (as amended, the "</w:t>
      </w:r>
      <w:r>
        <w:rPr>
          <w:rFonts w:ascii="Times New Roman" w:hAnsi="Times New Roman"/>
          <w:color w:val="000000"/>
          <w:sz w:val="20"/>
          <w:u w:val="single"/>
        </w:rPr>
        <w:t>Employment Agreement</w:t>
      </w:r>
      <w:r>
        <w:rPr>
          <w:rFonts w:ascii="Times New Roman" w:hAnsi="Times New Roman"/>
          <w:color w:val="000000"/>
          <w:sz w:val="20"/>
        </w:rPr>
        <w:t>");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Company and Executive desire to amend the Employment Agreement in accordance with the terms and provisions 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NOW, THEREFORE</w:t>
      </w:r>
      <w:r>
        <w:rPr>
          <w:rFonts w:ascii="Times New Roman" w:hAnsi="Times New Roman"/>
          <w:color w:val="000000"/>
          <w:sz w:val="20"/>
        </w:rPr>
        <w:t>, in consideration of the foregoing, the mutual covenants and agreements contained herein and other good and valuable consideration, the receipt and sufficiency of which are hereby acknowledged, the Company and Executive hereby adopt this Amendment effective as of the Third Amendment Effective Date and agree as follows: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Subsection 6.(c)(iv) of the Employment Agreement is deleted in its entirety and the following substituted in lieu thereof:</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Without Cause or Refusal to Accept Assignment</w:t>
      </w:r>
      <w:r>
        <w:rPr>
          <w:rFonts w:ascii="Times New Roman" w:hAnsi="Times New Roman"/>
          <w:color w:val="000000"/>
          <w:sz w:val="20"/>
        </w:rPr>
        <w:t>. In the event the Company terminates this Agreement without Cause or any successor of the Company refuses to accept assignment of this Agreement, the Company shall pay to the Executive the greater of (x) the Executive’s Base Salary for the remainder of the Term in accordance with the Company’s payroll practices in effect from time to time or (y) two years of the Executive’s Base Salary in accordance with the Company’s payroll practices in effect from time to time, provided, however, the Executive is not in violation of the Restrictive Covenant Agreement. Upon payment to the Executive of the foregoing amount, the Company shall have no further obligation or liability to or for the benefit of the Executive under this Agreement, except as required by applicable law or any Award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Subsection 6.(c)(vi) of the Employment Agreement is deleted in its entirety and the following substituted in lieu thereof: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For Good Reason</w:t>
      </w:r>
      <w:r>
        <w:rPr>
          <w:rFonts w:ascii="Times New Roman" w:hAnsi="Times New Roman"/>
          <w:color w:val="000000"/>
          <w:sz w:val="20"/>
        </w:rPr>
        <w:t>. If the Executive terminates this Agreement and his employment for Good Reason, the Company shall pay to the Executive the greater of (x) the Executive’s Base Salary for the remainder of the Term in accordance with the Company’s payroll practices in effect from time to time or (y) two years of the Executive’s Base Salary in accordance with the Company’s payroll practices in effect from time to time, however, the Executive is not in violation of the Restrictive Covenant Agreement. Upon payment to the Executive of the foregoing amount, the Company shall have no further obligation or liability to or for the benefit of the Executive under this Agreement, except as required by applicable law or any Award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expressly amended herein, all terms and provisions of the Employment Agreement shall remain in full force and effect.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 WITNESS WHEREOF, the parties have executed this Amendment as of the date first written above.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COMPANY:</w:t>
      </w:r>
    </w:p>
    <w:p>
      <w:pPr>
        <w:pStyle w:val="TextBody"/>
        <w:bidi w:val="0"/>
        <w:jc w:val="both"/>
        <w:rPr>
          <w:rFonts w:ascii="Times New Roman" w:hAnsi="Times New Roman"/>
          <w:color w:val="000000"/>
          <w:sz w:val="20"/>
        </w:rPr>
      </w:pPr>
      <w:r>
        <w:rPr>
          <w:rFonts w:ascii="Times New Roman" w:hAnsi="Times New Roman"/>
          <w:color w:val="000000"/>
          <w:sz w:val="20"/>
        </w:rPr>
        <w:t>Red Violet, Inc., a Delaware corporation</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Derek Dubner </w:t>
      </w:r>
    </w:p>
    <w:p>
      <w:pPr>
        <w:pStyle w:val="TextBody"/>
        <w:bidi w:val="0"/>
        <w:jc w:val="both"/>
        <w:rPr>
          <w:rFonts w:ascii="Times New Roman" w:hAnsi="Times New Roman"/>
          <w:color w:val="000000"/>
          <w:sz w:val="20"/>
        </w:rPr>
      </w:pPr>
      <w:r>
        <w:rPr>
          <w:rFonts w:ascii="Times New Roman" w:hAnsi="Times New Roman"/>
          <w:color w:val="000000"/>
          <w:sz w:val="20"/>
        </w:rPr>
        <w:t>Derek Dubner, CEO</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EXECUTIVE: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/s/ Jeffrey Dell </w:t>
      </w:r>
    </w:p>
    <w:p>
      <w:pPr>
        <w:pStyle w:val="TextBody"/>
        <w:bidi w:val="0"/>
        <w:jc w:val="both"/>
        <w:rPr>
          <w:rFonts w:ascii="Times New Roman" w:hAnsi="Times New Roman"/>
          <w:color w:val="000000"/>
          <w:sz w:val="20"/>
        </w:rPr>
      </w:pPr>
      <w:r>
        <w:rPr>
          <w:rFonts w:ascii="Times New Roman" w:hAnsi="Times New Roman"/>
          <w:color w:val="000000"/>
          <w:sz w:val="20"/>
        </w:rPr>
        <w:t>Jeffrey Dell</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Third Amendment to Employment Agreement]</w:t>
      </w:r>
    </w:p>
    <w:p>
      <w:pPr>
        <w:pStyle w:val="HorizontalLine"/>
        <w:pBdr>
          <w:bottom w:val="double" w:sz="2" w:space="0" w:color="808080"/>
        </w:pBdr>
        <w:bidi w:val="0"/>
        <w:spacing w:before="0" w:after="283"/>
        <w:jc w:val="left"/>
        <w:rPr/>
      </w:pPr>
      <w:r>
        <w:rPr/>
      </w:r>
    </w:p>
    <w:p>
      <w:pPr>
        <w:pStyle w:val="TextBody"/>
        <w:bidi w:val="0"/>
        <w:jc w:val="left"/>
        <w:rPr/>
      </w:pPr>
      <w:bookmarkStart w:id="24" w:name="rdvt-ex31_1.htm"/>
      <w:bookmarkStart w:id="25" w:name="ksrdvt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Derek Dubner,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84" w:type="dxa"/>
        <w:jc w:val="left"/>
        <w:tblInd w:w="0" w:type="dxa"/>
        <w:tblLayout w:type="fixed"/>
        <w:tblCellMar>
          <w:top w:w="28" w:type="dxa"/>
          <w:left w:w="28" w:type="dxa"/>
          <w:bottom w:w="28" w:type="dxa"/>
          <w:right w:w="28" w:type="dxa"/>
        </w:tblCellMar>
      </w:tblPr>
      <w:tblGrid>
        <w:gridCol w:w="1156"/>
        <w:gridCol w:w="406"/>
        <w:gridCol w:w="146"/>
        <w:gridCol w:w="247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dvt-ex31_2.htm"/>
      <w:bookmarkStart w:id="27" w:name="ksrdvt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MacLachlan,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15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dvt-ex32_1.htm"/>
      <w:bookmarkStart w:id="29" w:name="ksrdvt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March 31, 2024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4184" w:type="dxa"/>
        <w:jc w:val="left"/>
        <w:tblInd w:w="0" w:type="dxa"/>
        <w:tblLayout w:type="fixed"/>
        <w:tblCellMar>
          <w:top w:w="28" w:type="dxa"/>
          <w:left w:w="28" w:type="dxa"/>
          <w:bottom w:w="28" w:type="dxa"/>
          <w:right w:w="28" w:type="dxa"/>
        </w:tblCellMar>
      </w:tblPr>
      <w:tblGrid>
        <w:gridCol w:w="1156"/>
        <w:gridCol w:w="406"/>
        <w:gridCol w:w="146"/>
        <w:gridCol w:w="247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rdvt-ex32_2.htm"/>
      <w:bookmarkStart w:id="31" w:name="ksrdvtex32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March 31, 2024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15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5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13155</Words>
  <Characters>71637</Characters>
  <CharactersWithSpaces>85184</CharactersWithSpaces>
  <Paragraphs>3024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