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8"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18"/>
          <w:szCs w:val="18"/>
          <w:b w:val="1"/>
          <w:bCs w:val="1"/>
          <w:color w:val="auto"/>
        </w:rPr>
        <w:t>For the quarterly period ended June 30, 2025</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p>
      <w:pPr>
        <w:spacing w:after="0" w:line="14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82-2408531</w:t>
      </w:r>
    </w:p>
    <w:p>
      <w:pPr>
        <w:spacing w:after="0" w:line="72" w:lineRule="exact"/>
        <w:rPr>
          <w:sz w:val="24"/>
          <w:szCs w:val="24"/>
          <w:color w:val="auto"/>
        </w:rPr>
      </w:pPr>
    </w:p>
    <w:p>
      <w:pPr>
        <w:sectPr>
          <w:pgSz w:w="11900" w:h="16838" w:orient="portrait"/>
          <w:cols w:equalWidth="0" w:num="2">
            <w:col w:w="7340" w:space="720"/>
            <w:col w:w="3180"/>
          </w:cols>
          <w:pgMar w:left="320" w:top="1218"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84" w:lineRule="exact"/>
        <w:rPr>
          <w:sz w:val="24"/>
          <w:szCs w:val="24"/>
          <w:color w:val="auto"/>
        </w:rPr>
      </w:pPr>
    </w:p>
    <w:p>
      <w:pPr>
        <w:sectPr>
          <w:pgSz w:w="11900" w:h="16838" w:orient="portrait"/>
          <w:cols w:equalWidth="0" w:num="2">
            <w:col w:w="6680" w:space="720"/>
            <w:col w:w="3840"/>
          </w:cols>
          <w:pgMar w:left="320" w:top="12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Florida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30480</wp:posOffset>
            </wp:positionV>
            <wp:extent cx="2254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9"/>
        </w:trPr>
        <w:tc>
          <w:tcPr>
            <w:tcW w:w="37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bottom w:val="single" w:sz="8" w:color="auto"/>
              <w:right w:val="single" w:sz="8" w:color="auto"/>
            </w:tcBorders>
          </w:tcPr>
          <w:p>
            <w:pPr>
              <w:ind w:left="7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 2025, the registrant had 13,977,738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1068070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20" w:type="dxa"/>
            <w:vAlign w:val="bottom"/>
            <w:vMerge w:val="restart"/>
          </w:tcPr>
          <w:p>
            <w:pPr>
              <w:spacing w:after="0"/>
              <w:rPr>
                <w:sz w:val="16"/>
                <w:szCs w:val="16"/>
                <w:color w:val="auto"/>
              </w:rPr>
            </w:pPr>
          </w:p>
        </w:tc>
        <w:tc>
          <w:tcPr>
            <w:tcW w:w="7660" w:type="dxa"/>
            <w:vAlign w:val="bottom"/>
            <w:gridSpan w:val="9"/>
            <w:vMerge w:val="restart"/>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3000" w:type="dxa"/>
            <w:vAlign w:val="bottom"/>
            <w:tcBorders>
              <w:bottom w:val="single" w:sz="8" w:color="0000FF"/>
            </w:tcBorders>
            <w:gridSpan w:val="8"/>
            <w:vMerge w:val="continue"/>
          </w:tcPr>
          <w:p>
            <w:pPr>
              <w:spacing w:after="0"/>
              <w:rPr>
                <w:sz w:val="13"/>
                <w:szCs w:val="13"/>
                <w:color w:val="auto"/>
              </w:rPr>
            </w:pPr>
          </w:p>
        </w:tc>
        <w:tc>
          <w:tcPr>
            <w:tcW w:w="20" w:type="dxa"/>
            <w:vAlign w:val="bottom"/>
            <w:tcBorders>
              <w:bottom w:val="single" w:sz="8" w:color="0000EE"/>
            </w:tcBorders>
            <w:vMerge w:val="continue"/>
          </w:tcPr>
          <w:p>
            <w:pPr>
              <w:spacing w:after="0"/>
              <w:rPr>
                <w:sz w:val="13"/>
                <w:szCs w:val="13"/>
                <w:color w:val="auto"/>
              </w:rPr>
            </w:pPr>
          </w:p>
        </w:tc>
        <w:tc>
          <w:tcPr>
            <w:tcW w:w="766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2025 and December 31, 2024</w:t>
            </w:r>
          </w:p>
        </w:tc>
        <w:tc>
          <w:tcPr>
            <w:tcW w:w="3520" w:type="dxa"/>
            <w:vAlign w:val="bottom"/>
            <w:gridSpan w:val="5"/>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82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982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42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526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4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63"/>
        </w:trPr>
        <w:tc>
          <w:tcPr>
            <w:tcW w:w="8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0"/>
        </w:trPr>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7020" w:type="dxa"/>
            <w:vAlign w:val="bottom"/>
            <w:tcBorders>
              <w:bottom w:val="single" w:sz="8" w:color="CFF0FC"/>
            </w:tcBorders>
            <w:gridSpan w:val="2"/>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132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shd w:val="clear" w:color="auto" w:fill="CFF0FC"/>
          </w:tcPr>
          <w:p>
            <w:pPr>
              <w:spacing w:after="0"/>
              <w:rPr>
                <w:sz w:val="18"/>
                <w:szCs w:val="18"/>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$179 and $188 as of</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tcPr>
          <w:p>
            <w:pPr>
              <w:spacing w:after="0"/>
              <w:rPr>
                <w:sz w:val="20"/>
                <w:szCs w:val="20"/>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8"/>
                <w:szCs w:val="18"/>
                <w:color w:val="auto"/>
              </w:rPr>
            </w:pPr>
          </w:p>
        </w:tc>
      </w:tr>
      <w:tr>
        <w:trPr>
          <w:trHeight w:val="250"/>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120" w:type="dxa"/>
            <w:vAlign w:val="bottom"/>
            <w:shd w:val="clear" w:color="auto" w:fill="CFF0FC"/>
          </w:tcPr>
          <w:p>
            <w:pPr>
              <w:spacing w:after="0"/>
              <w:rPr>
                <w:sz w:val="21"/>
                <w:szCs w:val="21"/>
                <w:color w:val="auto"/>
              </w:rPr>
            </w:pPr>
          </w:p>
        </w:tc>
      </w:tr>
      <w:tr>
        <w:trPr>
          <w:trHeight w:val="156"/>
        </w:trPr>
        <w:tc>
          <w:tcPr>
            <w:tcW w:w="776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r>
      <w:tr>
        <w:trPr>
          <w:trHeight w:val="210"/>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8"/>
                <w:szCs w:val="18"/>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198"/>
        </w:trPr>
        <w:tc>
          <w:tcPr>
            <w:tcW w:w="776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stock—$0.001 par value, 200,000,000 shares authorized, 13,976,841 and</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13,936,329 shares issued and outstanding, as of June 30, 2025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0"/>
                <w:szCs w:val="20"/>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r>
      <w:tr>
        <w:trPr>
          <w:trHeight w:val="210"/>
        </w:trPr>
        <w:tc>
          <w:tcPr>
            <w:tcW w:w="77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120" w:type="dxa"/>
            <w:vAlign w:val="bottom"/>
            <w:tcBorders>
              <w:top w:val="single" w:sz="8" w:color="CFF0FC"/>
            </w:tcBorders>
          </w:tcPr>
          <w:p>
            <w:pPr>
              <w:spacing w:after="0"/>
              <w:rPr>
                <w:sz w:val="18"/>
                <w:szCs w:val="18"/>
                <w:color w:val="auto"/>
              </w:rPr>
            </w:pPr>
          </w:p>
        </w:tc>
      </w:tr>
      <w:tr>
        <w:trPr>
          <w:trHeight w:val="25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-4079875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-4079875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-2948305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-2965450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-1559560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6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4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20"/>
                <w:szCs w:val="20"/>
                <w:color w:val="auto"/>
              </w:rPr>
            </w:pPr>
          </w:p>
        </w:tc>
      </w:tr>
      <w:tr>
        <w:trPr>
          <w:trHeight w:val="197"/>
        </w:trPr>
        <w:tc>
          <w:tcPr>
            <w:tcW w:w="5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14,018,629</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13,780,074</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14,008,385</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13,888,569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14,553,282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14,051,466</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14,528,789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14,129,262</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-1662430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-1662430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-1379220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-1379220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-1096645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-1096645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-1096645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-488315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-471170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-488315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-488315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120" w:type="dxa"/>
            <w:vAlign w:val="bottom"/>
            <w:gridSpan w:val="5"/>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000" w:type="dxa"/>
            <w:vAlign w:val="bottom"/>
            <w:gridSpan w:val="4"/>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3"/>
                <w:szCs w:val="13"/>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2120" w:type="dxa"/>
            <w:vAlign w:val="bottom"/>
            <w:tcBorders>
              <w:bottom w:val="single" w:sz="8" w:color="auto"/>
            </w:tcBorders>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92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13,942,164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(6,089)</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(15,804)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(205,959)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13,744,189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13,950,797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(12,573)</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(12,573)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260" w:type="dxa"/>
            <w:vAlign w:val="bottom"/>
          </w:tcPr>
          <w:p>
            <w:pPr>
              <w:spacing w:after="0"/>
              <w:rPr>
                <w:sz w:val="21"/>
                <w:szCs w:val="21"/>
                <w:color w:val="auto"/>
              </w:rPr>
            </w:pPr>
          </w:p>
        </w:tc>
        <w:tc>
          <w:tcPr>
            <w:tcW w:w="2120" w:type="dxa"/>
            <w:vAlign w:val="bottom"/>
            <w:gridSpan w:val="5"/>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1"/>
                <w:szCs w:val="21"/>
                <w:color w:val="auto"/>
              </w:rPr>
            </w:pPr>
          </w:p>
        </w:tc>
        <w:tc>
          <w:tcPr>
            <w:tcW w:w="2000" w:type="dxa"/>
            <w:vAlign w:val="bottom"/>
            <w:gridSpan w:val="4"/>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2120" w:type="dxa"/>
            <w:vAlign w:val="bottom"/>
            <w:tcBorders>
              <w:bottom w:val="single" w:sz="8" w:color="auto"/>
            </w:tcBorders>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92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13,980,274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(9,428)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(7,873)</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(21,826)</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(292,744)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(311,194)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13,744,189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13,936,329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(17,605)</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13,976,841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-4868545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-4868545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-4868545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-4868545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-4868545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-4868545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-4868545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-3462655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-3462655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-3462655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-3462655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-3462655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-3462655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-3462655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-1576705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-1576705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-1576705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-1576705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-1576705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-1576705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-170815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(863)</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r>
      <w:tr>
        <w:trPr>
          <w:trHeight w:val="209"/>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Borders>
              <w:top w:val="single" w:sz="8" w:color="CFF0FC"/>
            </w:tcBorders>
          </w:tcPr>
          <w:p>
            <w:pPr>
              <w:spacing w:after="0"/>
              <w:rPr>
                <w:sz w:val="18"/>
                <w:szCs w:val="18"/>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(4,984)</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(4,738)</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(5,236)</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(4,855)</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(5,853)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(4,908)</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(6,256)</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4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w:t>
            </w: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38,848</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30,943</w:t>
            </w:r>
          </w:p>
        </w:tc>
        <w:tc>
          <w:tcPr>
            <w:tcW w:w="1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9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9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20" w:type="dxa"/>
            <w:vAlign w:val="bottom"/>
            <w:shd w:val="clear" w:color="auto" w:fill="CFF0FC"/>
          </w:tcPr>
          <w:p>
            <w:pPr>
              <w:spacing w:after="0"/>
              <w:rPr>
                <w:sz w:val="18"/>
                <w:szCs w:val="18"/>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of operating lease liabilities</w:t>
            </w:r>
          </w:p>
        </w:tc>
        <w:tc>
          <w:tcPr>
            <w:tcW w:w="19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-2702560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-2702560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-2136775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-2136775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-1288415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-1005205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-1005205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4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2025.</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2024 filed with the SEC on February 27, 2025 (“Form 10-K”).</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included herein was derived from the audited financial statements as of that date included in the Form 10-K, but does not include all disclosures required by US GAAP.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16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231F20"/>
        </w:rPr>
        <w:t>In December 2023, the Financial Accounting Standard Board (the “FASB”) issued Accounting Standard Updates (“ASU”) No. 2023-09, "</w:t>
      </w:r>
      <w:r>
        <w:rPr>
          <w:rFonts w:ascii="Times New Roman" w:cs="Times New Roman" w:eastAsia="Times New Roman" w:hAnsi="Times New Roman"/>
          <w:sz w:val="18"/>
          <w:szCs w:val="18"/>
          <w:i w:val="1"/>
          <w:iCs w:val="1"/>
          <w:color w:val="231F20"/>
        </w:rPr>
        <w:t>Income Taxes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(Topic 740): Improvements to Income Tax Disclosures (ASU 2023-09)</w:t>
      </w:r>
      <w:r>
        <w:rPr>
          <w:rFonts w:ascii="Times New Roman" w:cs="Times New Roman" w:eastAsia="Times New Roman" w:hAnsi="Times New Roman"/>
          <w:sz w:val="18"/>
          <w:szCs w:val="18"/>
          <w:color w:val="231F20"/>
        </w:rPr>
        <w:t>," which improves the transparency of income tax disclosures by requiring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the impact on its condensed consolidated financial statements and related disclosures.</w:t>
      </w:r>
    </w:p>
    <w:p>
      <w:pPr>
        <w:spacing w:after="0" w:line="1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In November, 2024, the FASB issued ASU No. 2024-03, "</w:t>
      </w:r>
      <w:r>
        <w:rPr>
          <w:rFonts w:ascii="Times New Roman" w:cs="Times New Roman" w:eastAsia="Times New Roman" w:hAnsi="Times New Roman"/>
          <w:sz w:val="18"/>
          <w:szCs w:val="18"/>
          <w:i w:val="1"/>
          <w:iCs w:val="1"/>
          <w:color w:val="231F20"/>
        </w:rPr>
        <w:t>Income Statement - Reporting Comprehensive Income - Expense Disaggregation Disclosures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(Subtopic 220-04), Disaggregation of Income Statement Expenses (ASU 2024-03),</w:t>
      </w:r>
      <w:r>
        <w:rPr>
          <w:rFonts w:ascii="Times New Roman" w:cs="Times New Roman" w:eastAsia="Times New Roman" w:hAnsi="Times New Roman"/>
          <w:sz w:val="18"/>
          <w:szCs w:val="18"/>
          <w:color w:val="231F20"/>
        </w:rPr>
        <w:t>" which requires disclosure within the notes to financial statements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specific 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assessing the impact adopting this ASU will have on its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20" w:type="dxa"/>
            <w:vAlign w:val="bottom"/>
          </w:tcPr>
          <w:p>
            <w:pPr>
              <w:spacing w:after="0"/>
              <w:rPr>
                <w:sz w:val="15"/>
                <w:szCs w:val="15"/>
                <w:color w:val="auto"/>
              </w:rPr>
            </w:pPr>
          </w:p>
        </w:tc>
        <w:tc>
          <w:tcPr>
            <w:tcW w:w="23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14,018,629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13,780,074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14,008,385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13,888,569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14,051,466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14,528,789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4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2025 and 2024, diluted weighted average shares outstanding are calculated by the inclusion of unvested restricted stock units ("RSUs").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0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5-10 years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(43,424)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(38,412)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(43,507)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37,677</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(38,412)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gross carrying amount of software developed for internal use includes capitalized costs related to the design, development, and testing of internal-use software. These costs primarily consist of eligible personnel-related expenses, share-based compensation, travel expenses, and other directly attributable costs incurred during the application development stage. The gross carrying amount of acquired intangible assets reflects the acquisition cost of certain data assets for which the Company has obtained perpetual usage rights.</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Amortization expenses of $2,595 and $2,322 for the three months ended June 30, 2025 and 2024, respectively, and $5,095 and $4,536 for the six months ended June 30, 2025 and 2024, respectively, were included in depreciation and amortization expense. As of June 30, 2025, intangible assets of $3,766, included in the gross carrying amounts of software developed for internal use, have not yet commenced amortization, as they are not ready for their intended use.</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capitalized intangible asset costs of $2,784 and $2,847 during the three months ended June 30, 2025 and 2024, respectively, and $6,775 and $5,620 during the six months ended June 30, 2025 and 2024, respectively.</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2025, estimated amortization expense related to the Company’s intangible assets for the remainder of 2025 through 2030 and thereafter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5,345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9,807</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8,192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5,759</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8"/>
                <w:szCs w:val="18"/>
                <w:color w:val="auto"/>
              </w:rPr>
            </w:pPr>
          </w:p>
        </w:tc>
      </w:tr>
      <w:tr>
        <w:trPr>
          <w:trHeight w:val="250"/>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June 30, 2025 and December 31, 2024, the balance of goodwill of $5,227 was as a result of the acquisition of Interactive Data, LLC, a wholly-owned subsidiary of red violet, effective on October 2, 2014.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5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did not record a goodwill impairment loss during the three and six months ended June 30, 2025 and 2024, and there was no accumulated goodwill impairment loss as of June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June 30, 2025, the current and noncurrent portion unbilled accounts receivable of $1,344 and $1,241, respectively, were included within accounts receivable and other noncurrent assets, respectively, on the condensed consolidated balance sheets. As of December 31, 2024, the current and noncurrent portion unbilled accounts receivable of $937 and $1,080, respectively, were included within accounts receivable and other noncurrent assets, respectively, on the consolidated balance sheets. The Company's revenue arrangements do not contain significant financing components.</w:t>
      </w:r>
    </w:p>
    <w:p>
      <w:pPr>
        <w:spacing w:after="0" w:line="148"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77% and 74% of total revenue was attributable to customers with pricing contracts, respectively, versus 23% and 26% attributable to transactional customers, respectively. For the six months ended June 30, 2025 and 2024, 76% of total revenue was attributable to customers with pricing contracts, versus 24% attributable to transactional customers. Pricing contracts are generally annual contracts or longer, with auto renewal.</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before the Company transfers services to the customer, those amounts are classified as deferred revenue. As of June 30, 2025 and December 31, 2024, the balance of deferred revenue was $806 and $712, respectively, all of which is expected to be realized in the next 12 months. In relation to the deferred revenue balance as of December 31, 2024, $183 and $494 was recognized into revenue during the three and six months ended June 30, 2025, respectively.</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June 30, 2025, $19,931 of revenue is expected to be recognized in the future for performance obligations that are unsatisfied or partially unsatisfied, related to pricing contracts that have a term of more than 12 months, of which, $5,902 of revenue will be recognized in the remainder of 2025, $8,113 in 2026, $4,641 in 2027, $1,083 in 2028, $187 in 2029, and $5 in 2030.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0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June 30, 2025 was more likely than not.</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13% and 22% for the three months ended June 30, 2025 and 2024, respectively, and 19% and 23% for the six months ended June 30, 2025 and 2024, respectively, differing from the U.S. statutory corporate federal income tax rate of 21%.</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effective income tax rates were lower than the statutory rate, primarily attributable to the benefit of research and development tax credits, partially offset by state income taxes and nondeductible permanent differences. In contrast, for the three and six months ended June 30, 2024, the effective income tax rates were higher than the statutory rate, primarily driven by state income taxes and nondeductible permanent differences, partially offset by the benefit of research and development tax credits.</w:t>
      </w:r>
    </w:p>
    <w:p>
      <w:pPr>
        <w:spacing w:after="0" w:line="15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unrecognized tax benefits as of June 30, 2025 and December 31, 2024.</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The OBBBA makes permanent key elements of the Tax Cuts and Jobs Act, including the full expensing of domestic research and experimentation expenditures.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the effects of changes in tax rates and laws on deferred tax balances to be recognized in the period in which the legislation is enacted. The Company is currently evaluating the impact of the OBBBA on its financial statements and does not expect it to have a material impact on the Company’s effective tax 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number of issued shares of common stock was 13,976,841 and 13,936,329, respectively. The Company held no shares of treasury stock as of either date. The changes in the number of issued shares of common stock and treasury stock were due to the following factor: an aggregate of 58,117 shares of common stock were issued as a result of the vesting of RSUs, of which, 17,605 shares of common stock were withheld to pay withholding taxes upon such vesting, which were reflected in treasury stock, with a cost of $727. All 17,605 shares of treasury stock were retired during the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December 3, 2024, the Company declared a special cash dividend on its common stock of $0.30 per share (the “Dividend”) to shareholders of record as of January 31, 2025, and the aggregate amount of approximately $4.2 million was paid on February 14,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Subsequently on June 3, 2020 and May 25, 2022, the Company’s stockholders approved amendments to the 2018 Plan to increase the number of shares of common stock authorized for issuance under the 2018 Plan to 4,500,000 shares and 6,500,000 shares, respectively. On June 10, 2025, the Company's stockholders approved an amendment and restatement to the 2018 Plan (the "Amended and Restated Plan") to, among other things, further increase the number of shares of common stock authorized for issuance under the 2018 Plan from 6,500,000 shares to 7,500,000 shares.</w:t>
      </w:r>
    </w:p>
    <w:p>
      <w:pPr>
        <w:spacing w:after="0" w:line="14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primary purpose of the Amended and Restated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there were 2,657,597 shares of common stock available for future issuance under the Amended and Restated Plan.</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date, all stock incentives issued under the Amended and Restated Plan have been in the form of RSUs. RSUs granted under the Amended and Restated Plan vest and settle upon the satisfaction of a time-based condition or with both time- and performance-based conditions. The time-based condition for these awards is generally satisfied over three or four years with annual vesting. Details of unvested RSU activity during the six months ended June 30, 2025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3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887,268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(40,512)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(40,382)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09"/>
        </w:trPr>
        <w:tc>
          <w:tcPr>
            <w:tcW w:w="734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Unvested as of June 30, 2025</w:t>
            </w:r>
            <w:r>
              <w:rPr>
                <w:rFonts w:ascii="Times New Roman" w:cs="Times New Roman" w:eastAsia="Times New Roman" w:hAnsi="Times New Roman"/>
                <w:sz w:val="24"/>
                <w:szCs w:val="24"/>
                <w:color w:val="auto"/>
                <w:vertAlign w:val="superscript"/>
              </w:rPr>
              <w:t>(3)</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895,819</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10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2025, the Company granted an aggregate of 107,050 RSUs to certain employees and directors at grant date fair values ranging from $34.18 to $49.67 per share, with a vesting period ranging from three to four years.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7 for details.</w:t>
      </w:r>
    </w:p>
    <w:p>
      <w:pPr>
        <w:spacing w:after="0" w:line="198" w:lineRule="exact"/>
        <w:rPr>
          <w:rFonts w:ascii="Times New Roman" w:cs="Times New Roman" w:eastAsia="Times New Roman" w:hAnsi="Times New Roman"/>
          <w:sz w:val="18"/>
          <w:szCs w:val="18"/>
          <w:color w:val="auto"/>
        </w:rPr>
      </w:pPr>
    </w:p>
    <w:p>
      <w:pPr>
        <w:ind w:left="380" w:right="220" w:hanging="372"/>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2024, the Company granted 130,000 RSUs, subject to performance-based vesting conditions, to a non-executive employee, at a grant date fair value of $18.30 per share. Such RSU grant will not vest unless and until the Company has achieved certain revenue for a portion of its business prior to December 31, 2030, the final achievement date deadline. As of June 30, 2025, the Company determined that it is not probable that the performance criteria associated with 70,000 of the 130,000 RSUs will be met. Accordingly, no share-based compensation expense has been recognized for these RSUs. The 70,000 RSUs remain unvested and were included in "Unvested as of June 30, 2025" in the table above.</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June 30, 2025, unrecognized share-based compensation expense associated with the granted RSUs amounted to $15,286, which is expected to be recognized over a remaining weighted average period of 2.5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6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4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4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-933450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-916305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leases an additional office space of 6,003 rentable square feet for its Seattle office in accordance with a non-cancellable operating lease agreement entered into in April 2017, which expired in March 2025. The extension options of such agreements were not included in the determination of the lease terms.</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20, 2024, the Company entered into a non-cancellable 80-month operating lease agreement for its new Seattle office space of 6,709 rentable square feet (the "New Seattle Lease Agreement"), with the lease commencement date on May 1, 2025 (the "Commencement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a summary of the Company’s lease information is shown below:</w:t>
      </w:r>
    </w:p>
    <w:p>
      <w:pPr>
        <w:sectPr>
          <w:pgSz w:w="11900" w:h="16838" w:orient="portrait"/>
          <w:cols w:equalWidth="0" w:num="1">
            <w:col w:w="11240"/>
          </w:cols>
          <w:pgMar w:left="320" w:top="1197" w:right="339" w:bottom="1440" w:gutter="0" w:footer="0" w:header="0"/>
        </w:sect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9" w:lineRule="exact"/>
        <w:rPr>
          <w:sz w:val="20"/>
          <w:szCs w:val="20"/>
          <w:color w:val="auto"/>
        </w:rPr>
      </w:pPr>
    </w:p>
    <w:p>
      <w:pPr>
        <w:ind w:left="100" w:right="880" w:hanging="89"/>
        <w:spacing w:after="0" w:line="249" w:lineRule="auto"/>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4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425"/>
        </w:trPr>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432"/>
        </w:trPr>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324"/>
        </w:trPr>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-753745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-479425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-205105</wp:posOffset>
            </wp:positionV>
            <wp:extent cx="713232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4440" w:space="720"/>
            <w:col w:w="6080"/>
          </w:cols>
          <w:pgMar w:left="320" w:top="1197" w:right="339" w:bottom="1440" w:gutter="0" w:footer="0" w:header="0"/>
          <w:type w:val="continuous"/>
        </w:sectPr>
      </w:pPr>
    </w:p>
    <w:p>
      <w:pPr>
        <w:jc w:val="both"/>
        <w:ind w:left="380" w:right="4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Seattle Lease Agreement resulted in the recognition of $1,153 in right-of-use assets obtained in exchange for operating lease liabilities as of May 1, 2025. The Company applied a 6.0% discount rate, its estimated incremental borrowing rate for similar secured assets, to determine the present value of the lease payments, as the implicit rate in the lease is not readily determinable. The discount rate was based on information available as of the Commencement Date.</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weighted-average remaining term of the Company's operating leases was 5.0 years and 4.3 years, respectively, and the weighted-average discount rate used to measure the operating lease liabilities was 8.36% and 9.94%,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scheduled future maturities and present value of the operating lease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60"/>
        </w:trPr>
        <w:tc>
          <w:tcPr>
            <w:tcW w:w="9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maturities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5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Present value included in condensed consolidated balance sheet: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Difference between the maturities and related present value of operating lease liabilities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currently has one single operating and reporting segment, identity and information solutions, as defined by ASC 280, “Segment Reporting.” The Company adopted ASU 2023-07 as of December 31, 2024. There have been no significant changes in the basis of segmentation or in the basis of measurement of segment profit since the last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assesses performance for the identity and information solutions segment and decides how to allocate resources based on net income that also is reported on the condensed consolidated statements of operations as net income. The measure of segment assets is reported on the condensed consolidated balance sheet as total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reported segment revenue, segment net income, and significant segment expenses is shown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marketing and agency expenses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2,686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6,126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-333375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-333375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-333375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460" w:hanging="372"/>
        <w:spacing w:after="0" w:line="266" w:lineRule="auto"/>
        <w:tabs>
          <w:tab w:leader="none" w:pos="3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for the three and six months ended June 30, 2025, include $370 of acquisition-related costs incurred in connection with the due diligence of potential strategic targets. Comparable acquisition-related costs were $0 and $7 for the three and six months ended June 30, 2024, respectively.</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primarily travel and entertainment, write-off of long-lived assets, and other selling,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of $2,417 and $2,406 for the three months ended June 30, 2025 and 2024, respectively, and $4,959 and $4,840 for the six months ended June 30, 2025 and 2024, respectively, under certain data licensing agreements.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Effective on May 1, 2025, the Company entered into an amendment with its largest data supplier, extending the term of the agreement through April 30, 2031. The Company may elect to extend the term for an additional twelve months upon written notice to this supplier at least 30 days prior to April 30,</w:t>
      </w: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2031. This data supplier accounted for 46% of the Company’s total data acquisition costs for the three months ended June 30, 2025 and 2024, and 45% and 44% for the six months ended June 30, 2025 and 2024, respectively. As of June 30, 2025, the remaining minimum purchase commitment of this agreement through the end of the term is $24.7 million.</w:t>
      </w:r>
    </w:p>
    <w:p>
      <w:pPr>
        <w:spacing w:after="0" w:line="14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w:t>
      </w:r>
    </w:p>
    <w:p>
      <w:pPr>
        <w:spacing w:after="0" w:line="1" w:lineRule="exact"/>
        <w:rPr>
          <w:sz w:val="20"/>
          <w:szCs w:val="20"/>
          <w:color w:val="auto"/>
        </w:rPr>
      </w:pPr>
    </w:p>
    <w:p>
      <w:pPr>
        <w:ind w:right="240" w:firstLine="8"/>
        <w:spacing w:after="0" w:line="26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as internal-use software costs within intangible assets when consumed in the development or enhancement of the Company’s internal-use software.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2025, the total material capital commitments under certain data licensing agreements and the cloud service agreement amounted to $43,979, shown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the matter was remanded back to the Superior Court of New Jersey, Law Division, Monmouth County by order dated November 21, 2024, where the Action is pending.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spacing w:after="0" w:line="1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2024 filed on February 27, 2025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58"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7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2025 and 2024, IDI had 9,549 and 8,477 billable customers, respectively, and FOREWARN had 346,671 and 263,876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220"/>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June 30, 2025 and 2024, 77% and 74% of total revenue was attributable to customers with pricing contracts, respectively, versus 23% and 26% attributable to transactional customers, respectively. For the six months ended June 30, 2025 and 2024, 76% of total revenue was attributable to customers with pricing contracts, versus 24% attributable to transactional customers.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refer to our Form 10-K. There have been no material changes to Critical Accounting Policies and Estimates disclosed in our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as compared to the three months ended June 30, 2024:</w:t>
      </w:r>
    </w:p>
    <w:p>
      <w:pPr>
        <w:spacing w:after="0" w:line="117"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14% to $21.8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18% to $15.7 million. Gross margin increased to 72% from 70%.</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17% to $18.2 million. Adjusted gross margin increased to 84% from 82%.</w:t>
      </w:r>
    </w:p>
    <w:p>
      <w:pPr>
        <w:spacing w:after="0" w:line="117"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 to $2.7 million, which resulted in earnings of $0.19 and $0.18 per basic and diluted share, respectively. Net income margin decreased to 12% from 14%.</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12% to $7.6 million. Adjusted EBITDA margin decreased to 35% from 36%.</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6% to $4.1 million, which resulted in adjusted earnings of $0.29 and $0.28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31% to $7.5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6" w:name="page17"/>
    <w:bookmarkEnd w:id="16"/>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$38.8 million as of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and Recent Business Highlights</w:t>
      </w:r>
    </w:p>
    <w:p>
      <w:pPr>
        <w:spacing w:after="0" w:line="121"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308 customers to IDI during the second quarter, ending the quarter with 9,549 customers.</w:t>
      </w:r>
    </w:p>
    <w:p>
      <w:pPr>
        <w:spacing w:after="0" w:line="123" w:lineRule="exact"/>
        <w:rPr>
          <w:rFonts w:ascii="Times New Roman" w:cs="Times New Roman" w:eastAsia="Times New Roman" w:hAnsi="Times New Roman"/>
          <w:sz w:val="18"/>
          <w:szCs w:val="18"/>
          <w:color w:val="auto"/>
        </w:rPr>
      </w:pPr>
    </w:p>
    <w:p>
      <w:pPr>
        <w:ind w:left="380" w:right="800" w:hanging="372"/>
        <w:spacing w:after="0" w:line="233"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21,335 users to FOREWARN during the second quarter, ending the quarter with 346,671 users. Over 575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91"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win higher-tier customers at an accelerated pace, with total customer spend outpacing prior-year levels across each key revenue cohort, including $10,000 to $25,000, $25,000 to $100,000, and over $100,000, in trailing twelve-month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0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litigation costs, acquisition-related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5"/>
                <w:szCs w:val="15"/>
                <w:color w:val="auto"/>
              </w:rPr>
            </w:pPr>
          </w:p>
        </w:tc>
        <w:tc>
          <w:tcPr>
            <w:tcW w:w="28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21,774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19,056</w:t>
            </w:r>
          </w:p>
        </w:tc>
        <w:tc>
          <w:tcPr>
            <w:tcW w:w="220" w:type="dxa"/>
            <w:vAlign w:val="bottom"/>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43,777</w:t>
            </w:r>
          </w:p>
        </w:tc>
        <w:tc>
          <w:tcPr>
            <w:tcW w:w="240" w:type="dxa"/>
            <w:vAlign w:val="bottom"/>
          </w:tcPr>
          <w:p>
            <w:pPr>
              <w:spacing w:after="0"/>
              <w:rPr>
                <w:sz w:val="17"/>
                <w:szCs w:val="17"/>
                <w:color w:val="auto"/>
              </w:rPr>
            </w:pP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36,567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628"/>
        </w:trPr>
        <w:tc>
          <w:tcPr>
            <w:tcW w:w="48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-1533525</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-1516380</wp:posOffset>
            </wp:positionV>
            <wp:extent cx="111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-1533525</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-1516380</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-1533525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-1516380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-1533525</wp:posOffset>
            </wp:positionV>
            <wp:extent cx="111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-1516380</wp:posOffset>
            </wp:positionV>
            <wp:extent cx="111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-933450</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-916940</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-916940</wp:posOffset>
            </wp:positionV>
            <wp:extent cx="1111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-933450</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-916940</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-916940</wp:posOffset>
            </wp:positionV>
            <wp:extent cx="1117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(1)</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9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4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9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14,018,629</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13,780,074</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14,008,385</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13,888,569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14,553,282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14,051,466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14,528,789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14,129,262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-1414145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-1397000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-1414145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-1397000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-1414145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-1397000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-1113790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-1096645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-1113790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-1096645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-1113790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-1096645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-488315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-471170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-488315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-471170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-488315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-471170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-187960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20" w:hanging="372"/>
        <w:spacing w:after="0" w:line="282" w:lineRule="auto"/>
        <w:tabs>
          <w:tab w:leader="none" w:pos="3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26.00% for the three and six months ended June 30, 2025, and 25.75% for the three and six months ended June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5"/>
                <w:szCs w:val="15"/>
                <w:color w:val="auto"/>
              </w:rPr>
            </w:pPr>
          </w:p>
        </w:tc>
        <w:tc>
          <w:tcPr>
            <w:tcW w:w="28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(7,211)</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related to cost of revenue</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(5,095)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Depreciation and amortization of certain intangible</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820" w:type="dxa"/>
            <w:vAlign w:val="bottom"/>
            <w:tcBorders>
              <w:bottom w:val="single" w:sz="8" w:color="CFF0FC"/>
            </w:tcBorders>
            <w:shd w:val="clear" w:color="auto" w:fill="CFF0FC"/>
          </w:tcPr>
          <w:p>
            <w:pPr>
              <w:ind w:left="100"/>
              <w:spacing w:after="0" w:line="255"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36,532</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-1045210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-1045210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-1045210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-1045210</wp:posOffset>
            </wp:positionV>
            <wp:extent cx="1117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-633730</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-633730</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-633730</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-633730</wp:posOffset>
            </wp:positionV>
            <wp:extent cx="1117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111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7" w:lineRule="exact"/>
        <w:rPr>
          <w:sz w:val="20"/>
          <w:szCs w:val="20"/>
          <w:color w:val="auto"/>
        </w:rPr>
      </w:pPr>
    </w:p>
    <w:p>
      <w:pPr>
        <w:ind w:left="380" w:right="420" w:hanging="372"/>
        <w:spacing w:after="0" w:line="282" w:lineRule="auto"/>
        <w:tabs>
          <w:tab w:leader="none" w:pos="3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certain intangible assets primarily consists of the amortization of capitalized internal-use software development costs, which are included within intangible assets and amortized over their estimated useful lives.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14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-933450</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-916305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-916305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12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ind w:right="5260"/>
        <w:spacing w:after="0" w:line="455" w:lineRule="auto"/>
        <w:rPr>
          <w:sz w:val="20"/>
          <w:szCs w:val="20"/>
          <w:color w:val="auto"/>
        </w:rPr>
      </w:pPr>
      <w:r>
        <w:rPr>
          <w:rFonts w:ascii="Times New Roman" w:cs="Times New Roman" w:eastAsia="Times New Roman" w:hAnsi="Times New Roman"/>
          <w:sz w:val="18"/>
          <w:szCs w:val="18"/>
          <w:i w:val="1"/>
          <w:iCs w:val="1"/>
          <w:color w:val="auto"/>
        </w:rPr>
        <w:t xml:space="preserve">Three months ended June 30, 2025 compared to three months ended June 30, 2024 </w:t>
      </w:r>
      <w:r>
        <w:rPr>
          <w:rFonts w:ascii="Times New Roman" w:cs="Times New Roman" w:eastAsia="Times New Roman" w:hAnsi="Times New Roman"/>
          <w:sz w:val="18"/>
          <w:szCs w:val="18"/>
          <w:b w:val="1"/>
          <w:bCs w:val="1"/>
          <w:i w:val="1"/>
          <w:iCs w:val="1"/>
          <w:color w:val="auto"/>
        </w:rPr>
        <w:t>Revenue</w:t>
      </w:r>
    </w:p>
    <w:p>
      <w:pPr>
        <w:ind w:right="360"/>
        <w:spacing w:after="0" w:line="312" w:lineRule="auto"/>
        <w:rPr>
          <w:sz w:val="20"/>
          <w:szCs w:val="20"/>
          <w:color w:val="auto"/>
        </w:rPr>
      </w:pPr>
      <w:r>
        <w:rPr>
          <w:rFonts w:ascii="Times New Roman" w:cs="Times New Roman" w:eastAsia="Times New Roman" w:hAnsi="Times New Roman"/>
          <w:sz w:val="17"/>
          <w:szCs w:val="17"/>
          <w:color w:val="auto"/>
        </w:rPr>
        <w:t>Revenue increased $2.7 million, or 14%, to $21.8 million for the three months ended June 30, 2025, compared to $19.1 million for the same period in 2024. The increase was driven by volume expansion across the existing customer base, partially offset by the decrease in revenue from new customers.</w:t>
      </w:r>
    </w:p>
    <w:p>
      <w:pPr>
        <w:spacing w:after="0" w:line="32"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existing customers increased $3.1 million, or 18%.</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decreased $0.4 million, or 19%.</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Note, the $19.1 million in revenue for the three months ended June 30, 2024, included $1.0 million in one-time transactional revenue attributable to a large opportunity win from an existing customer. No comparable one-time transactional revenue was included in the $21.8 million in revenue for the three months ended June 30, 2025.</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2025, we consolidated our prior base revenue and growth revenue categories into a single revenue from existing customers metric to provide a more streamlined and meaningful view of ongoing customer contribution.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2025, our IDI billable customer base increased to 9,549 customers, up from 8,477 customers a year earlier. Our FOREWARN user base increased to 346,671 users, up from 263,876 users a year earlier.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remained consistent at $3.5 million for the three months ended June 30, 2025 and 2024.</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cost of revenue primarily consists of data acquisition costs, which includes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46% of our total data acquisition costs for the three months ended June 30, 2025 and 2024. Effective on May 1, 2025, we entered into an amendment with our largest data supplier, extending the term of the agreement through April 30, 2031.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components of our cost of revenue include cloud infrastructure fees and pertinent personnel-related costs.</w:t>
      </w:r>
    </w:p>
    <w:p>
      <w:pPr>
        <w:spacing w:after="0" w:line="18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Due to the fixed-cost nature of our primary data licensing structure, cost of revenue as a percentage of revenue decreased to 16% for the three months ended June 30, 2025, compared to 18% for the same period in 2024. We expect this percentage to continue to decline over time as our revenue increases.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$1.2 million, or 28%, to $5.6 million for the three months ended June 30, 2025, compared to $4.4 million for the same period in 2024. The increase reflects our continued investment in expanding our go-to-market capabilities to support long-term revenue growth.</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advertising, marketing and agency expenses, travel expenses, and share-based compensation expense incurred by our sales team, and provision for bad debts.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personnel-related expenses;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advertising, marketing and agency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$1.5 million, or 26%, to $7.3 million for the three months ended June 30, 2025, compared to $5.8 million for the same period in 2024. The increase reflects higher personnel-related expenses and share-based compensation expense to support the continued growth of the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and 2024, general and administrative expenses consisted primarily of:</w:t>
      </w:r>
    </w:p>
    <w:p>
      <w:pPr>
        <w:spacing w:after="0" w:line="117"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$3.5 million and $2.9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$1.6 million and $1.2 million, respectively; and</w:t>
      </w:r>
    </w:p>
    <w:p>
      <w:pPr>
        <w:spacing w:after="0" w:line="11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$1.6 million and $1.0 million, respectively. Professional fees included $0.4 million and $0, respectively, of acquisition-related costs incurred in connection with the due diligence of potential strategic targets.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$0.2 million, or 11%, to $2.6 million for the three months ended June 30, 2025, compared to $2.4 million for the same period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 the amortization of intangible assets that became ready for their intended use after June 30, 2024.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remained consistent at $0.3 million for the three months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income was primarily attributable to yields on money market fund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before income taxes decreased $0.3 million, or 9%, to $3.1 million for the three months ended June 30, 2025, compared to $3.4 million for the same period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w:t>
      </w:r>
    </w:p>
    <w:p>
      <w:pPr>
        <w:spacing w:after="0" w:line="11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in professional fees;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share-based compensation expense;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depreciation and amortization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in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$0.4 million for the three months ended June 30, 2025, compared to $0.7 million for the same period in 2024.</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was primarily attributable to the lower pre-tax income, and a decrease in the effective tax rate to 13% for the three months ended June 30, 2025 from 22% for the same period in 2024.</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The OBBBA makes permanent key elements of the Tax Cuts and Jobs Act, including the full expensing of domestic research and experimentation expenditures.</w:t>
      </w:r>
    </w:p>
    <w:p>
      <w:pPr>
        <w:spacing w:after="0" w:line="121" w:lineRule="exact"/>
        <w:rPr>
          <w:sz w:val="20"/>
          <w:szCs w:val="20"/>
          <w:color w:val="auto"/>
        </w:rPr>
      </w:pPr>
    </w:p>
    <w:p>
      <w:pPr>
        <w:ind w:right="2180"/>
        <w:spacing w:after="0" w:line="461" w:lineRule="auto"/>
        <w:rPr>
          <w:sz w:val="20"/>
          <w:szCs w:val="20"/>
          <w:color w:val="auto"/>
        </w:rPr>
      </w:pPr>
      <w:r>
        <w:rPr>
          <w:rFonts w:ascii="Times New Roman" w:cs="Times New Roman" w:eastAsia="Times New Roman" w:hAnsi="Times New Roman"/>
          <w:sz w:val="18"/>
          <w:szCs w:val="18"/>
          <w:color w:val="auto"/>
        </w:rPr>
        <w:t xml:space="preserve">For additional information, refer to Note 6, “Income taxes,” in the “Notes to Condensed Consolidated Financial Statements.” </w:t>
      </w:r>
      <w:r>
        <w:rPr>
          <w:rFonts w:ascii="Times New Roman" w:cs="Times New Roman" w:eastAsia="Times New Roman" w:hAnsi="Times New Roman"/>
          <w:sz w:val="18"/>
          <w:szCs w:val="18"/>
          <w:b w:val="1"/>
          <w:bCs w:val="1"/>
          <w:i w:val="1"/>
          <w:iCs w:val="1"/>
          <w:color w:val="auto"/>
        </w:rPr>
        <w:t>Net income</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increased $0.1 million, or 2%, to $2.7 million for the three months ended June 30, 2025, compared to $2.6 million for the same period in 2024, as a result of the foregoing.</w:t>
      </w:r>
    </w:p>
    <w:p>
      <w:pPr>
        <w:spacing w:after="0" w:line="119" w:lineRule="exact"/>
        <w:rPr>
          <w:sz w:val="20"/>
          <w:szCs w:val="20"/>
          <w:color w:val="auto"/>
        </w:rPr>
      </w:pPr>
    </w:p>
    <w:p>
      <w:pPr>
        <w:ind w:right="5560"/>
        <w:spacing w:after="0" w:line="462" w:lineRule="auto"/>
        <w:rPr>
          <w:sz w:val="20"/>
          <w:szCs w:val="20"/>
          <w:color w:val="auto"/>
        </w:rPr>
      </w:pPr>
      <w:r>
        <w:rPr>
          <w:rFonts w:ascii="Times New Roman" w:cs="Times New Roman" w:eastAsia="Times New Roman" w:hAnsi="Times New Roman"/>
          <w:sz w:val="18"/>
          <w:szCs w:val="18"/>
          <w:i w:val="1"/>
          <w:iCs w:val="1"/>
          <w:color w:val="auto"/>
        </w:rPr>
        <w:t xml:space="preserve">Six months ended June 30, 2025 compared to six months ended June 30, 2024 </w:t>
      </w:r>
      <w:r>
        <w:rPr>
          <w:rFonts w:ascii="Times New Roman" w:cs="Times New Roman" w:eastAsia="Times New Roman" w:hAnsi="Times New Roman"/>
          <w:sz w:val="18"/>
          <w:szCs w:val="18"/>
          <w:b w:val="1"/>
          <w:bCs w:val="1"/>
          <w:i w:val="1"/>
          <w:iCs w:val="1"/>
          <w:color w:val="auto"/>
        </w:rPr>
        <w:t>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$7.2 million, or 20%, to $43.8 million for the six months ended June 30, 2025, compared to $36.6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driven by strong onboarding of new customers and volume expansion across the existing customer base.</w:t>
      </w:r>
    </w:p>
    <w:p>
      <w:pPr>
        <w:spacing w:after="0" w:line="99"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increased $0.9 million, or 28%.</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existing customers increased $6.3 million, or 19%.</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2025, we consolidated our prior base revenue and growth revenue categories into a single revenue from existing customers metric to provide a more streamlined and meaningful view of ongoing customer contribution.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2025, our IDI billable customer base increased to 9,549 customers, up from 8,477 customers a year earlier. Our FOREWARN user base increased to 346,671 users, up from 263,876 users a year earlier.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remained consistent at $7.2 million for the six months ended June 30, 2025 and 2024.</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cost of revenue primarily consists of data acquisition costs, which includes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45% and 44% of our total data acquisition costs for the six months ended June 30, 2025 and 2024, respectively. Effective on May 1, 2025, we entered into an amendment with our largest data supplier, extending the term of the agreement through April 30, 2031.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components of our cost of revenue include cloud infrastructure fees and pertinent personnel-related costs.</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Due to the fixed-cost nature of our primary data licensing structure, cost of revenue as a percentage of revenue decreased to 16% for the six months ended June 30, 2025, compared to 20% for the same period in 2024. We expect this percentage to continue to decline over time as our revenue increases.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$2.9 million, or 36%, to $11.0 million for the six months ended June 30, 2025, compared to $8.1 million for the same period in 2024. The increase reflects our continued investment in expanding our go-to-market capabilities to support long-term revenue growth.</w:t>
      </w:r>
    </w:p>
    <w:p>
      <w:pPr>
        <w:spacing w:after="0" w:line="13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advertising, marketing and agency expenses, travel expenses, and share-based compensation expense incurred by our sales team, and provision for bad debts.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$2.5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advertising, marketing and agency expenses;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share-based compensation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$1.9 million, or 16%, to $13.4 million for the six months ended June 30, 2025, compared to $11.5 million for the same period in 2024. The increase reflects higher personnel-related expenses and share-based compensation expense to support the continued growth of the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and 2024, general and administrative expenses consisted primarily of:</w:t>
      </w:r>
    </w:p>
    <w:p>
      <w:pPr>
        <w:spacing w:after="0" w:line="11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$6.6 million and $5.6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$3.0 million and $2.5 million, respectively; and</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$2.6 million and $2.2 million, respectively. Professional fees included $0.4 million and $0, respectively, of acquisition-related costs incurred in connection with the due diligence of potential strategic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$0.6 million, or 12%, to $5.2 million for the six months ended June 30, 2025, compared to $4.6 million for the same period in 2024.</w:t>
      </w:r>
    </w:p>
    <w:p>
      <w:pPr>
        <w:spacing w:after="0" w:line="121" w:lineRule="exact"/>
        <w:rPr>
          <w:sz w:val="20"/>
          <w:szCs w:val="20"/>
          <w:color w:val="auto"/>
        </w:rPr>
      </w:pPr>
    </w:p>
    <w:p>
      <w:pPr>
        <w:ind w:right="1460"/>
        <w:spacing w:after="0" w:line="461" w:lineRule="auto"/>
        <w:rPr>
          <w:sz w:val="20"/>
          <w:szCs w:val="20"/>
          <w:color w:val="auto"/>
        </w:rPr>
      </w:pPr>
      <w:r>
        <w:rPr>
          <w:rFonts w:ascii="Times New Roman" w:cs="Times New Roman" w:eastAsia="Times New Roman" w:hAnsi="Times New Roman"/>
          <w:sz w:val="18"/>
          <w:szCs w:val="18"/>
          <w:color w:val="auto"/>
        </w:rPr>
        <w:t xml:space="preserve">The increase was primarily driven by the amortization of intangible assets that became ready for their intended use after June 30, 2024. </w:t>
      </w:r>
      <w:r>
        <w:rPr>
          <w:rFonts w:ascii="Times New Roman" w:cs="Times New Roman" w:eastAsia="Times New Roman" w:hAnsi="Times New Roman"/>
          <w:sz w:val="18"/>
          <w:szCs w:val="18"/>
          <w:b w:val="1"/>
          <w:bCs w:val="1"/>
          <w:i w:val="1"/>
          <w:iCs w:val="1"/>
          <w:color w:val="auto"/>
        </w:rPr>
        <w:t>Interest income</w:t>
      </w:r>
    </w:p>
    <w:p>
      <w:pPr>
        <w:spacing w:after="0" w:line="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income decreased $0.1 million, or 5%, to $0.6 million for the six months ended June 30, 2025, compared to $0.7 million for the same period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decline was primarily attributable to lower yields on money market fund investments during the current period.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$1.9 million, or 33%, to $7.6 million for the six months ended June 30, 2025, compared to $5.7 million for the same period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$7.2 million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professional fees;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share-based compensation expense;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in depreciation and amortization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$1.5 million for the six months ended June 30, 2025, compared to $1.3 million for the same period in 2024.</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was primarily driven by higher pre-tax income, partially offset by a decrease in the effective tax rate to 19% for the six months ended June 30, 2025 from 23% for the same period in 2024.</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July 4, 2025, the OBBBA was enacted into law, which makes permanent key elements of the Tax Cuts and Jobs Act, including the full expensing of domestic research and experimentation expenditures.</w:t>
      </w:r>
    </w:p>
    <w:p>
      <w:pPr>
        <w:spacing w:after="0" w:line="121" w:lineRule="exact"/>
        <w:rPr>
          <w:sz w:val="20"/>
          <w:szCs w:val="20"/>
          <w:color w:val="auto"/>
        </w:rPr>
      </w:pPr>
    </w:p>
    <w:p>
      <w:pPr>
        <w:ind w:right="2180"/>
        <w:spacing w:after="0" w:line="461" w:lineRule="auto"/>
        <w:rPr>
          <w:sz w:val="20"/>
          <w:szCs w:val="20"/>
          <w:color w:val="auto"/>
        </w:rPr>
      </w:pPr>
      <w:r>
        <w:rPr>
          <w:rFonts w:ascii="Times New Roman" w:cs="Times New Roman" w:eastAsia="Times New Roman" w:hAnsi="Times New Roman"/>
          <w:sz w:val="18"/>
          <w:szCs w:val="18"/>
          <w:color w:val="auto"/>
        </w:rPr>
        <w:t xml:space="preserve">For additional information, refer to Note 6, “Income taxes,” in the “Notes to Condensed Consolidated Financial Statements.” </w:t>
      </w:r>
      <w:r>
        <w:rPr>
          <w:rFonts w:ascii="Times New Roman" w:cs="Times New Roman" w:eastAsia="Times New Roman" w:hAnsi="Times New Roman"/>
          <w:sz w:val="18"/>
          <w:szCs w:val="18"/>
          <w:b w:val="1"/>
          <w:bCs w:val="1"/>
          <w:i w:val="1"/>
          <w:iCs w:val="1"/>
          <w:color w:val="auto"/>
        </w:rPr>
        <w:t>Net income</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income increased $1.7 million, or 39%, to $6.1 million for the six months ended June 30, 2025, compared to $4.4 million for the same period in 2024, as a result of the foregoing.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believe that persistent inflationary pressures throughout 2024 and into the first half of 2025 have contributed to a more challenging macroeconomic environment, increasing recessionary concerns and prompting some businesses to moderate discretionary spending. These conditions have resulted in — and may continue to contribute to — fluctuations in transaction volumes, pricing dynamics, and operating margins across our services.</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elevated interest rates implemented to curb inflation may reduce the demand for credit, which could in turn lead to lower usage of our services by customers in the banking, financial services, and adjacent industries.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net cash provided by operating activities was $12.5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$6.1 million;</w:t>
      </w:r>
    </w:p>
    <w:p>
      <w:pPr>
        <w:spacing w:after="0" w:line="11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$10.3 million, including share-based compensation expense, depreciation and amortization, write-off of long-lived assets,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ind w:left="380" w:right="6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$4.0 million, primarily due to an increase in accounts receivable, and prepaid expenses and other current assets, and a decrease in accounts payable, accrued expenses and other current liabilities, and operating lease liabilities.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was $10.0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$4.4 million;</w:t>
      </w:r>
    </w:p>
    <w:p>
      <w:pPr>
        <w:spacing w:after="0" w:line="11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$9.0 million, including share-based compensation expense, depreciation and amortization,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$3.4 million, primarily due to an increase in accounts receivable, prepaid expenses and other current assets, and other noncurrent assets, and a decrease in accrued expenses and other current liabilities and operating lease liabilities, partially offset by the increase in accounts payable.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net cash used in investing activities was $5.2 million and $4.9 million, respectively, primarily as a result of capitalized costs included in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net cash used in financing activities was $4.9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 special cash dividend totaling $4.2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$0.7 million.</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December 3, 2024, we declared a special cash dividend of $0.30 per share on our common stock to shareholders of record as of January 31, 2025. The dividend, totaling $4.2 million, was paid on February 14,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net cash used in financing activities was $6.3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totaling $5.9 million, conducted pursuant to the Company’s Stock Repurchase Program;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$0.4 million.</w:t>
      </w:r>
    </w:p>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Stock Repurchase Program was originally authorized by the Board of Directors on May 2, 2022, permitting repurchases of up to $5.0 million of the Company’s common stock. On December 19, 2023, and again on March 28, 2024, the Board of Directors approved additional authorizations of $5.0 million each, expanding the total program size.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had material commitments under certain data licensing agreements and a cloud service agreement totaling $44.0 million.</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fund these commitments, as well as our ongoing operating and capital requirements, using available cash on hand and cash flows generated from operations over the next twelve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reported net income of $2.7 million and $2.6 million for the three months ended June 30, 2025 and 2024, respectively, and net income of $6.1 million and $4.4 million for the six months ended June 30, 2025 and 2024, respectively. As of June 30, 2025, we had total shareholders’ equity of $96.2 million and cash and cash equivalents of $38.8 million.</w:t>
      </w:r>
    </w:p>
    <w:p>
      <w:pPr>
        <w:spacing w:after="0" w:line="1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our projected growth in revenue and operating results over the next twelve months, and the available cash on hand, we believe that our existing resources will be sufficient to fund operations and expected capital expenditures for at least the next twelve months.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While we anticipate continuing to fund our business through internally generated cash flows, future capital needs may arise based on the pace of revenue growth, investment in technology, or strategic initiatives. In such cases, we may seek to raise additional capital through the issuance of equity and/or debt securities. However, any such financing, if available, could result in dilution to existing stockholders and may involve terms that are not favorable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did not have any off-balance sheet arrangements, as defined in Item 303 of Regulation S-K.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June 30, 2025.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quarter ended June 30, 2025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11, “Commitments and contingencies,” included in “Notes to Condensed Consolidated Financial Statements” contained in Part I, Item 1 of this Form 10-Q,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Annual Report on Form 10-K for the year ended December 31, 2024 filed with the SEC on February 27,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2, 2022, the Board of Directors of the Company authorized the Stock Repurchase Program to repurchase the Company's common stock from time to time,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common stock during the three months ended June 30, 2025 pursuant to the Stock Repurchase Program. Since the inception of the Stock Repurchase Program and through June 30, 2025, the Company has purchased a total of $10.4 million of common stock at an average price of $19.36 per share. The approximate dollar value of shares that may yet be purchased under the Stock Repurchase Program is $4.6 million.</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Principal Operating Officer</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1, 2025, the Board of Directors appointed the Company’s president, James P. Reilly, as its Principal Operating Officer effective immediately. For biographical and compensatory information relating to Mr. Reilly, please see the Management section of the Company’s proxy statement filed with the SEC on April 28, 2025, and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ended June 30,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Filed</w:t>
            </w: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1"/>
                <w:szCs w:val="11"/>
                <w:color w:val="auto"/>
              </w:rPr>
            </w:pPr>
          </w:p>
        </w:tc>
        <w:tc>
          <w:tcPr>
            <w:tcW w:w="4860" w:type="dxa"/>
            <w:vAlign w:val="bottom"/>
            <w:gridSpan w:val="14"/>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File No.</w:t>
            </w:r>
          </w:p>
        </w:tc>
        <w:tc>
          <w:tcPr>
            <w:tcW w:w="10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Exhibit</w:t>
            </w:r>
          </w:p>
        </w:tc>
        <w:tc>
          <w:tcPr>
            <w:tcW w:w="10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Filing Date</w:t>
            </w: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28"/>
        </w:trPr>
        <w:tc>
          <w:tcPr>
            <w:tcW w:w="8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4760" w:type="dxa"/>
            <w:vAlign w:val="bottom"/>
            <w:tcBorders>
              <w:top w:val="single" w:sz="8" w:color="auto"/>
            </w:tcBorders>
            <w:gridSpan w:val="13"/>
          </w:tcPr>
          <w:p>
            <w:pPr>
              <w:spacing w:after="0" w:line="129"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Amended and Restated Red Violet, Inc. 2018 Stock Incentive Plan</w:t>
              </w:r>
            </w:hyperlink>
            <w:r>
              <w:rPr>
                <w:rFonts w:ascii="Times New Roman" w:cs="Times New Roman" w:eastAsia="Times New Roman" w:hAnsi="Times New Roman"/>
                <w:sz w:val="14"/>
                <w:szCs w:val="14"/>
                <w:color w:val="000000"/>
              </w:rPr>
              <w:t>.</w:t>
            </w:r>
          </w:p>
        </w:tc>
        <w:tc>
          <w:tcPr>
            <w:tcW w:w="10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00" w:type="dxa"/>
            <w:vAlign w:val="bottom"/>
          </w:tcPr>
          <w:p>
            <w:pPr>
              <w:spacing w:after="0"/>
              <w:rPr>
                <w:sz w:val="11"/>
                <w:szCs w:val="11"/>
                <w:color w:val="auto"/>
              </w:rPr>
            </w:pPr>
          </w:p>
        </w:tc>
        <w:tc>
          <w:tcPr>
            <w:tcW w:w="1040" w:type="dxa"/>
            <w:vAlign w:val="bottom"/>
            <w:tcBorders>
              <w:top w:val="single" w:sz="8" w:color="auto"/>
            </w:tcBorders>
          </w:tcPr>
          <w:p>
            <w:pPr>
              <w:jc w:val="right"/>
              <w:ind w:right="333"/>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June 10, 2025</w:t>
            </w: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1"/>
                <w:szCs w:val="11"/>
                <w:color w:val="auto"/>
              </w:rPr>
            </w:pPr>
          </w:p>
        </w:tc>
        <w:tc>
          <w:tcPr>
            <w:tcW w:w="384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Executive Officer filed pursuant to Exchange</w:t>
            </w: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Act Rules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2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r>
              <w:rPr>
                <w:rFonts w:ascii="Times New Roman" w:cs="Times New Roman" w:eastAsia="Times New Roman" w:hAnsi="Times New Roman"/>
                <w:sz w:val="14"/>
                <w:szCs w:val="14"/>
                <w:color w:val="000000"/>
              </w:rPr>
              <w:t>.</w:t>
            </w: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3400" w:type="dxa"/>
            <w:vAlign w:val="bottom"/>
            <w:tcBorders>
              <w:top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w:t>
            </w:r>
          </w:p>
        </w:tc>
        <w:tc>
          <w:tcPr>
            <w:tcW w:w="20" w:type="dxa"/>
            <w:vAlign w:val="bottom"/>
            <w:tcBorders>
              <w:top w:val="single" w:sz="8" w:color="0000EE"/>
            </w:tcBorders>
          </w:tcPr>
          <w:p>
            <w:pPr>
              <w:spacing w:after="0"/>
              <w:rPr>
                <w:sz w:val="11"/>
                <w:szCs w:val="11"/>
                <w:color w:val="auto"/>
              </w:rPr>
            </w:pPr>
          </w:p>
        </w:tc>
        <w:tc>
          <w:tcPr>
            <w:tcW w:w="1440" w:type="dxa"/>
            <w:vAlign w:val="bottom"/>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Exchange Act Rules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tcBorders>
              <w:top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Exchange Act of 1934 as adopted</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1"/>
                <w:szCs w:val="11"/>
                <w:color w:val="auto"/>
              </w:rPr>
            </w:pPr>
          </w:p>
        </w:tc>
        <w:tc>
          <w:tcPr>
            <w:tcW w:w="438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1"/>
                <w:szCs w:val="11"/>
                <w:color w:val="auto"/>
              </w:rPr>
            </w:pPr>
          </w:p>
        </w:tc>
        <w:tc>
          <w:tcPr>
            <w:tcW w:w="462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r>
              <w:rPr>
                <w:rFonts w:ascii="Times New Roman" w:cs="Times New Roman" w:eastAsia="Times New Roman" w:hAnsi="Times New Roman"/>
                <w:sz w:val="14"/>
                <w:szCs w:val="14"/>
                <w:color w:val="000000"/>
              </w:rPr>
              <w:t>.</w:t>
            </w:r>
          </w:p>
        </w:tc>
        <w:tc>
          <w:tcPr>
            <w:tcW w:w="24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6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8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8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100" w:type="dxa"/>
            <w:vAlign w:val="bottom"/>
          </w:tcPr>
          <w:p>
            <w:pPr>
              <w:spacing w:after="0"/>
              <w:rPr>
                <w:sz w:val="10"/>
                <w:szCs w:val="10"/>
                <w:color w:val="auto"/>
              </w:rPr>
            </w:pPr>
          </w:p>
        </w:tc>
        <w:tc>
          <w:tcPr>
            <w:tcW w:w="3940" w:type="dxa"/>
            <w:vAlign w:val="bottom"/>
            <w:tcBorders>
              <w:top w:val="single" w:sz="8" w:color="0000FF"/>
            </w:tcBorders>
            <w:gridSpan w:val="7"/>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 – the instance document does not</w:t>
            </w:r>
          </w:p>
        </w:tc>
        <w:tc>
          <w:tcPr>
            <w:tcW w:w="920" w:type="dxa"/>
            <w:vAlign w:val="bottom"/>
            <w:gridSpan w:val="7"/>
          </w:tcPr>
          <w:p>
            <w:pPr>
              <w:spacing w:after="0" w:line="119" w:lineRule="exact"/>
              <w:rPr>
                <w:sz w:val="20"/>
                <w:szCs w:val="20"/>
                <w:color w:val="auto"/>
              </w:rPr>
            </w:pPr>
            <w:r>
              <w:rPr>
                <w:rFonts w:ascii="Times New Roman" w:cs="Times New Roman" w:eastAsia="Times New Roman" w:hAnsi="Times New Roman"/>
                <w:sz w:val="13"/>
                <w:szCs w:val="13"/>
                <w:color w:val="auto"/>
              </w:rPr>
              <w:t>appear in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2"/>
                <w:szCs w:val="12"/>
                <w:color w:val="auto"/>
              </w:rPr>
            </w:pPr>
          </w:p>
        </w:tc>
        <w:tc>
          <w:tcPr>
            <w:tcW w:w="486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6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2"/>
                <w:szCs w:val="12"/>
                <w:color w:val="auto"/>
              </w:rPr>
            </w:pPr>
          </w:p>
        </w:tc>
        <w:tc>
          <w:tcPr>
            <w:tcW w:w="486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Documents.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96" w:lineRule="exact"/>
        <w:rPr>
          <w:sz w:val="20"/>
          <w:szCs w:val="20"/>
          <w:color w:val="auto"/>
        </w:rPr>
      </w:pPr>
    </w:p>
    <w:p>
      <w:pPr>
        <w:ind w:right="200" w:firstLine="8"/>
        <w:spacing w:after="0" w:line="261" w:lineRule="auto"/>
        <w:tabs>
          <w:tab w:leader="none" w:pos="10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0"/>
        <w:spacing w:after="0"/>
        <w:tabs>
          <w:tab w:leader="none" w:pos="7180" w:val="left"/>
        </w:tabs>
        <w:rPr>
          <w:sz w:val="20"/>
          <w:szCs w:val="20"/>
          <w:color w:val="auto"/>
        </w:rPr>
      </w:pPr>
      <w:r>
        <w:rPr>
          <w:rFonts w:ascii="Times New Roman" w:cs="Times New Roman" w:eastAsia="Times New Roman" w:hAnsi="Times New Roman"/>
          <w:sz w:val="18"/>
          <w:szCs w:val="18"/>
          <w:color w:val="auto"/>
        </w:rPr>
        <w:t>August 6, 2025</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29"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54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August 6, 2025</w:t>
            </w:r>
          </w:p>
        </w:tc>
        <w:tc>
          <w:tcPr>
            <w:tcW w:w="76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6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August 6, 2025</w:t>
            </w:r>
          </w:p>
        </w:tc>
        <w:tc>
          <w:tcPr>
            <w:tcW w:w="76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6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June 30, 2025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August 6, 2025</w:t>
            </w:r>
          </w:p>
        </w:tc>
        <w:tc>
          <w:tcPr>
            <w:tcW w:w="7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3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June 30, 2025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August 6, 2025</w:t>
            </w:r>
          </w:p>
        </w:tc>
        <w:tc>
          <w:tcPr>
            <w:tcW w:w="7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lowerRoman"/>
      <w:start w:val="2"/>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48" Type="http://schemas.openxmlformats.org/officeDocument/2006/relationships/hyperlink" Target="https://www.sec.gov/Archives/edgar/data/1720116/000095017025084377/rdv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2025-08-06T15:58:10Z</dcterms:created>
  <dcterms:modified xsi:type="dcterms:W3CDTF">2025-08-06T15:58:10Z</dcterms:modified>
</cp:coreProperties>
</file>