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8"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72" w:lineRule="exact"/>
        <w:rPr>
          <w:sz w:val="24"/>
          <w:szCs w:val="24"/>
          <w:color w:val="auto"/>
        </w:rPr>
      </w:pPr>
    </w:p>
    <w:p>
      <w:pPr>
        <w:sectPr>
          <w:pgSz w:w="11900" w:h="16838" w:orient="portrait"/>
          <w:cols w:equalWidth="0" w:num="2">
            <w:col w:w="7340" w:space="720"/>
            <w:col w:w="3180"/>
          </w:cols>
          <w:pgMar w:left="320" w:top="1218"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84" w:lineRule="exact"/>
        <w:rPr>
          <w:sz w:val="24"/>
          <w:szCs w:val="24"/>
          <w:color w:val="auto"/>
        </w:rPr>
      </w:pPr>
    </w:p>
    <w:p>
      <w:pPr>
        <w:sectPr>
          <w:pgSz w:w="11900" w:h="16838" w:orient="portrait"/>
          <w:cols w:equalWidth="0" w:num="2">
            <w:col w:w="6680" w:space="720"/>
            <w:col w:w="3840"/>
          </w:cols>
          <w:pgMar w:left="320" w:top="12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225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 2024, the registrant had 13,791,652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1068070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30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2"/>
        </w:trPr>
        <w:tc>
          <w:tcPr>
            <w:tcW w:w="10300" w:type="dxa"/>
            <w:vAlign w:val="bottom"/>
            <w:gridSpan w:val="2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4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2700" w:type="dxa"/>
            <w:vAlign w:val="bottom"/>
            <w:gridSpan w:val="3"/>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84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7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91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for the three and nine months ended September 30, 2024</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and 2023</w:t>
            </w:r>
          </w:p>
        </w:tc>
        <w:tc>
          <w:tcPr>
            <w:tcW w:w="20" w:type="dxa"/>
            <w:vAlign w:val="bottom"/>
            <w:tcBorders>
              <w:bottom w:val="single" w:sz="8" w:color="0000EE"/>
            </w:tcBorders>
          </w:tcPr>
          <w:p>
            <w:pPr>
              <w:spacing w:after="0"/>
              <w:rPr>
                <w:sz w:val="17"/>
                <w:szCs w:val="17"/>
                <w:color w:val="auto"/>
              </w:rPr>
            </w:pPr>
          </w:p>
        </w:tc>
        <w:tc>
          <w:tcPr>
            <w:tcW w:w="852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7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1480" w:type="dxa"/>
            <w:vAlign w:val="bottom"/>
            <w:gridSpan w:val="2"/>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20" w:type="dxa"/>
            <w:vAlign w:val="bottom"/>
            <w:tcBorders>
              <w:bottom w:val="single" w:sz="8" w:color="0000EE"/>
            </w:tcBorders>
          </w:tcPr>
          <w:p>
            <w:pPr>
              <w:spacing w:after="0"/>
              <w:rPr>
                <w:sz w:val="21"/>
                <w:szCs w:val="21"/>
                <w:color w:val="auto"/>
              </w:rPr>
            </w:pPr>
          </w:p>
        </w:tc>
        <w:tc>
          <w:tcPr>
            <w:tcW w:w="5340" w:type="dxa"/>
            <w:vAlign w:val="bottom"/>
            <w:gridSpan w:val="7"/>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21"/>
                <w:szCs w:val="21"/>
                <w:color w:val="auto"/>
              </w:rPr>
            </w:pPr>
          </w:p>
        </w:tc>
        <w:tc>
          <w:tcPr>
            <w:tcW w:w="2780" w:type="dxa"/>
            <w:vAlign w:val="bottom"/>
            <w:gridSpan w:val="4"/>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420" w:type="dxa"/>
            <w:vAlign w:val="bottom"/>
            <w:gridSpan w:val="11"/>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85"/>
        </w:trPr>
        <w:tc>
          <w:tcPr>
            <w:tcW w:w="266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4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20" w:type="dxa"/>
            <w:vAlign w:val="bottom"/>
            <w:tcBorders>
              <w:top w:val="single" w:sz="8" w:color="0000FF"/>
              <w:bottom w:val="single" w:sz="8" w:color="0000EE"/>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7880" w:type="dxa"/>
            <w:vAlign w:val="bottom"/>
            <w:gridSpan w:val="14"/>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4860" w:type="dxa"/>
            <w:vAlign w:val="bottom"/>
            <w:gridSpan w:val="6"/>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840" w:type="dxa"/>
            <w:vAlign w:val="bottom"/>
            <w:gridSpan w:val="9"/>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7440" w:type="dxa"/>
            <w:vAlign w:val="bottom"/>
            <w:gridSpan w:val="12"/>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00" w:type="dxa"/>
            <w:vAlign w:val="bottom"/>
            <w:gridSpan w:val="15"/>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3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77"/>
        </w:trPr>
        <w:tc>
          <w:tcPr>
            <w:tcW w:w="11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$238 and $159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72"/>
        </w:trPr>
        <w:tc>
          <w:tcPr>
            <w:tcW w:w="77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20"/>
                <w:szCs w:val="20"/>
                <w:color w:val="auto"/>
              </w:rPr>
            </w:pPr>
          </w:p>
        </w:tc>
      </w:tr>
      <w:tr>
        <w:trPr>
          <w:trHeight w:val="245"/>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stock—$0.001 par value, 200,000,000 shares authorized, 13,735,387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13,980,274 shares issued, and 13,735,387 and 13,970,846 shares outstanding, as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Treasury stock, at cost, 0 and 9,428 shares as of September 30, 2024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5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(7,873 )</w:t>
            </w:r>
          </w:p>
        </w:tc>
      </w:tr>
      <w:tr>
        <w:trPr>
          <w:trHeight w:val="238"/>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91,674</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-4508500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-3256915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-3239770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-2305050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20"/>
                <w:szCs w:val="20"/>
                <w:color w:val="auto"/>
              </w:rPr>
            </w:pPr>
          </w:p>
        </w:tc>
      </w:tr>
      <w:tr>
        <w:trPr>
          <w:trHeight w:val="24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0"/>
                <w:szCs w:val="20"/>
                <w:color w:val="auto"/>
              </w:rPr>
            </w:pPr>
          </w:p>
        </w:tc>
      </w:tr>
      <w:tr>
        <w:trPr>
          <w:trHeight w:val="239"/>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0"/>
                <w:szCs w:val="20"/>
                <w:color w:val="auto"/>
              </w:rPr>
            </w:pPr>
          </w:p>
        </w:tc>
      </w:tr>
      <w:tr>
        <w:trPr>
          <w:trHeight w:val="241"/>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0"/>
                <w:szCs w:val="20"/>
                <w:color w:val="auto"/>
              </w:rPr>
            </w:pPr>
          </w:p>
        </w:tc>
      </w:tr>
      <w:tr>
        <w:trPr>
          <w:trHeight w:val="24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(10,384 )</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(10,253 )</w:t>
            </w:r>
          </w:p>
        </w:tc>
      </w:tr>
      <w:tr>
        <w:trPr>
          <w:trHeight w:val="238"/>
        </w:trPr>
        <w:tc>
          <w:tcPr>
            <w:tcW w:w="5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top w:val="single" w:sz="8" w:color="CFF0FC"/>
            </w:tcBorders>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2"/>
                <w:szCs w:val="22"/>
                <w:color w:val="auto"/>
              </w:rPr>
            </w:pPr>
          </w:p>
        </w:tc>
      </w:tr>
      <w:tr>
        <w:trPr>
          <w:trHeight w:val="226"/>
        </w:trPr>
        <w:tc>
          <w:tcPr>
            <w:tcW w:w="5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1"/>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13,782,476</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13,952,426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13,852,947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13,970,317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14,311,575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14,329,878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14,224,285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14,207,673</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-1851025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-1851025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-1851025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-1533525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-1533525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-1533525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-1216660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-1216660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-1216660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-539115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-521970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-539115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-521970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-539115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-521970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-205105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-205105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-205105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2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4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13,911,691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95,104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(19,298 )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(7,237 )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(15,019 )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(17,014 )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13,920,370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96,648</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13,744,189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91,672</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(3,452 )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(1,076 )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(13,880 )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(264 )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13,735,387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280" w:type="dxa"/>
            <w:vAlign w:val="bottom"/>
          </w:tcPr>
          <w:p>
            <w:pPr>
              <w:spacing w:after="0"/>
              <w:rPr>
                <w:sz w:val="24"/>
                <w:szCs w:val="24"/>
                <w:color w:val="auto"/>
              </w:rPr>
            </w:pPr>
          </w:p>
        </w:tc>
        <w:tc>
          <w:tcPr>
            <w:tcW w:w="222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224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13,956,404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(21,402 )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(9,870 )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(70,037 )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(1,251 )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(1,251 )</w:t>
            </w: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(71,927 )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(1,280 )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13,920,370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96,648</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13,980,274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(9,428 )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(292,744 )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(5,809 )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(5,809 )</w:t>
            </w: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(325,074 )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(6,428 )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13,735,387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-5408295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-5408295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-5408295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-5408295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-5408295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-5408295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-3865245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-3865245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-3865245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-3865245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-3865245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-3865245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-1885315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-1885315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-1885315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-1885315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-1885315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-1885315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8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(10,308 )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(1,647 )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(470 )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(1,150 )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(1,473 )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(512 )</w:t>
            </w:r>
          </w:p>
        </w:tc>
      </w:tr>
      <w:tr>
        <w:trPr>
          <w:trHeight w:val="237"/>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Borders>
              <w:top w:val="single" w:sz="8" w:color="CFF0FC"/>
            </w:tcBorders>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(7,118 )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(6,921 )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(7,270 )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(7,019 )</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(5,853 )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(6,284 )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0" w:type="dxa"/>
            <w:vAlign w:val="bottom"/>
            <w:tcBorders>
              <w:top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8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assets obtained in exchange of operating lease liabilities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-3011170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-3011170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-2376805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-2376805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-1742440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-1099820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-1082675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4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2024.</w:t>
      </w:r>
    </w:p>
    <w:p>
      <w:pPr>
        <w:spacing w:after="0" w:line="14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information included in this quarterly report on Form 10-Q should be read in conjunction with the consolidated financial statements and accompanying notes included in the Company’s Annual Report on Form 10-K for the year ended December 31, 2023 filed with the SEC on March 7, 2024 (“Form 10-K”).</w:t>
      </w:r>
    </w:p>
    <w:p>
      <w:pPr>
        <w:spacing w:after="0" w:line="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included in the Form 10-K, but does not include all disclosures required by US GAAP.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In November 2023, the Financial Accounting Standard Board (the “FASB”) issued Accounting Standard Updates (“ASU”) No. 2023-07, "</w:t>
      </w:r>
      <w:r>
        <w:rPr>
          <w:rFonts w:ascii="Times New Roman" w:cs="Times New Roman" w:eastAsia="Times New Roman" w:hAnsi="Times New Roman"/>
          <w:sz w:val="18"/>
          <w:szCs w:val="18"/>
          <w:i w:val="1"/>
          <w:iCs w:val="1"/>
          <w:color w:val="231F20"/>
        </w:rPr>
        <w:t>Segment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Reporting (Topic 280): Improvements to Reportable Segment Disclosures ("ASU 2023-07")</w:t>
      </w:r>
      <w:r>
        <w:rPr>
          <w:rFonts w:ascii="Times New Roman" w:cs="Times New Roman" w:eastAsia="Times New Roman" w:hAnsi="Times New Roman"/>
          <w:sz w:val="18"/>
          <w:szCs w:val="18"/>
          <w:color w:val="231F20"/>
        </w:rPr>
        <w:t>," which requires a public entity to disclose significant segment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expenses that are regularly provided to the chief operating decision maker ("CODM"), a description of other segment items by reportable segment, and an explanation of any additional measures the CODM uses in deciding how to allocate resources, and extend nearly all annual segment reporting requirements to quarterly reporting requirements. In addition, entities with a single reportable segment must now provide all segment disclosures required in Accounting Standard Codification ("ASC") 280, including the new disclosures for reportable segments under the amendments in ASU 2023-07. The new guidance is effective for fiscal years beginning after December 15, 2023 and interim periods within fiscal years beginning after December 15, 2024, and early adoption is permitted. The guidance will be applied on a retrospective basis, with such disclosures to be made in regard to all prior periods presented in the financial statements. The Company is currently evaluating the impact of adopting this ASU on its condensed consolidated financial statements and related disclosures.</w:t>
      </w:r>
    </w:p>
    <w:p>
      <w:pPr>
        <w:spacing w:after="0" w:line="11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231F20"/>
        </w:rPr>
        <w:t>In December 2023, the FASB issued ASU No. 2023-09, "</w:t>
      </w:r>
      <w:r>
        <w:rPr>
          <w:rFonts w:ascii="Times New Roman" w:cs="Times New Roman" w:eastAsia="Times New Roman" w:hAnsi="Times New Roman"/>
          <w:sz w:val="18"/>
          <w:szCs w:val="18"/>
          <w:i w:val="1"/>
          <w:iCs w:val="1"/>
          <w:color w:val="231F20"/>
        </w:rPr>
        <w:t>Income Taxes (Topic 740): Improvements to Income Tax Disclosures (ASU 2023-09)</w:t>
      </w:r>
      <w:r>
        <w:rPr>
          <w:rFonts w:ascii="Times New Roman" w:cs="Times New Roman" w:eastAsia="Times New Roman" w:hAnsi="Times New Roman"/>
          <w:sz w:val="18"/>
          <w:szCs w:val="18"/>
          <w:color w:val="231F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its impact on our condensed consolidated financial statements and related disclosures.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13,782,476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13,952,426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13,852,947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13,970,317</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14,311,575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14,329,878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14,224,285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14,207,673</w:t>
            </w:r>
          </w:p>
        </w:tc>
        <w:tc>
          <w:tcPr>
            <w:tcW w:w="100" w:type="dxa"/>
            <w:vAlign w:val="bottom"/>
          </w:tcPr>
          <w:p>
            <w:pPr>
              <w:spacing w:after="0"/>
              <w:rPr>
                <w:sz w:val="21"/>
                <w:szCs w:val="2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8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and 2023, diluted weighted average shares outstanding are calculated by the inclusion of unvested restricted stock units ("RSUs").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3400" w:type="dxa"/>
            <w:vAlign w:val="bottom"/>
          </w:tcPr>
          <w:p>
            <w:pPr>
              <w:spacing w:after="0"/>
              <w:rPr>
                <w:sz w:val="12"/>
                <w:szCs w:val="12"/>
                <w:color w:val="auto"/>
              </w:rPr>
            </w:pPr>
          </w:p>
        </w:tc>
        <w:tc>
          <w:tcPr>
            <w:tcW w:w="13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right"/>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5"/>
                <w:szCs w:val="15"/>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5"/>
                <w:szCs w:val="15"/>
                <w:color w:val="auto"/>
              </w:rPr>
            </w:pPr>
          </w:p>
        </w:tc>
      </w:tr>
      <w:tr>
        <w:trPr>
          <w:trHeight w:val="25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5-10 years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71,712</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(35,981 )  $</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6"/>
              </w:rPr>
              <w:t>35,731</w:t>
            </w:r>
          </w:p>
        </w:tc>
        <w:tc>
          <w:tcPr>
            <w:tcW w:w="1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63,545</w:t>
            </w:r>
          </w:p>
        </w:tc>
        <w:tc>
          <w:tcPr>
            <w:tcW w:w="4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(29,142 )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shd w:val="clear" w:color="auto" w:fill="CFF0FC"/>
          </w:tcPr>
          <w:p>
            <w:pPr>
              <w:spacing w:after="0"/>
              <w:rPr>
                <w:sz w:val="22"/>
                <w:szCs w:val="22"/>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Amortization expenses of $2,382 and $2,112 for the three months ended September 30, 2024 and 2023, respectively, and $6,918 and $5,965 for the nine months ended September 30, 2024 and 2023, respectively, were included in depreciation and amortization expense. As of September 30, 2024, intangible assets of $5,939, included in the gross amounts of software developed for internal use, have not started amortization, as they are not ready for their intended use.</w:t>
      </w:r>
    </w:p>
    <w:p>
      <w:pPr>
        <w:spacing w:after="0" w:line="1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$2,708 and $2,929 during the three months ended September 30, 2024 and 2023, respectively, and $8,328 and $8,310 during the nine months ended September 30, 2024 and 2023, respectively.</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30, 2024, estimated amortization expense related to the Company’s intangible assets for the remainder of 2024 through 2029 and thereafter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FF0FC"/>
          </w:tcPr>
          <w:p>
            <w:pPr>
              <w:spacing w:after="0"/>
              <w:rPr>
                <w:sz w:val="20"/>
                <w:szCs w:val="20"/>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tcPr>
          <w:p>
            <w:pPr>
              <w:spacing w:after="0"/>
              <w:rPr>
                <w:sz w:val="20"/>
                <w:szCs w:val="20"/>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shd w:val="clear" w:color="auto" w:fill="CFF0FC"/>
          </w:tcPr>
          <w:p>
            <w:pPr>
              <w:spacing w:after="0"/>
              <w:rPr>
                <w:sz w:val="21"/>
                <w:szCs w:val="2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20"/>
                <w:szCs w:val="20"/>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shd w:val="clear" w:color="auto" w:fill="CFF0FC"/>
          </w:tcPr>
          <w:p>
            <w:pPr>
              <w:spacing w:after="0"/>
              <w:rPr>
                <w:sz w:val="21"/>
                <w:szCs w:val="2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r>
      <w:tr>
        <w:trPr>
          <w:trHeight w:val="276"/>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September 30, 2024 and December 31, 2023, the balance of goodwill of $5,227 was as a result of the acquisition of Interactive Data, LLC, a wholly-owned subsidiary of red violet, effective on October 2, 2014.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5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did not record a goodwill impairment loss during the three and nine months ended September 30, 2024 and 2023, and there was no accumulated goodwill impairment loss as of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September 30, 2024, the current and noncurrent portion unbilled accounts receivable of $918 and $892, respectively, were included within accounts receivable and other noncurrent assets, respectively, on the condensed consolidated balance sheets. As of December 31, 2023, the current and noncurrent portion unbilled accounts receivable of $829 and $371, respectively, were included within accounts receivable and other noncurrent assets, respectively, on the consolidated balance sheets. The Company's revenue arrangements do not contain significant financing components.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77% and 79% of total revenue was attributable to customers with pricing contracts, respectively, versus 23% and 21% attributable to transactional customers, respectively. For the nine months ended September 30, 2024 and 2023, 76% and 78% of total revenue was attributable to customers with pricing contracts, respectively, versus 24% and 22% attributable to transactional customers, respectively. Pricing contracts are generally annual contracts or longer, with auto renewal.</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September 30, 2024 and December 31, 2023, the balance of deferred revenue was $565 and $690, respectively, all of which is expected to be realized in the next 12 months. In relation to the deferred revenue balance as of December 31, 2023, $147 and $577 was recognized into revenue during the three and nine months ended September 30, 2024, respectively.</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September 30, 2024, $22,098 of revenue is expected to be recognized in the future for performance obligations that are unsatisfied or partially unsatisfied, related to pricing contracts that have a term of more than 12 months, of which, $3,284 of revenue will be recognized in the remainder of 2024, $9,946 in 2025, $5,207 in 2026, $3,252 in 2027, $364 in 2028, and $45 in 2029.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Prior to the third quarter of 2023, primarily due to cumulative pre-tax losses, management determined a full valuation allowance was necessary to reduce the deferred tax assets to the amount that is more likely than not to be realized. During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September 30, 2024 was more likely than not.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40% and (492%) for the three months ended September 30, 2024 and 2023, respectively, and 28% and (236%) for the nine months ended September 30, 2024 and 2023, respectively, differing from the U.S. corporate statutory federal income tax rate of 21%. The difference for the three and nine months ended September 30, 2024 was primarily the effect of state income taxes and certain nondeductible permanent differences, partially offset by the utilization of research and development tax credits. The difference for the three and nine months ended September 30, 2023 was primarily the result of release of the valuation allowance, recognition of research and development tax credit, state income taxes and permanent differences.</w:t>
      </w:r>
    </w:p>
    <w:p>
      <w:pPr>
        <w:spacing w:after="0" w:line="1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September 30,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and treasury stock</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number of issued shares of common stock was 13,735,387 and 13,980,274, respectively, which included shares of treasury stock of 0 and 9,428, respectively. The changes in the number of issued shares of common stock and treasury stock were due to the following factors:</w:t>
      </w:r>
    </w:p>
    <w:p>
      <w:pPr>
        <w:spacing w:after="0" w:line="135" w:lineRule="exact"/>
        <w:rPr>
          <w:sz w:val="20"/>
          <w:szCs w:val="20"/>
          <w:color w:val="auto"/>
        </w:rPr>
      </w:pPr>
    </w:p>
    <w:p>
      <w:pPr>
        <w:ind w:left="380" w:right="32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80,187 shares of common stock were issued as a result of the vesting of RSUs, of which, 22,902 shares of common stock were withheld to pay withholding taxes upon such vesting, which were reflected in treasury stock, with a cost of $431. Related treasury stock of 22,902 shares was then retired during the nine months ended September 30, 2024.</w:t>
      </w:r>
    </w:p>
    <w:p>
      <w:pPr>
        <w:spacing w:after="0" w:line="135" w:lineRule="exact"/>
        <w:rPr>
          <w:rFonts w:ascii="Times New Roman" w:cs="Times New Roman" w:eastAsia="Times New Roman" w:hAnsi="Times New Roman"/>
          <w:sz w:val="18"/>
          <w:szCs w:val="18"/>
          <w:color w:val="auto"/>
        </w:rPr>
      </w:pPr>
    </w:p>
    <w:p>
      <w:pPr>
        <w:ind w:left="380" w:hanging="372"/>
        <w:spacing w:after="0" w:line="25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2022, the board of directors of the Company authorized the repurchase of up to $5.0 million of the Company's common stock from time to time, and subsequently on each of December 19, 2023 and March 28, 2024, the board of directors authorized the repurchase of an additional $5.0 million of the Company's common stock (the "Stock Repurchase Program"). The Stock Repurchase Program does not obligate the Company to repurchase any shares and may be modified, suspended, or terminated at any time and for any reason at the discretion of the board of directors. During the nine months ended September 30, 2024, the Company repurchased 292,744 shares of common stock under the Stock Repurchase Program, which was reflected in treasury stock, with a cost of $5,809. Related treasury stock of 302,172 shares as a result of the repurchases, with a cost of $5,997, was retired during the nine months ended September 30, 2024, resulting in no treasury stock balance as of September 30, 2024. The Company has $4,577 remaining under the Stock Repurchase Program as of September 30,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1,908,864 shares of common stock available for future issuance under the 2018 Plan, as amended.</w:t>
      </w:r>
    </w:p>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To date, all stock incentives issued under the 2018 Plan, as amended, have been in the form of RSUs. RSUs granted under the 2018 Plan, as amended, vest and settle upon the satisfaction of a time-based condition or with both time- and performance-based conditions. The time-based condition for these awards is generally satisfied over three or four years with annual vesting. Details of unvested RSU activity during the nine months ended September 30,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1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1,017,718</w:t>
            </w: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263,985</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(57,285 )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(22,902 )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(175,394 )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1,026,122</w:t>
            </w: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-187960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60" w:hanging="372"/>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Company granted 130,000 RSUs, subject to performance-based requirements, to one non-executive employee at a grant date fair value of $18.30 per share. Such RSU grant shall not vest unless and until the Company has achieved certain revenue for a portion of its business prior to December 31, 2030, the last achievement date deadline. No amortization of share-based compensation expense has been recognized for 95,000 RSUs among the above-mentioned grant, because, as of September 30, 2024, the Company determined that it is not probable that related performance criteria will be met. In addition to the 130,000 RSUs discussed above, the Company granted, during the nine months ended September 30, 2024, an aggregate of 133,985 RSUs to certain employees and directors at grant date fair values ranging from $17.00 to $28.50 per share, with a vesting period ranging from one to four years.</w:t>
      </w:r>
    </w:p>
    <w:p>
      <w:pPr>
        <w:spacing w:after="0" w:line="148"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7, "Common stock and treasury stock," for details.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2024, unrecognized share-based compensation expense associated with the granted RSUs amounted to $12,770, which is expected to be recognized over a remaining weighted average period of 2.7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0"/>
                <w:szCs w:val="20"/>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21"/>
                <w:szCs w:val="21"/>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20"/>
                <w:szCs w:val="20"/>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r>
      <w:tr>
        <w:trPr>
          <w:trHeight w:val="27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shd w:val="clear" w:color="auto" w:fill="CFF0FC"/>
          </w:tcPr>
          <w:p>
            <w:pPr>
              <w:spacing w:after="0"/>
              <w:rPr>
                <w:sz w:val="24"/>
                <w:szCs w:val="24"/>
                <w:color w:val="auto"/>
              </w:rPr>
            </w:pPr>
          </w:p>
        </w:tc>
      </w:tr>
      <w:tr>
        <w:trPr>
          <w:trHeight w:val="628"/>
        </w:trPr>
        <w:tc>
          <w:tcPr>
            <w:tcW w:w="54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w w:val="70"/>
              </w:rPr>
              <w:t>9</w:t>
            </w: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-933450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-916305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its corporate headquarters lease agreement to exercise the extension option for an additional 60 months through June 30, 2029 (the "Amended Lease"), with an option to further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a summary of the Company’s lease information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2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300"/>
          </w:cols>
          <w:pgMar w:left="320" w:top="1197" w:right="2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31" w:lineRule="exact"/>
        <w:rPr>
          <w:sz w:val="20"/>
          <w:szCs w:val="20"/>
          <w:color w:val="auto"/>
        </w:rPr>
      </w:pPr>
    </w:p>
    <w:p>
      <w:pPr>
        <w:ind w:left="120" w:right="500" w:hanging="89"/>
        <w:spacing w:after="0" w:line="217"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r>
      <w:tr>
        <w:trPr>
          <w:trHeight w:val="34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1,919</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1,919</w:t>
            </w:r>
          </w:p>
        </w:tc>
      </w:tr>
      <w:tr>
        <w:trPr>
          <w:trHeight w:val="351"/>
        </w:trPr>
        <w:tc>
          <w:tcPr>
            <w:tcW w:w="5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5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-436245</wp:posOffset>
            </wp:positionV>
            <wp:extent cx="713232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440" w:space="720"/>
            <w:col w:w="6140"/>
          </w:cols>
          <w:pgMar w:left="320" w:top="1197" w:right="279" w:bottom="1440" w:gutter="0" w:footer="0" w:header="0"/>
          <w:type w:val="continuous"/>
        </w:sectPr>
      </w:pPr>
    </w:p>
    <w:p>
      <w:pPr>
        <w:ind w:left="380" w:right="110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Lease resulted in an addition of $1,919 to right-of-use assets and operating lease liabilities, as of September 20, 2023 (the "Remeasurement Date").</w:t>
      </w:r>
    </w:p>
    <w:p>
      <w:pPr>
        <w:spacing w:after="0" w:line="161"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10%, its estimated incremental borrowing rate for similar secured assets, as the discount rate for the Amended Lease to determine the present value of the lease payments because the implicit rate in each lease is not readily determinable. The discount rate was calculated on the basis of information available as of the Remeasurement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weighted average remaining operating lease term was 4.5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scheduled future maturities and present value of the operating lease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73"/>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included in condensed consolidated balance sheet: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the maturities and the present value of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incurred data costs of $2,328 and $2,367 for the three months ended September 30, 2024 and 2023, respectively, and $7,168 and $7,086 for the nine months ended September 30, 2024 and 2023, under certain data licensing agreements. As of September 30, 2024, material capital commitments under certain data licensing agreements were $15,215, shown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20"/>
                <w:szCs w:val="20"/>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20"/>
                <w:szCs w:val="20"/>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shd w:val="clear" w:color="auto" w:fill="CFF0FC"/>
          </w:tcPr>
          <w:p>
            <w:pPr>
              <w:spacing w:after="0"/>
              <w:rPr>
                <w:sz w:val="21"/>
                <w:szCs w:val="2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2023 filed on March 7, 2024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58"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2024 and 2023, IDI had 8,743 and 7,769 billable customers and FOREWARN had 284,967 and 168,356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4" w:name="page15"/>
    <w:bookmarkEnd w:id="14"/>
    <w:p>
      <w:pPr>
        <w:ind w:right="240"/>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2024 and 2023, 77% and 79% of total revenue was attributable to customers with pricing contracts, respectively, versus 23% and 21% attributable to transactional customers, respectively. For the nine months ended September 30, 2024 and 2023, 76% and 78% of total revenue was attributable to customers with pricing contracts, respectively, versus 24% and 22% attributable to transactional customers, respectively.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refer to our Form 10-K. There have been no material changes to Critical Accounting Policies and Estimates disclosed in our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as compared to the three months ended September 30, 2023:</w:t>
      </w:r>
    </w:p>
    <w:p>
      <w:pPr>
        <w:spacing w:after="0" w:line="11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$19.1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28% to $13.4 million. Gross margin increased to 70% from 66%.</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26% to $15.7 million. Adjusted gross margin increased to 83% from 79%.</w:t>
      </w:r>
    </w:p>
    <w:p>
      <w:pPr>
        <w:spacing w:after="0" w:line="117"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$1.7 million compared to $12.5 million (inclusive of a one-time deferred income tax benefit of $10.3 million), which resulted in earnings of $0.12 per basic and diluted share. Net income margin decreased to 9% from 79%.</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25% to $6.7 million. Adjusted EBITDA margin increased to 35% from 34%.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23% to $3.2 million, which resulted in adjusted earnings of $0.23 and $0.22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25% to $7.2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5" w:name="page16"/>
    <w:bookmarkEnd w:id="15"/>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$35.7 million as of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Recent Business Highlights</w:t>
      </w:r>
    </w:p>
    <w:p>
      <w:pPr>
        <w:spacing w:after="0" w:line="12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266 customers to IDI during the third quarter, ending the quarter with 8,743 customers.</w:t>
      </w:r>
    </w:p>
    <w:p>
      <w:pPr>
        <w:spacing w:after="0" w:line="123" w:lineRule="exact"/>
        <w:rPr>
          <w:rFonts w:ascii="Times New Roman" w:cs="Times New Roman" w:eastAsia="Times New Roman" w:hAnsi="Times New Roman"/>
          <w:sz w:val="18"/>
          <w:szCs w:val="18"/>
          <w:color w:val="auto"/>
        </w:rPr>
      </w:pPr>
    </w:p>
    <w:p>
      <w:pPr>
        <w:ind w:left="380" w:right="240" w:hanging="372"/>
        <w:spacing w:after="0" w:line="23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21,091 users to FOREWARN during the third quarter, ending the quarter with 284,967 users. Over 500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36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292,744 shares of the Company’s common stock year to date at an average price of $19.81 per share pursuant to the Company’s $15.0 million Stock Repurchase Program, as amended, that was initially authorized on May 2, 2022. The Company has $4.6 million remaining under the Stock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(10,384 )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4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79 %</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-1765300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-1765300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-1765300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(10,272 )</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(10,272 )</w:t>
            </w: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(518 )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(1,275 )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(1,251 )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(1,275 )</w:t>
            </w:r>
          </w:p>
        </w:tc>
        <w:tc>
          <w:tcPr>
            <w:tcW w:w="0" w:type="dxa"/>
            <w:vAlign w:val="bottom"/>
          </w:tcPr>
          <w:p>
            <w:pPr>
              <w:spacing w:after="0"/>
              <w:rPr>
                <w:sz w:val="1"/>
                <w:szCs w:val="1"/>
                <w:color w:val="auto"/>
              </w:rPr>
            </w:pPr>
          </w:p>
        </w:tc>
      </w:tr>
      <w:tr>
        <w:trPr>
          <w:trHeight w:val="234"/>
        </w:trPr>
        <w:tc>
          <w:tcPr>
            <w:tcW w:w="4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13,782,476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13,952,426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13,852,947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14,311,575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14,329,878</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14,224,285</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14,207,673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-1731010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-1731010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-1731010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-1054100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-1036320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-1054100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-1036320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-1054100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-719455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-702310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-719455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-702310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-719455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-702310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80" w:hanging="372"/>
        <w:spacing w:after="0" w:line="266" w:lineRule="auto"/>
        <w:tabs>
          <w:tab w:leader="none" w:pos="3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2023, $10.3 million of income tax benefit was recognized as a result of the release of the valuation allowance previously recorded on our deferred tax asset and the cumulative research and development tax credit, which were excluded to calculate the adjusted net income.</w:t>
      </w:r>
    </w:p>
    <w:p>
      <w:pPr>
        <w:spacing w:after="0" w:line="175"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26.00% for the three and nine months ended September 30, 2024, and 25.75% for the three and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(3,314 )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(3,313 )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(10,525 )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(2,382 )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(2,112 )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(6,918 )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45,099</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3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83 %</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79 %</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-1019175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-1019175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-1019175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-702310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-702310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-702310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(2,380 )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(2,412 )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(7,118 )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(6,921 )</w:t>
            </w:r>
          </w:p>
        </w:tc>
        <w:tc>
          <w:tcPr>
            <w:tcW w:w="0" w:type="dxa"/>
            <w:vAlign w:val="bottom"/>
          </w:tcPr>
          <w:p>
            <w:pPr>
              <w:spacing w:after="0"/>
              <w:rPr>
                <w:sz w:val="1"/>
                <w:szCs w:val="1"/>
                <w:color w:val="auto"/>
              </w:rPr>
            </w:pPr>
          </w:p>
        </w:tc>
      </w:tr>
      <w:tr>
        <w:trPr>
          <w:trHeight w:val="279"/>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-933450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-916305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7" w:name="page18"/>
    <w:bookmarkEnd w:id="17"/>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to three months ended September 30, 2023</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$3.3 million or 20% to $19.1 million for the three months ended September 30, 2024 from $15.8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2023. Revenue from new customers increased $0.3 million or 19%, base revenue from existing customers increased $2.9 million or 23%, and growth revenue from existing customers increased $0.1 million or 3%. Our IDI billable customer base grew from 7,769 customers as of September 30, 2023 to 8,743 customers as of September 30, 2024, and our FOREWARN user base grew from 168,356 users to 284,967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remained consistent at $3.3 million for the three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and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48% and 47% of our total data acquisition costs for the three months ended September 30, 2024 and 2023, respectively. Other cost of revenue items include expenses related to third-party infrastructure fees and pertinent personnel costs.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17% for the three months ended September 30, 2024 from 21% for the three months ended September 30, 2023.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3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$1.4 million or 43% to $4.8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$3.4 million for the three months ended September 30, 2023. Sales and marketing expenses consist of salaries and benefits, advertising and marketing, travel expenses, and share-based compensation expense, incurred by our sales team, and provision for bad debts. The increase during the three months ended September 30, 2024 was primarily attributable to the increase of $1.3 million in salaries and benefits, and sales commission.</w:t>
      </w:r>
    </w:p>
    <w:p>
      <w:pPr>
        <w:spacing w:after="0" w:line="136"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$0.8 million or 15% to $6.0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from $5.2 million for the three months ended September 30, 2023. For the three months ended September 30, 2024 and 2023, our general and administrative expenses consisted primarily of employee salaries and benefits of $2.9 million and $2.4 million, respectively, share-based compensation expense of $1.5 million and $1.3 million, respectively, and professional fees of $0.9 million and $0.9 million, respectively.</w:t>
      </w:r>
    </w:p>
    <w:p>
      <w:pPr>
        <w:spacing w:after="0" w:line="14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$0.2 million or 12% to $2.4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from $2.2 million for the three months ended September 30, 2023. The increase in depreciation and amortization for the three months ended September 30, 2024 resulted primarily from the amortization of software developed for internal use that became ready for its intended use after September 30, 2023.</w:t>
      </w:r>
    </w:p>
    <w:p>
      <w:pPr>
        <w:spacing w:after="0" w:line="13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 net</w:t>
      </w:r>
      <w:r>
        <w:rPr>
          <w:rFonts w:ascii="Times New Roman" w:cs="Times New Roman" w:eastAsia="Times New Roman" w:hAnsi="Times New Roman"/>
          <w:sz w:val="18"/>
          <w:szCs w:val="18"/>
          <w:color w:val="auto"/>
        </w:rPr>
        <w:t>. Interest income, net increased $0.1 million or 1% to $0.4 million for the three months ended September 30, 2024 from $0.3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September 30, 2023. This was primarily due to interest income earned on investments in certain money market funds.</w:t>
      </w:r>
    </w:p>
    <w:p>
      <w:pPr>
        <w:spacing w:after="0" w:line="1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increased $0.8 million or 35% to $2.9 million for the three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$2.1 million for the three months ended September 30, 2023. The increase was primarily attributable to the increase in revenue, and decrease in our cost of revenue as a percentage of revenue, which was partially offset by the increase in employee salaries and benefits and sales commissions of $1.8 million, share-based compensation expense of $0.3 million, and depreciation and amortization of $0.2 million.</w:t>
      </w:r>
    </w:p>
    <w:p>
      <w:pPr>
        <w:spacing w:after="0" w:line="14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of $1.1 million was recognized for the three months ended September 30, 2024 compared to income tax benefit of $10.4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inclusive of a one-time deferred income tax benefit of $10.3 million as a result of the release of the valuation allowance previously recorded on deferred tax asset and the cumulative research and development tax credit, for the three months ended September 30, 2023. During the three months ended September 30, 2023, the Company released the valuation allowance previously recorded against its deferred tax assets as the Company concluded that the realization of the deferred tax assets as of September 30, 2023 is more likely than not. See Note 6, “Income taxes,” included in “Notes to Condensed Consolidated Financial Statements.”</w:t>
      </w:r>
    </w:p>
    <w:p>
      <w:pPr>
        <w:spacing w:after="0" w:line="14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$1.7 million for the three months ended September 30, 2024 compared to $12.5 million for the three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2023, as a result of the foregoing.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nine months ended September 30, 2023</w:t>
      </w:r>
    </w:p>
    <w:p>
      <w:pPr>
        <w:spacing w:after="0" w:line="1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$10.5 million or 23% to $55.6 million for the nine months ended September 30, 2024 from $45.1 million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2023. Revenue from new customers increased $0.7 million or 15%, base revenue from existing customers increased $7.5 million or 21%, and growth revenue from existing customers increased $2.3 million or 42%. Our IDI billable customer base grew from 7,769 customers as of September 30, 2023 to 8,743 customers as of September 30, 2024, and our FOREWARN user base grew from 168,356 users to 284,967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$0.8 million or 8% to $10.5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from $9.7 million for the nine months ended September 30,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45% and 48% of our total data acquisition costs for the nine months ended September 30, 2024 and 2023, respectively. Other cost of revenue items include expenses related to third-party infrastructure fees and pertinent personnel costs.</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19% for the nine months ended September 30, 2024 from 22% for the nine months ended September 30, 2023.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$2.6 million or 25% to $12.9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$10.3 million for the nine months ended September 30, 2023. Sales and marketing expenses consist of salaries and benefits, advertising and marketing, travel expenses, and share-based compensation expense, incurred by our sales team, and provision for bad debts. The increase during the nine months ended September 30, 2024 was primarily attributable to the increase of $2.8 million in salaries and benefits, and sales commission, which was offset by the decrease of $0.6 million in provision for bad debts.</w:t>
      </w:r>
    </w:p>
    <w:p>
      <w:pPr>
        <w:spacing w:after="0" w:line="13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$2.0 million or 13% to $17.5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from $15.5 million for the nine months ended September 30, 2023. For the nine months ended September 30, 2024 and 2023, our general and administrative expenses consisted primarily of employee salaries and benefits of $8.5 million and $7.7 million, respectively, share-based compensation expense of $4.0 million and $3.7 million, respectively, and professional fees of $3.1 million and $2.3 million, respectively.</w:t>
      </w:r>
    </w:p>
    <w:p>
      <w:pPr>
        <w:spacing w:after="0" w:line="13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$1.0 million or 15% to $7.1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from $6.1 million for the nine months ended September 30, 2023. The increase in depreciation and amortization for the nine months ended September 30, 2024 resulted primarily from the amortization of software developed for internal use that became ready for its intended use after September 30, 2023.</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 net</w:t>
      </w:r>
      <w:r>
        <w:rPr>
          <w:rFonts w:ascii="Times New Roman" w:cs="Times New Roman" w:eastAsia="Times New Roman" w:hAnsi="Times New Roman"/>
          <w:sz w:val="18"/>
          <w:szCs w:val="18"/>
          <w:color w:val="auto"/>
        </w:rPr>
        <w:t>. Interest income, net increased $0.1 million or 9% to $1.0 million for the nine months ended September 30, 2024 from $0.9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2023. This was primarily due to interest income earned on investments in certain money market funds.</w:t>
      </w:r>
    </w:p>
    <w:p>
      <w:pPr>
        <w:spacing w:after="0" w:line="11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increased $4.3 million or 97% to $8.6 million for the nine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$4.3 million for the nine months ended September 30, 2023. The increase was primarily attributable to the increase in revenue, decrease in our cost of revenue as a percentage of revenue, and decrease in provision for bad debts of $0.6 million, which was partially offset by the increase in employee salaries and benefits and sales commissions of $3.6 million, share-based compensation expense of $0.4 million, professional fees of $0.8 million, and depreciation and amortization of $1.0 million.</w:t>
      </w:r>
    </w:p>
    <w:p>
      <w:pPr>
        <w:spacing w:after="0" w:line="1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of $2.4 million was recognized for the nine months ended September 30, 2024 compared to income tax benefit of $10.3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primarily a one-time deferred income tax benefit as a result of the release of the valuation allowance previously recorded on deferred tax asset and the cumulative research and development tax credit, for the nine months ended September 30, 2023. Beginning from the three months ended September 30, 2023, the Company released the valuation allowance previously recorded against its deferred tax assets as the Company concluded that the realization of the deferred tax assets as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September 30, 2023 is more likely than not. See Note 6, “Income taxes,” included in “Notes to Condensed Consolidated Financial Statements.”</w:t>
      </w:r>
    </w:p>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$6.1 million for the nine months ended September 30, 2024 compared to $14.6 million for the nine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2023, as a result of the foregoing.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that the persistent inflationary pressure throughout 2023 and up to September 30, 2024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nine months ended September 30, 2024, net cash provided by operating activities was $17.3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the result of the net income of $6.1 million, adjusted for certain non-cash items (consisting of share-based compensation expense, depreciation and amortization, write-off of long-lived assets, provision for bad debts, noncash lease expenses, and deferred income tax expense (benefit)) totaling $14.4 million, and the cash used as a result of changes in assets and liabilities of $3.3 million, primarily the result of the increase in accounts receivable, prepaid expenses and other current assets, and other noncurrent assets, and the decrease in accrued expenses and other current liabilities, and operating lease liabilities, which was partially offset by the increase in accounts payable. For the nine months ended September 30, 2023, net cash provided by operating activities was $10.9 million, primarily the result of the net income of $14.6 million, adjusted for certain non-cash items, as mentioned above, totaling $(1.3) million, and the cash used as a result of changes in assets and liabilities of $5.0 million, primarily the result of the increase in accounts receivable, and prepaid expenses and other current assets, and the decrease in accounts payable, accrued expenses and other current liabilities, and operating lease liabilities.</w:t>
      </w:r>
    </w:p>
    <w:p>
      <w:pPr>
        <w:spacing w:after="0" w:line="14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nine months ended September 30, 2024 and 2023, net cash used in investing activities was $7.3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 million, respectively, primarily as a result of capitalized costs included in intangible assets.</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For the nine months ended September 30, 2024, net cash used in financing activities was $6.3 million,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taxes paid related to the net share settlement of vesting of RSUs of $0.4 million, and the result of $5.9 million paid in aggregate for the repurchase of common stock pursuant to a stock repurchase program that the board of directors authorized on May 2, 2022 (the "Stock Repurchase Program"), authorizing the repurchase of up to $5.0 million of our common stock. Subsequently on each of December 19, 2023 and March 28, 2024, the board of directors approved the repurchases of an additional $5.0 million of our common stock under the Stock Repurchase Program. For the nine months ended September 30, 2023, net cash used in financing activities was $1.4 million, mainly the result of $1.3 million paid in aggregate for the repurchase of common stock pursuant to the Stock Repurchase Program.</w:t>
      </w:r>
    </w:p>
    <w:p>
      <w:pPr>
        <w:spacing w:after="0" w:line="14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2024, we had material commitments under certain data licensing agreements of $15.2 million. We anticipate funding our operations using available cash and cash flow generated from operations within the next twelve months.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reported net income of $1.7 million and $12.5 million (inclusive of a one-time deferred income tax benefit of $10.3 million as a result of the release of valuation allowance previously recorded against our deferred tax assets and the cumulative research and development tax credit) for the three months ended September 30, 2024 and 2023, respectively, and $6.1 million and $14.6 million (inclusive of a one-time deferred income tax benefit of $10.3 million as a result of the release of valuation allowance previously recorded against our deferred tax assets and the cumulative research and development tax credit) for the nine months ended September 30, 2024 and 2023, respectively. As of September 30, 2024, we had a total shareholders’ equity balance of $91.7 million.</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approximately $35.7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did not have any off-balance sheet arrangements, as defined in Item 303 of Regulation S-K.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2024.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quarter ended September 30, 2024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Accounting Standards Codification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Annual Report on Form 10-K for the year ended December 31, 2023 filed with the SEC on March 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Stock Repurchase Program to repurchase the Company's common stock from time to time,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w:t>
      </w:r>
    </w:p>
    <w:p>
      <w:pPr>
        <w:spacing w:after="0" w:line="13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common stock during the three months ended September 30, 2024 pursuant to the Stock Repurchase Program, and the approximate dollar value of shares that may yet be purchased under the Stock Repurchase Program is $4,576,646.</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58"/>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13"/>
                <w:szCs w:val="13"/>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0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3"/>
                <w:szCs w:val="13"/>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3"/>
                <w:szCs w:val="13"/>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3"/>
                <w:szCs w:val="13"/>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2"/>
                <w:szCs w:val="12"/>
                <w:color w:val="auto"/>
              </w:rPr>
            </w:pPr>
          </w:p>
        </w:tc>
        <w:tc>
          <w:tcPr>
            <w:tcW w:w="4720" w:type="dxa"/>
            <w:vAlign w:val="bottom"/>
            <w:tcBorders>
              <w:top w:val="single" w:sz="8" w:color="auto"/>
            </w:tcBorders>
            <w:gridSpan w:val="11"/>
          </w:tcPr>
          <w:p>
            <w:pPr>
              <w:spacing w:after="0" w:line="142"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2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1"/>
                <w:szCs w:val="11"/>
                <w:color w:val="auto"/>
              </w:rPr>
            </w:pPr>
          </w:p>
        </w:tc>
        <w:tc>
          <w:tcPr>
            <w:tcW w:w="438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r>
              <w:rPr>
                <w:rFonts w:ascii="Times New Roman" w:cs="Times New Roman" w:eastAsia="Times New Roman" w:hAnsi="Times New Roman"/>
                <w:sz w:val="14"/>
                <w:szCs w:val="14"/>
                <w:color w:val="000000"/>
              </w:rPr>
              <w:t>.</w:t>
            </w: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12"/>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8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Pr>
          <w:p>
            <w:pPr>
              <w:spacing w:after="0"/>
              <w:rPr>
                <w:sz w:val="11"/>
                <w:szCs w:val="11"/>
                <w:color w:val="auto"/>
              </w:rPr>
            </w:pPr>
          </w:p>
        </w:tc>
        <w:tc>
          <w:tcPr>
            <w:tcW w:w="438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12"/>
          </w:tcPr>
          <w:p>
            <w:pPr>
              <w:spacing w:after="0" w:line="155"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11"/>
                <w:szCs w:val="11"/>
                <w:color w:val="auto"/>
              </w:rPr>
            </w:pPr>
          </w:p>
        </w:tc>
        <w:tc>
          <w:tcPr>
            <w:tcW w:w="462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r>
              <w:rPr>
                <w:rFonts w:ascii="Times New Roman" w:cs="Times New Roman" w:eastAsia="Times New Roman" w:hAnsi="Times New Roman"/>
                <w:sz w:val="14"/>
                <w:szCs w:val="14"/>
                <w:color w:val="000000"/>
              </w:rPr>
              <w:t>.</w:t>
            </w: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12"/>
          </w:tcPr>
          <w:p>
            <w:pPr>
              <w:spacing w:after="0" w:line="155" w:lineRule="exact"/>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140" w:type="dxa"/>
            <w:vAlign w:val="bottom"/>
          </w:tcPr>
          <w:p>
            <w:pPr>
              <w:spacing w:after="0"/>
              <w:rPr>
                <w:sz w:val="11"/>
                <w:szCs w:val="11"/>
                <w:color w:val="auto"/>
              </w:rPr>
            </w:pPr>
          </w:p>
        </w:tc>
        <w:tc>
          <w:tcPr>
            <w:tcW w:w="394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20" w:type="dxa"/>
            <w:vAlign w:val="bottom"/>
            <w:tcBorders>
              <w:top w:val="single" w:sz="8" w:color="0000FF"/>
            </w:tcBorders>
            <w:gridSpan w:val="4"/>
          </w:tcPr>
          <w:p>
            <w:pPr>
              <w:spacing w:after="0"/>
              <w:rPr>
                <w:sz w:val="11"/>
                <w:szCs w:val="11"/>
                <w:color w:val="auto"/>
              </w:rPr>
            </w:pPr>
          </w:p>
        </w:tc>
        <w:tc>
          <w:tcPr>
            <w:tcW w:w="26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4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4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140" w:type="dxa"/>
            <w:vAlign w:val="bottom"/>
          </w:tcPr>
          <w:p>
            <w:pPr>
              <w:spacing w:after="0"/>
              <w:rPr>
                <w:sz w:val="12"/>
                <w:szCs w:val="12"/>
                <w:color w:val="auto"/>
              </w:rPr>
            </w:pPr>
          </w:p>
        </w:tc>
        <w:tc>
          <w:tcPr>
            <w:tcW w:w="484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Documents.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6"/>
                <w:szCs w:val="16"/>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200" w:firstLine="8"/>
        <w:spacing w:after="0" w:line="261" w:lineRule="auto"/>
        <w:tabs>
          <w:tab w:leader="none" w:pos="1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80"/>
        <w:spacing w:after="0"/>
        <w:tabs>
          <w:tab w:leader="none" w:pos="724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83" w:lineRule="exact"/>
        <w:rPr>
          <w:sz w:val="20"/>
          <w:szCs w:val="20"/>
          <w:color w:val="auto"/>
        </w:rPr>
      </w:pPr>
    </w:p>
    <w:p>
      <w:pPr>
        <w:ind w:left="67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54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3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80" w:val="left"/>
          <w:tab w:leader="none" w:pos="654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80" w:val="left"/>
          <w:tab w:leader="none" w:pos="654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September 30, 2024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September 30, 2024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2024-11-06T16:29:40Z</dcterms:created>
  <dcterms:modified xsi:type="dcterms:W3CDTF">2024-11-06T16:29:40Z</dcterms:modified>
</cp:coreProperties>
</file>