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66"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Times New Roman" w:cs="Times New Roman" w:eastAsia="Times New Roman" w:hAnsi="Times New Roman"/>
          <w:sz w:val="18"/>
          <w:szCs w:val="18"/>
          <w:b w:val="1"/>
          <w:bCs w:val="1"/>
          <w:color w:val="auto"/>
        </w:rPr>
        <w:t>For the quarterly period ended March 31, 2022</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69" w:lineRule="exact"/>
        <w:rPr>
          <w:sz w:val="24"/>
          <w:szCs w:val="24"/>
          <w:color w:val="auto"/>
        </w:rPr>
      </w:pPr>
    </w:p>
    <w:p>
      <w:pPr>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1510030</wp:posOffset>
            </wp:positionH>
            <wp:positionV relativeFrom="paragraph">
              <wp:posOffset>-6350</wp:posOffset>
            </wp:positionV>
            <wp:extent cx="542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RED VIOLET,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p>
      <w:pPr>
        <w:spacing w:after="0" w:line="309"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82-2408531</w:t>
      </w:r>
    </w:p>
    <w:p>
      <w:pPr>
        <w:spacing w:after="0" w:line="59" w:lineRule="exact"/>
        <w:rPr>
          <w:sz w:val="24"/>
          <w:szCs w:val="24"/>
          <w:color w:val="auto"/>
        </w:rPr>
      </w:pPr>
    </w:p>
    <w:p>
      <w:pPr>
        <w:sectPr>
          <w:pgSz w:w="11900" w:h="16838" w:orient="portrait"/>
          <w:cols w:equalWidth="0" w:num="2">
            <w:col w:w="7340" w:space="720"/>
            <w:col w:w="3180"/>
          </w:cols>
          <w:pgMar w:left="320" w:top="570"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71" w:lineRule="exact"/>
        <w:rPr>
          <w:sz w:val="24"/>
          <w:szCs w:val="24"/>
          <w:color w:val="auto"/>
        </w:rPr>
      </w:pPr>
    </w:p>
    <w:p>
      <w:pPr>
        <w:sectPr>
          <w:pgSz w:w="11900" w:h="16838" w:orient="portrait"/>
          <w:cols w:equalWidth="0" w:num="2">
            <w:col w:w="6680" w:space="720"/>
            <w:col w:w="3840"/>
          </w:cols>
          <w:pgMar w:left="320" w:top="57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Florida 33431</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757-4000</w:t>
      </w: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64770</wp:posOffset>
            </wp:positionV>
            <wp:extent cx="2254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95"/>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76" w:lineRule="exact"/>
        <w:rPr>
          <w:sz w:val="24"/>
          <w:szCs w:val="24"/>
          <w:color w:val="auto"/>
        </w:rPr>
      </w:pPr>
    </w:p>
    <w:p>
      <w:pPr>
        <w:ind w:right="300"/>
        <w:spacing w:after="0" w:line="231"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 w:lineRule="exact"/>
        <w:rPr>
          <w:sz w:val="24"/>
          <w:szCs w:val="24"/>
          <w:color w:val="auto"/>
        </w:rPr>
      </w:pPr>
    </w:p>
    <w:p>
      <w:pPr>
        <w:spacing w:after="0" w:line="207" w:lineRule="exact"/>
        <w:tabs>
          <w:tab w:leader="none" w:pos="260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77" w:lineRule="exact"/>
        <w:rPr>
          <w:sz w:val="24"/>
          <w:szCs w:val="24"/>
          <w:color w:val="auto"/>
        </w:rPr>
      </w:pPr>
    </w:p>
    <w:p>
      <w:pPr>
        <w:ind w:right="1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7" w:lineRule="exact"/>
        <w:rPr>
          <w:sz w:val="24"/>
          <w:szCs w:val="24"/>
          <w:color w:val="auto"/>
        </w:rPr>
      </w:pPr>
    </w:p>
    <w:p>
      <w:pPr>
        <w:ind w:right="320"/>
        <w:spacing w:after="0" w:line="23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tbl>
      <w:tblPr>
        <w:tblLayout w:type="fixed"/>
        <w:tblInd w:w="40" w:type="dxa"/>
        <w:tblCellMar>
          <w:top w:w="0" w:type="dxa"/>
          <w:left w:w="0" w:type="dxa"/>
          <w:bottom w:w="0" w:type="dxa"/>
          <w:right w:w="0" w:type="dxa"/>
        </w:tblCellMar>
      </w:tblP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160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2, 2022, the registrant had 13,523,067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 FOR FORM 10-Q</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0460" w:type="dxa"/>
            <w:vAlign w:val="bottom"/>
            <w:gridSpan w:val="20"/>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8"/>
        </w:trPr>
        <w:tc>
          <w:tcPr>
            <w:tcW w:w="10460" w:type="dxa"/>
            <w:vAlign w:val="bottom"/>
            <w:gridSpan w:val="20"/>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6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2022 and December 31, 2021</w:t>
            </w:r>
          </w:p>
        </w:tc>
        <w:tc>
          <w:tcPr>
            <w:tcW w:w="316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74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2022 and 2021</w:t>
            </w:r>
          </w:p>
        </w:tc>
        <w:tc>
          <w:tcPr>
            <w:tcW w:w="190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months ended March 31,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7440" w:type="dxa"/>
            <w:vAlign w:val="bottom"/>
            <w:tcBorders>
              <w:top w:val="single" w:sz="8" w:color="0000FF"/>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2022 and 2021</w:t>
            </w:r>
          </w:p>
        </w:tc>
        <w:tc>
          <w:tcPr>
            <w:tcW w:w="1440" w:type="dxa"/>
            <w:vAlign w:val="bottom"/>
            <w:tcBorders>
              <w:top w:val="single" w:sz="8" w:color="0000FF"/>
            </w:tcBorders>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20" w:type="dxa"/>
            <w:vAlign w:val="bottom"/>
            <w:tcBorders>
              <w:bottom w:val="single" w:sz="8" w:color="0000EE"/>
            </w:tcBorders>
          </w:tcPr>
          <w:p>
            <w:pPr>
              <w:spacing w:after="0"/>
              <w:rPr>
                <w:sz w:val="19"/>
                <w:szCs w:val="19"/>
                <w:color w:val="auto"/>
              </w:rPr>
            </w:pPr>
          </w:p>
        </w:tc>
        <w:tc>
          <w:tcPr>
            <w:tcW w:w="550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19"/>
                <w:szCs w:val="19"/>
                <w:color w:val="auto"/>
              </w:rPr>
            </w:pPr>
          </w:p>
        </w:tc>
        <w:tc>
          <w:tcPr>
            <w:tcW w:w="294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58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58"/>
        </w:trPr>
        <w:tc>
          <w:tcPr>
            <w:tcW w:w="26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80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804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02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000" w:type="dxa"/>
            <w:vAlign w:val="bottom"/>
            <w:gridSpan w:val="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Mine Safety Disclosures</w:t>
            </w:r>
          </w:p>
        </w:tc>
        <w:tc>
          <w:tcPr>
            <w:tcW w:w="760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6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78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189"/>
        </w:trPr>
        <w:tc>
          <w:tcPr>
            <w:tcW w:w="112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40" w:type="dxa"/>
            <w:vAlign w:val="bottom"/>
            <w:tcBorders>
              <w:bottom w:val="single" w:sz="8" w:color="CFF0FC"/>
            </w:tcBorders>
            <w:gridSpan w:val="2"/>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140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44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80" w:type="dxa"/>
            <w:vAlign w:val="bottom"/>
            <w:shd w:val="clear" w:color="auto" w:fill="CFF0FC"/>
          </w:tcPr>
          <w:p>
            <w:pPr>
              <w:spacing w:after="0"/>
              <w:rPr>
                <w:sz w:val="18"/>
                <w:szCs w:val="18"/>
                <w:color w:val="auto"/>
              </w:rPr>
            </w:pPr>
          </w:p>
        </w:tc>
      </w:tr>
      <w:tr>
        <w:trPr>
          <w:trHeight w:val="171"/>
        </w:trPr>
        <w:tc>
          <w:tcPr>
            <w:tcW w:w="7700" w:type="dxa"/>
            <w:vAlign w:val="bottom"/>
            <w:gridSpan w:val="4"/>
          </w:tcPr>
          <w:p>
            <w:pPr>
              <w:ind w:left="20"/>
              <w:spacing w:after="0" w:line="170"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$22 and $28 as of</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7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31, 2022 and December 31, 2021, 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80" w:type="dxa"/>
            <w:vAlign w:val="bottom"/>
          </w:tcPr>
          <w:p>
            <w:pPr>
              <w:spacing w:after="0"/>
              <w:rPr>
                <w:sz w:val="20"/>
                <w:szCs w:val="20"/>
                <w:color w:val="auto"/>
              </w:rPr>
            </w:pPr>
          </w:p>
        </w:tc>
      </w:tr>
      <w:tr>
        <w:trPr>
          <w:trHeight w:val="216"/>
        </w:trPr>
        <w:tc>
          <w:tcPr>
            <w:tcW w:w="77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38,593</w:t>
            </w:r>
          </w:p>
        </w:tc>
        <w:tc>
          <w:tcPr>
            <w:tcW w:w="8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28,181</w:t>
            </w:r>
          </w:p>
        </w:tc>
        <w:tc>
          <w:tcPr>
            <w:tcW w:w="8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Pr>
          <w:p>
            <w:pPr>
              <w:spacing w:after="0"/>
              <w:rPr>
                <w:sz w:val="18"/>
                <w:szCs w:val="18"/>
                <w:color w:val="auto"/>
              </w:rPr>
            </w:pPr>
          </w:p>
        </w:tc>
      </w:tr>
      <w:tr>
        <w:trPr>
          <w:trHeight w:val="216"/>
        </w:trPr>
        <w:tc>
          <w:tcPr>
            <w:tcW w:w="77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76,739</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7"/>
        </w:trPr>
        <w:tc>
          <w:tcPr>
            <w:tcW w:w="20" w:type="dxa"/>
            <w:vAlign w:val="bottom"/>
            <w:tcBorders>
              <w:bottom w:val="single" w:sz="8" w:color="CFF0FC"/>
            </w:tcBorders>
            <w:shd w:val="clear" w:color="auto" w:fill="CFF0FC"/>
          </w:tcPr>
          <w:p>
            <w:pPr>
              <w:spacing w:after="0"/>
              <w:rPr>
                <w:sz w:val="15"/>
                <w:szCs w:val="15"/>
                <w:color w:val="auto"/>
              </w:rPr>
            </w:pPr>
          </w:p>
        </w:tc>
        <w:tc>
          <w:tcPr>
            <w:tcW w:w="3940" w:type="dxa"/>
            <w:vAlign w:val="bottom"/>
            <w:tcBorders>
              <w:bottom w:val="single" w:sz="8" w:color="auto"/>
            </w:tcBorders>
            <w:gridSpan w:val="2"/>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37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4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Pr>
          <w:p>
            <w:pPr>
              <w:spacing w:after="0"/>
              <w:rPr>
                <w:sz w:val="18"/>
                <w:szCs w:val="18"/>
                <w:color w:val="auto"/>
              </w:rPr>
            </w:pPr>
          </w:p>
        </w:tc>
      </w:tr>
      <w:tr>
        <w:trPr>
          <w:trHeight w:val="210"/>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tcPr>
          <w:p>
            <w:pPr>
              <w:spacing w:after="0"/>
              <w:rPr>
                <w:sz w:val="18"/>
                <w:szCs w:val="18"/>
                <w:color w:val="auto"/>
              </w:rPr>
            </w:pPr>
          </w:p>
        </w:tc>
      </w:tr>
      <w:tr>
        <w:trPr>
          <w:trHeight w:val="216"/>
        </w:trPr>
        <w:tc>
          <w:tcPr>
            <w:tcW w:w="77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8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71"/>
        </w:trPr>
        <w:tc>
          <w:tcPr>
            <w:tcW w:w="7700" w:type="dxa"/>
            <w:vAlign w:val="bottom"/>
            <w:gridSpan w:val="4"/>
          </w:tcPr>
          <w:p>
            <w:pPr>
              <w:ind w:left="20"/>
              <w:spacing w:after="0" w:line="170"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7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March 31, 2022 and December 31, 2021</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71"/>
        </w:trPr>
        <w:tc>
          <w:tcPr>
            <w:tcW w:w="7700" w:type="dxa"/>
            <w:vAlign w:val="bottom"/>
            <w:gridSpan w:val="4"/>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Common stock—$0.001 par value, 200,000,000 shares authorized, 13,523,067 and</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4"/>
        </w:trPr>
        <w:tc>
          <w:tcPr>
            <w:tcW w:w="20" w:type="dxa"/>
            <w:vAlign w:val="bottom"/>
            <w:shd w:val="clear" w:color="auto" w:fill="CFF0FC"/>
          </w:tcPr>
          <w:p>
            <w:pPr>
              <w:spacing w:after="0"/>
              <w:rPr>
                <w:sz w:val="20"/>
                <w:szCs w:val="20"/>
                <w:color w:val="auto"/>
              </w:rPr>
            </w:pPr>
          </w:p>
        </w:tc>
        <w:tc>
          <w:tcPr>
            <w:tcW w:w="76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13,488,540 shares issued and outstanding, as of March 31, 2022 and December 31, 2021</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0"/>
                <w:szCs w:val="20"/>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91,434</w:t>
            </w:r>
          </w:p>
        </w:tc>
        <w:tc>
          <w:tcPr>
            <w:tcW w:w="8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(21,911 )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(22,018 )</w:t>
            </w:r>
          </w:p>
        </w:tc>
      </w:tr>
      <w:tr>
        <w:trPr>
          <w:trHeight w:val="210"/>
        </w:trPr>
        <w:tc>
          <w:tcPr>
            <w:tcW w:w="770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71,218</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69,429</w:t>
            </w:r>
          </w:p>
        </w:tc>
        <w:tc>
          <w:tcPr>
            <w:tcW w:w="80" w:type="dxa"/>
            <w:vAlign w:val="bottom"/>
            <w:tcBorders>
              <w:top w:val="single" w:sz="8" w:color="CFF0FC"/>
            </w:tcBorders>
          </w:tcPr>
          <w:p>
            <w:pPr>
              <w:spacing w:after="0"/>
              <w:rPr>
                <w:sz w:val="18"/>
                <w:szCs w:val="18"/>
                <w:color w:val="auto"/>
              </w:rPr>
            </w:pPr>
          </w:p>
        </w:tc>
      </w:tr>
      <w:tr>
        <w:trPr>
          <w:trHeight w:val="250"/>
        </w:trPr>
        <w:tc>
          <w:tcPr>
            <w:tcW w:w="77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-3634105</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-3634105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-2802255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-2802255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-1388110</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-1388110</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-316865</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51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8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20" w:type="dxa"/>
            <w:vAlign w:val="bottom"/>
            <w:gridSpan w:val="5"/>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5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8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8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8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8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18"/>
                <w:szCs w:val="18"/>
                <w:color w:val="auto"/>
              </w:rPr>
            </w:pPr>
          </w:p>
        </w:tc>
      </w:tr>
      <w:tr>
        <w:trPr>
          <w:trHeight w:val="210"/>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(573 )</w:t>
            </w: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75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(578 )</w:t>
            </w:r>
          </w:p>
        </w:tc>
      </w:tr>
      <w:tr>
        <w:trPr>
          <w:trHeight w:val="21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(578 )</w:t>
            </w:r>
          </w:p>
        </w:tc>
      </w:tr>
      <w:tr>
        <w:trPr>
          <w:trHeight w:val="20"/>
        </w:trPr>
        <w:tc>
          <w:tcPr>
            <w:tcW w:w="7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0"/>
        </w:trPr>
        <w:tc>
          <w:tcPr>
            <w:tcW w:w="7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5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7"/>
        </w:trPr>
        <w:tc>
          <w:tcPr>
            <w:tcW w:w="7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13,543,607</w:t>
            </w:r>
          </w:p>
        </w:tc>
        <w:tc>
          <w:tcPr>
            <w:tcW w:w="2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12,207,193</w:t>
            </w:r>
          </w:p>
        </w:tc>
        <w:tc>
          <w:tcPr>
            <w:tcW w:w="80" w:type="dxa"/>
            <w:vAlign w:val="bottom"/>
            <w:tcBorders>
              <w:bottom w:val="single" w:sz="8" w:color="CFF0FC"/>
            </w:tcBorders>
            <w:shd w:val="clear" w:color="auto" w:fill="CFF0FC"/>
          </w:tcPr>
          <w:p>
            <w:pPr>
              <w:spacing w:after="0"/>
              <w:rPr>
                <w:sz w:val="22"/>
                <w:szCs w:val="22"/>
                <w:color w:val="auto"/>
              </w:rPr>
            </w:pPr>
          </w:p>
        </w:tc>
      </w:tr>
      <w:tr>
        <w:trPr>
          <w:trHeight w:val="197"/>
        </w:trPr>
        <w:tc>
          <w:tcPr>
            <w:tcW w:w="7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14,047,635</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12,207,193</w:t>
            </w:r>
          </w:p>
        </w:tc>
        <w:tc>
          <w:tcPr>
            <w:tcW w:w="8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-1662430</wp:posOffset>
            </wp:positionV>
            <wp:extent cx="43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-1662430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-1379220</wp:posOffset>
            </wp:positionV>
            <wp:extent cx="431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-1379220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-1096645</wp:posOffset>
            </wp:positionV>
            <wp:extent cx="43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-1096645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-487680</wp:posOffset>
            </wp:positionV>
            <wp:extent cx="43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-471170</wp:posOffset>
            </wp:positionV>
            <wp:extent cx="431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-487680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-471170</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-187960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8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2260" w:type="dxa"/>
            <w:vAlign w:val="bottom"/>
            <w:gridSpan w:val="4"/>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860" w:type="dxa"/>
            <w:vAlign w:val="bottom"/>
            <w:gridSpan w:val="3"/>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260" w:type="dxa"/>
            <w:vAlign w:val="bottom"/>
            <w:tcBorders>
              <w:bottom w:val="single" w:sz="8" w:color="auto"/>
            </w:tcBorders>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12,167,327</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66,005</w:t>
            </w: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(578 )</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0" w:type="dxa"/>
            <w:vAlign w:val="bottom"/>
          </w:tcPr>
          <w:p>
            <w:pPr>
              <w:spacing w:after="0"/>
              <w:rPr>
                <w:sz w:val="1"/>
                <w:szCs w:val="1"/>
                <w:color w:val="auto"/>
              </w:rPr>
            </w:pPr>
          </w:p>
        </w:tc>
      </w:tr>
      <w:tr>
        <w:trPr>
          <w:trHeight w:val="249"/>
        </w:trPr>
        <w:tc>
          <w:tcPr>
            <w:tcW w:w="3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12,208,077</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68,402</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13,488,540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91,434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(22,018 )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from shares withheld to cover</w:t>
            </w: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(223 )</w:t>
            </w:r>
          </w:p>
        </w:tc>
        <w:tc>
          <w:tcPr>
            <w:tcW w:w="7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13,523,067</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93,115</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(21,911</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-1396365</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-1379220</wp:posOffset>
            </wp:positionV>
            <wp:extent cx="59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-1396365</wp:posOffset>
            </wp:positionV>
            <wp:extent cx="43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-1379220</wp:posOffset>
            </wp:positionV>
            <wp:extent cx="431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-1396365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-1379220</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-1396365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-1379220</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-1396365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-1379220</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-1396365</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-1379220</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-1396365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-1379220</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-24765</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43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8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(862 )</w:t>
            </w: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(482 )</w:t>
            </w: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(128 )</w:t>
            </w: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(148 )</w:t>
            </w: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(113 )</w:t>
            </w: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104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(1,794 )</w:t>
            </w: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(1,247 )</w:t>
            </w: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(6 )</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(6 )</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40" w:type="dxa"/>
            <w:vAlign w:val="bottom"/>
            <w:tcBorders>
              <w:top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8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40" w:type="dxa"/>
            <w:vAlign w:val="bottom"/>
            <w:tcBorders>
              <w:bottom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34,775</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6"/>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INFORMATION</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FF0FC"/>
          </w:tcPr>
          <w:p>
            <w:pPr>
              <w:spacing w:after="0"/>
              <w:rPr>
                <w:sz w:val="18"/>
                <w:szCs w:val="18"/>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-2145665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-2145665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-1579880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-1579880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-1296670</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-1296670</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-722630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-705485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-722630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-705485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8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w:t>
      </w:r>
    </w:p>
    <w:p>
      <w:pPr>
        <w:spacing w:after="0" w:line="17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spacing w:after="0" w:line="15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2022.</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2021 (“Form 10-K”).</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included herein was derived from the audited financial statements as of that date included in the Form 10-K, but does not include all disclosures required by US GAAP.</w:t>
      </w:r>
    </w:p>
    <w:p>
      <w:pPr>
        <w:spacing w:after="0" w:line="106" w:lineRule="exact"/>
        <w:rPr>
          <w:sz w:val="20"/>
          <w:szCs w:val="20"/>
          <w:color w:val="auto"/>
        </w:rPr>
      </w:pPr>
    </w:p>
    <w:p>
      <w:pPr>
        <w:ind w:right="1600"/>
        <w:spacing w:after="0" w:line="455" w:lineRule="auto"/>
        <w:rPr>
          <w:sz w:val="20"/>
          <w:szCs w:val="20"/>
          <w:color w:val="auto"/>
        </w:rPr>
      </w:pPr>
      <w:r>
        <w:rPr>
          <w:rFonts w:ascii="Times New Roman" w:cs="Times New Roman" w:eastAsia="Times New Roman" w:hAnsi="Times New Roman"/>
          <w:sz w:val="18"/>
          <w:szCs w:val="18"/>
          <w:color w:val="auto"/>
        </w:rPr>
        <w:t>The Company has only one operating segment, as defined by Accounting Standards Codification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Principles of consolidation</w:t>
      </w: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Recently issued accounting standards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an emerging growth company, the Company has left open the opportunity to take advantage of the extended transition period provided to emerging</w:t>
      </w:r>
    </w:p>
    <w:p>
      <w:pPr>
        <w:spacing w:after="0" w:line="27"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231F20"/>
        </w:rPr>
        <w:t>growth companies in Section 13(a) of the Securities Exchange Act of 1934, as amended (the “Exchange Act”), however, it is the Company’s present intention to adopt any applicable new accounting standards timely.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(loss) per share</w:t>
      </w:r>
    </w:p>
    <w:p>
      <w:pPr>
        <w:spacing w:after="0" w:line="14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 average number of shares of common stock outstanding during the periods. Diluted earnings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20" w:type="dxa"/>
            <w:vAlign w:val="bottom"/>
            <w:gridSpan w:val="5"/>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(578 )</w:t>
            </w: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13,543,607</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12,207,193</w:t>
            </w:r>
          </w:p>
        </w:tc>
        <w:tc>
          <w:tcPr>
            <w:tcW w:w="8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14,047,635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12,207,193</w:t>
            </w:r>
          </w:p>
        </w:tc>
        <w:tc>
          <w:tcPr>
            <w:tcW w:w="8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0"/>
        </w:trPr>
        <w:tc>
          <w:tcPr>
            <w:tcW w:w="7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5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right="40" w:hanging="512"/>
        <w:spacing w:after="0" w:line="25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2022, diluted weighted average shares outstanding are calculated by the inclusion of unvested restricted stock units (“RSUs”). For the three months ended March 31, 2021, a total of 1,686,499 unvested RSUs have been excluded from the diluted loss per share, as the impact is anti-dilutive.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3. 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4"/>
          </w:tcPr>
          <w:p>
            <w:pPr>
              <w:jc w:val="center"/>
              <w:ind w:right="39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105"/>
              <w:spacing w:after="0" w:line="115"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1380" w:type="dxa"/>
            <w:vAlign w:val="bottom"/>
            <w:gridSpan w:val="4"/>
          </w:tcPr>
          <w:p>
            <w:pPr>
              <w:jc w:val="center"/>
              <w:ind w:right="33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134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7"/>
              </w:rPr>
              <w:t>5-10 years</w:t>
            </w: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45,077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28,804</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28,181</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Amortization expenses of $1,472 and $1,203 for the three months ended March 31, 2022 and 2021, respectively, were included in depreciation and amortization expense. As of March 31, 2022, intangible assets of $3,780, included in the gross amounts of software developed for internal use, have not started amortization, as they are not ready for their intended use.</w:t>
      </w:r>
    </w:p>
    <w:p>
      <w:pPr>
        <w:spacing w:after="0" w:line="1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capitalized costs of software developed for internal use of $2,095 and $1,598 during the three months ended March 31, 2022 and 2021, respectively.</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2022, estimated amortization expense related to the Company’s intangible assets for the remainder of 2022 through 2027 and thereafter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7"/>
                <w:szCs w:val="17"/>
                <w:color w:val="auto"/>
              </w:rPr>
            </w:pPr>
          </w:p>
        </w:tc>
      </w:tr>
      <w:tr>
        <w:trPr>
          <w:trHeight w:val="210"/>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shd w:val="clear" w:color="auto" w:fill="CFF0FC"/>
          </w:tcPr>
          <w:p>
            <w:pPr>
              <w:spacing w:after="0"/>
              <w:rPr>
                <w:sz w:val="18"/>
                <w:szCs w:val="18"/>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tcPr>
          <w:p>
            <w:pPr>
              <w:spacing w:after="0"/>
              <w:rPr>
                <w:sz w:val="18"/>
                <w:szCs w:val="18"/>
                <w:color w:val="auto"/>
              </w:rPr>
            </w:pPr>
          </w:p>
        </w:tc>
      </w:tr>
      <w:tr>
        <w:trPr>
          <w:trHeight w:val="216"/>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shd w:val="clear" w:color="auto" w:fill="CFF0FC"/>
          </w:tcPr>
          <w:p>
            <w:pPr>
              <w:spacing w:after="0"/>
              <w:rPr>
                <w:sz w:val="18"/>
                <w:szCs w:val="18"/>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Pr>
          <w:p>
            <w:pPr>
              <w:spacing w:after="0"/>
              <w:rPr>
                <w:sz w:val="18"/>
                <w:szCs w:val="18"/>
                <w:color w:val="auto"/>
              </w:rPr>
            </w:pPr>
          </w:p>
        </w:tc>
      </w:tr>
      <w:tr>
        <w:trPr>
          <w:trHeight w:val="216"/>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shd w:val="clear" w:color="auto" w:fill="CFF0FC"/>
          </w:tcPr>
          <w:p>
            <w:pPr>
              <w:spacing w:after="0"/>
              <w:rPr>
                <w:sz w:val="18"/>
                <w:szCs w:val="18"/>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8"/>
                <w:szCs w:val="18"/>
                <w:color w:val="auto"/>
              </w:rPr>
            </w:pPr>
          </w:p>
        </w:tc>
      </w:tr>
      <w:tr>
        <w:trPr>
          <w:trHeight w:val="250"/>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8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the net assets acquired in a business combination. As of March 31, 2022 and December 31, 2021, the balance of goodwill of $5,227 was as a result of the acquisition of Interactive Data, LLC, a wholly-owned subsidiary of red violet, effective on October 2, 2014.</w:t>
      </w:r>
    </w:p>
    <w:p>
      <w:pPr>
        <w:spacing w:after="0" w:line="1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periods ended March 31, 2022 and 2021, no goodwill impairment charges were recorded.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recognition</w:t>
      </w:r>
    </w:p>
    <w:p>
      <w:pPr>
        <w:spacing w:after="0" w:line="18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 xml:space="preserve">The Company recognized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5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 w:name="page9"/>
    <w:bookmarkEnd w:id="8"/>
    <w:p>
      <w:pPr>
        <w:spacing w:after="0" w:line="250" w:lineRule="auto"/>
        <w:rPr>
          <w:sz w:val="20"/>
          <w:szCs w:val="20"/>
          <w:color w:val="auto"/>
        </w:rPr>
      </w:pPr>
      <w:r>
        <w:rPr>
          <w:rFonts w:ascii="Times New Roman" w:cs="Times New Roman" w:eastAsia="Times New Roman" w:hAnsi="Times New Roman"/>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37" w:lineRule="exact"/>
        <w:rPr>
          <w:sz w:val="20"/>
          <w:szCs w:val="20"/>
          <w:color w:val="auto"/>
        </w:rPr>
      </w:pPr>
    </w:p>
    <w:p>
      <w:pPr>
        <w:jc w:val="both"/>
        <w:ind w:right="320"/>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2022 and 2021, 77% and 80% of total revenue was attributable to customers with pricing contracts, respectively, versus 23% and 20% attributable to transactional customers, respectively. Pricing contracts are generally annual contracts or longer, with auto renewal.</w:t>
      </w:r>
    </w:p>
    <w:p>
      <w:pPr>
        <w:spacing w:after="0" w:line="8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If a customer pays consideration before the Company transfers services to the customer, those amounts are classified as deferred revenue. As of March 31, 2022 and December 31, 2021, the balance of deferred revenue was $713 and $841, respectively, all of which is expected to be realized in the next 12 months. In relation to the deferred revenue balance as of December 31, 2021, $323 was recognized into revenue during the three months ended March 31, 2022.</w:t>
      </w:r>
    </w:p>
    <w:p>
      <w:pPr>
        <w:spacing w:after="0" w:line="15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As of March 31, 2022, $9,962 of revenue is expected to be recognized in the future for performance obligations that are unsatisfied or partially unsatisfied, related to pricing contracts that have a term of more than 12 months, of which, $4,925 of revenue will be recognized in the remainder of 2022, $4,232 in 2023, $797 in 2024, and $8 in 2025.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54"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3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8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For the three months ended March 31, 2022, the Company concluded that it was in a cumulative loss with a full valuation allowance booked against that loss.</w:t>
      </w:r>
    </w:p>
    <w:p>
      <w:pPr>
        <w:spacing w:after="0" w:line="14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Company’s effective income tax rate was 62% and 0%, respectively, differing from the U.S. corporate statutory federal income tax rate of 21%, and the difference is primarily the result of the valuation allowance applied to reduce the Company’s deferred tax assets to the amount that is more likely than not to be realized.</w:t>
      </w:r>
    </w:p>
    <w:p>
      <w:pPr>
        <w:spacing w:after="0" w:line="14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 and new authoritative rulings. All of the Company’s income tax filings since 2018 remain open for tax examinations.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material unrecognized tax benefits as of March 31, 2022 and December 31, 2021.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75"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On March 22, 2018, the board of directors of the Company and Cogint, Inc. (“cogint”) (now known as Fluent, Inc.), in its capacity as sole stockholder of the Company prior to the Company’s spin-off from cogint on March 26, 2018,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 On April 11, 2022, the board of directors of the Company approved, subject to stockholder approval, an amendment to the 2018 Plan to further increase the number of shares of common stock authorized for issuance under the 2018 Plan from 4,500,000 shares to 6,500,000 shares.</w:t>
      </w:r>
    </w:p>
    <w:p>
      <w:pPr>
        <w:spacing w:after="0" w:line="154" w:lineRule="exact"/>
        <w:rPr>
          <w:sz w:val="20"/>
          <w:szCs w:val="20"/>
          <w:color w:val="auto"/>
        </w:rPr>
      </w:pPr>
    </w:p>
    <w:p>
      <w:pPr>
        <w:jc w:val="both"/>
        <w:ind w:right="400"/>
        <w:spacing w:after="0" w:line="250" w:lineRule="auto"/>
        <w:rPr>
          <w:sz w:val="20"/>
          <w:szCs w:val="20"/>
          <w:color w:val="auto"/>
        </w:rPr>
      </w:pPr>
      <w:r>
        <w:rPr>
          <w:rFonts w:ascii="Times New Roman" w:cs="Times New Roman" w:eastAsia="Times New Roman" w:hAnsi="Times New Roman"/>
          <w:sz w:val="18"/>
          <w:szCs w:val="18"/>
          <w:color w:val="auto"/>
        </w:rPr>
        <w:t>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there were 719,187 shares of common stock available for future issuance under the 2018 Plan, as amended.</w:t>
      </w:r>
    </w:p>
    <w:p>
      <w:pPr>
        <w:spacing w:after="0" w:line="185"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 activity during the three months ended March 31, 2022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0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60" w:type="dxa"/>
            <w:vAlign w:val="bottom"/>
          </w:tcPr>
          <w:p>
            <w:pPr>
              <w:spacing w:after="0"/>
              <w:rPr>
                <w:sz w:val="13"/>
                <w:szCs w:val="13"/>
                <w:color w:val="auto"/>
              </w:rPr>
            </w:pPr>
          </w:p>
        </w:tc>
        <w:tc>
          <w:tcPr>
            <w:tcW w:w="15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40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1,306,953</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(34,527 )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 as treasury stock</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Vested not delivered</w:t>
            </w:r>
            <w:r>
              <w:rPr>
                <w:rFonts w:ascii="Times New Roman" w:cs="Times New Roman" w:eastAsia="Times New Roman" w:hAnsi="Times New Roman"/>
                <w:sz w:val="24"/>
                <w:szCs w:val="24"/>
                <w:color w:val="auto"/>
                <w:vertAlign w:val="superscript"/>
              </w:rPr>
              <w:t>(2)</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(282,585 )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(16,225 )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Unvested as of March 31, 2022</w:t>
            </w:r>
            <w:r>
              <w:rPr>
                <w:rFonts w:ascii="Times New Roman" w:cs="Times New Roman" w:eastAsia="Times New Roman" w:hAnsi="Times New Roman"/>
                <w:sz w:val="24"/>
                <w:szCs w:val="24"/>
                <w:color w:val="auto"/>
                <w:vertAlign w:val="superscript"/>
              </w:rPr>
              <w:t>(3)</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1,075,893</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left="380" w:right="28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2022, the Company granted an aggregate of 102,500 RSUs to certain employees at grant date fair values ranging from $24.42 to $28.75 per share, with a vesting period ranging from two to four years.</w:t>
      </w:r>
    </w:p>
    <w:p>
      <w:pPr>
        <w:spacing w:after="0" w:line="10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included in "Vested not delivered" above represents RSUs that have been vested but the delivery of the common stock underlying such</w:t>
      </w:r>
    </w:p>
    <w:p>
      <w:pPr>
        <w:spacing w:after="0" w:line="27" w:lineRule="exact"/>
        <w:rPr>
          <w:sz w:val="20"/>
          <w:szCs w:val="20"/>
          <w:color w:val="auto"/>
        </w:rPr>
      </w:pPr>
    </w:p>
    <w:p>
      <w:pPr>
        <w:ind w:left="380" w:right="80"/>
        <w:spacing w:after="0" w:line="249" w:lineRule="auto"/>
        <w:rPr>
          <w:sz w:val="20"/>
          <w:szCs w:val="20"/>
          <w:color w:val="auto"/>
        </w:rPr>
      </w:pPr>
      <w:r>
        <w:rPr>
          <w:rFonts w:ascii="Times New Roman" w:cs="Times New Roman" w:eastAsia="Times New Roman" w:hAnsi="Times New Roman"/>
          <w:sz w:val="17"/>
          <w:szCs w:val="17"/>
          <w:color w:val="auto"/>
        </w:rPr>
        <w:t>RSUs had not occurred as of March 31, 2022. During the period from August 29, 2019 to November 20, 2020, the Company granted an aggregate of 455,000 RSUs. Such RSU grants shall not vest unless and until the Company has, for any fiscal quarter in which the RSUs are outstanding, (i) gross revenue determined in accordance with the Company’s reviewed or audited financial statements in excess of $12.5 million for such fiscal quarter, and</w:t>
      </w:r>
    </w:p>
    <w:p>
      <w:pPr>
        <w:spacing w:after="0" w:line="1" w:lineRule="exact"/>
        <w:rPr>
          <w:sz w:val="20"/>
          <w:szCs w:val="20"/>
          <w:color w:val="auto"/>
        </w:rPr>
      </w:pPr>
    </w:p>
    <w:p>
      <w:pPr>
        <w:ind w:left="380" w:right="120"/>
        <w:spacing w:after="0" w:line="242" w:lineRule="auto"/>
        <w:rPr>
          <w:sz w:val="20"/>
          <w:szCs w:val="20"/>
          <w:color w:val="auto"/>
        </w:rPr>
      </w:pPr>
      <w:r>
        <w:rPr>
          <w:rFonts w:ascii="Times New Roman" w:cs="Times New Roman" w:eastAsia="Times New Roman" w:hAnsi="Times New Roman"/>
          <w:sz w:val="18"/>
          <w:szCs w:val="18"/>
          <w:color w:val="auto"/>
        </w:rPr>
        <w:t>(ii) positive adjusted EBITDA of at least $2.0 million, as determined based on amounts derived from the Company’s reviewed or audited financial statements for such fiscal quarter, subject to the recipient continuing to provide services to the Company either as an employee, director or consultant on the last day of the quarter that the performance criteria are met. Provided the respective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performance criteria have not been met. As of the respective grant dates, the Company determined that it was probable that such performance criteria would be met and therefore, began to record the related amortization expense on the grant dates. The Company determined that the performance criteria were met as of March 31, 2022. As a result, 283,335 RSUs were included in "Vested not delivered" above.</w:t>
      </w:r>
    </w:p>
    <w:p>
      <w:pPr>
        <w:spacing w:after="0" w:line="146" w:lineRule="exact"/>
        <w:rPr>
          <w:sz w:val="20"/>
          <w:szCs w:val="20"/>
          <w:color w:val="auto"/>
        </w:rPr>
      </w:pPr>
    </w:p>
    <w:p>
      <w:pPr>
        <w:ind w:left="380" w:right="140" w:hanging="372"/>
        <w:spacing w:after="0" w:line="247"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the Company granted 120,000 RSUs, subject to performance-based requirements, to one non-executive employee, which was subsequently modified on February 18, 2022, with a fair value of $27.23 per share as of the modification date. Such RSU grants shall not vest unless and until the Company has achieved certain revenue for a portion of its business prior to the achievement date deadline for each performance milestone. No amortization of share-based compensation expense has been recognized for these RSUs, because, as of March 31, 2022, the Company determined that it is not probable that such performance criteria will be met. The 120,000 RSUs were included in "Unvested as of March 31, 2022" with a fair value of $27.23 per share.</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March 31, 2022, unrecognized share-based compensation expense associated with the granted RSUs amounted to $17,904, which is expected to be recognized over a remaining weighted average period of 3.0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 w:name="page11"/>
    <w:bookmarkEnd w:id="10"/>
    <w:p>
      <w:pPr>
        <w:ind w:right="240"/>
        <w:spacing w:after="0" w:line="266" w:lineRule="auto"/>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condensed consolidated financial statements for the three months ended March 31,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r>
      <w:tr>
        <w:trPr>
          <w:trHeight w:val="169"/>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60" w:type="dxa"/>
            <w:vAlign w:val="bottom"/>
          </w:tcPr>
          <w:p>
            <w:pPr>
              <w:spacing w:after="0"/>
              <w:rPr>
                <w:sz w:val="18"/>
                <w:szCs w:val="18"/>
                <w:color w:val="auto"/>
              </w:rPr>
            </w:pPr>
          </w:p>
        </w:tc>
      </w:tr>
      <w:tr>
        <w:trPr>
          <w:trHeight w:val="210"/>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6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18"/>
                <w:szCs w:val="18"/>
                <w:color w:val="auto"/>
              </w:rPr>
            </w:pPr>
          </w:p>
        </w:tc>
      </w:tr>
      <w:tr>
        <w:trPr>
          <w:trHeight w:val="249"/>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43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17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On August 7, 2018, the Company entered into a services agreement (the “Services Agreement”) with Mr. Michael Brauser (the “Consultant”), a greater than 10% stockholder, pursuant to which, the Consultant received cash compensation of $30 per month and was entitled to participate in the Company’s incentive compensation plan. The Services Agreement terminated on August 6, 2021, as further detailed below.</w:t>
      </w:r>
    </w:p>
    <w:p>
      <w:pPr>
        <w:spacing w:after="0" w:line="12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On February 16, 2021, the Company entered into a Separation Agreement (the "Separation Agreement") with the Consultant. Pursuant to the Separation Agreement, the parties agreed that the Services Agreement which expired on August 6, 2021 (“Expiration Date”), would not be renewed, but would continue in force and effect until the Expiration Date. As part of the Separation Agreement, the Consultant agreed (i) to certain non-solicitation obligations contained therein, (ii) that he and his affiliates would not disparage or assist or cooperate with any person or entity seeking to publicly disparage or economically harm the Company, (iii) that the Consultant and his affiliates would not initiate any lawsuit, claim, or proceeding with respect to any claims against the Company, except (with designated exceptions) for any legal proceeding initiated solely to remedy a breach of or to enforce the Separation Agreement, and (iv) with respect to each annual or special meeting of the Company's stockholders until the Expiration Date of the Separation Agreement, the Consultant agreed to vote the shares of the Company's common stock or any other securities entitled to vote then held by him or his affiliates in accordance with the board of directors' recommendations on director proposals (subject to certain board of directors change thresholds), and the ratification of the appointment of the Company’s independent registered public accounting firm.</w:t>
      </w:r>
    </w:p>
    <w:p>
      <w:pPr>
        <w:spacing w:after="0" w:line="15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agreed (i) that the remaining unvested 166,666 RSUs previously granted to Consultant in accordance with the 2018 RSU agreement would continue to vest on July 1, 2021, in accordance with and subject to all other provisions and conditions of such grant, (ii) to amend the 2020 RSU agreement, previously granting Consultant 30,000 RSUs such that the 30,000 RSUs would continue to vest 33-1/3% on November 1, 2021, 66-2/3% on November 1, 2022, and 100% on November 1, 2023, without certain Company performance criteria, subject to all other provisions and conditions of such grant, (iii) to include shares of the Company's common stock held by the Consultant or his affiliates in any registration statement the Company files for the benefit of selling stockholders at any time when the Consultant or his affiliates beneficially own 10% or more of the Company's common stock, and (iv) to not initiate any lawsuit, claim, or proceeding with respect to any claims against the Consultant and his affiliates, except (with designated exceptions) for any legal proceeding initiated solely to remedy a breach of or to enforce the Separation Agreement. As a result of the modification to the 2020 RSU agreement, beginning February 16, 2021, the Company recognized an aggregate of $723 in share-based compensation expense over the remaining service period which ended on the Expiration Date.</w:t>
      </w:r>
    </w:p>
    <w:p>
      <w:pPr>
        <w:spacing w:after="0" w:line="14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recognized consulting service fees relating to the Services Agreement of a total of $0 and $90 during the three months ended March 31, 2022 and 2021, respectively. In addition, amortization of share-based compensation expense of $0 and $548 (inclusive of the amortization of share-based compensation expense in relation with the modification of RSUs mentioned above) for the three months ended December 31, 2022 and 2021, respectively, was recognized in relation to the RSUs previously granted to the Consultant.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non-cancelable 89-month operating lease agreement as amended and effective in January 2017, with an option to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For the three months ended March 31, 2022 and 2021, a summary of the Company’s lease information is shown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2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 weighted average remaining operating lease term was 2.6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scheduled future maturities and present value of the operating lease liabilities are as follows:</w:t>
      </w:r>
    </w:p>
    <w:p>
      <w:pPr>
        <w:sectPr>
          <w:pgSz w:w="11900" w:h="16838" w:orient="portrait"/>
          <w:cols w:equalWidth="0" w:num="1">
            <w:col w:w="11240"/>
          </w:cols>
          <w:pgMar w:left="320" w:top="513" w:right="339" w:bottom="1440" w:gutter="0" w:footer="0" w:header="0"/>
        </w:sect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Remainder of 2022</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Present value included in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wp:posOffset>
            </wp:positionV>
            <wp:extent cx="10718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9" w:lineRule="exact"/>
        <w:rPr>
          <w:sz w:val="20"/>
          <w:szCs w:val="20"/>
          <w:color w:val="auto"/>
        </w:rPr>
      </w:pPr>
    </w:p>
    <w:p>
      <w:pPr>
        <w:ind w:left="1382" w:hanging="1382"/>
        <w:spacing w:after="0"/>
        <w:tabs>
          <w:tab w:leader="none" w:pos="13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559</w:t>
      </w:r>
    </w:p>
    <w:p>
      <w:pPr>
        <w:spacing w:after="0" w:line="19" w:lineRule="exact"/>
        <w:rPr>
          <w:rFonts w:ascii="Times New Roman" w:cs="Times New Roman" w:eastAsia="Times New Roman" w:hAnsi="Times New Roman"/>
          <w:sz w:val="18"/>
          <w:szCs w:val="18"/>
          <w:color w:val="auto"/>
        </w:rPr>
      </w:pPr>
    </w:p>
    <w:p>
      <w:pPr>
        <w:ind w:left="1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765</w:t>
      </w:r>
    </w:p>
    <w:p>
      <w:pPr>
        <w:spacing w:after="0" w:line="9" w:lineRule="exact"/>
        <w:rPr>
          <w:rFonts w:ascii="Times New Roman" w:cs="Times New Roman" w:eastAsia="Times New Roman" w:hAnsi="Times New Roman"/>
          <w:sz w:val="18"/>
          <w:szCs w:val="18"/>
          <w:color w:val="auto"/>
        </w:rPr>
      </w:pPr>
    </w:p>
    <w:p>
      <w:pPr>
        <w:ind w:left="1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542</w:t>
      </w:r>
    </w:p>
    <w:p>
      <w:pPr>
        <w:spacing w:after="0" w:line="9" w:lineRule="exact"/>
        <w:rPr>
          <w:rFonts w:ascii="Times New Roman" w:cs="Times New Roman" w:eastAsia="Times New Roman" w:hAnsi="Times New Roman"/>
          <w:sz w:val="18"/>
          <w:szCs w:val="18"/>
          <w:color w:val="auto"/>
        </w:rPr>
      </w:pPr>
    </w:p>
    <w:p>
      <w:pPr>
        <w:ind w:left="14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10718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ind w:left="1262" w:hanging="1262"/>
        <w:spacing w:after="0"/>
        <w:tabs>
          <w:tab w:leader="none" w:pos="126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1,943</w:t>
      </w:r>
    </w:p>
    <w:p>
      <w:pPr>
        <w:spacing w:after="0" w:line="272" w:lineRule="exact"/>
        <w:rPr>
          <w:sz w:val="20"/>
          <w:szCs w:val="20"/>
          <w:color w:val="auto"/>
        </w:rPr>
      </w:pPr>
    </w:p>
    <w:p>
      <w:pPr>
        <w:ind w:left="1382" w:hanging="1382"/>
        <w:spacing w:after="0"/>
        <w:tabs>
          <w:tab w:leader="none" w:pos="13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636</w:t>
      </w:r>
    </w:p>
    <w:p>
      <w:pPr>
        <w:spacing w:after="0" w:line="27" w:lineRule="exact"/>
        <w:rPr>
          <w:rFonts w:ascii="Times New Roman" w:cs="Times New Roman" w:eastAsia="Times New Roman" w:hAnsi="Times New Roman"/>
          <w:sz w:val="18"/>
          <w:szCs w:val="18"/>
          <w:color w:val="auto"/>
        </w:rPr>
      </w:pPr>
    </w:p>
    <w:p>
      <w:pPr>
        <w:ind w:left="12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1,124</w:t>
      </w:r>
    </w:p>
    <w:p>
      <w:pPr>
        <w:spacing w:after="0" w:line="20" w:lineRule="exact"/>
        <w:rPr>
          <w:sz w:val="20"/>
          <w:szCs w:val="20"/>
          <w:color w:val="auto"/>
        </w:rPr>
      </w:pPr>
    </w:p>
    <w:p>
      <w:pPr>
        <w:sectPr>
          <w:pgSz w:w="11900" w:h="16838" w:orient="portrait"/>
          <w:cols w:equalWidth="0" w:num="2">
            <w:col w:w="8778" w:space="720"/>
            <w:col w:w="1742"/>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9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97"/>
        </w:trPr>
        <w:tc>
          <w:tcPr>
            <w:tcW w:w="9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Difference between the maturities and the present value of operating lease liabilities</w:t>
            </w:r>
          </w:p>
        </w:tc>
        <w:tc>
          <w:tcPr>
            <w:tcW w:w="700" w:type="dxa"/>
            <w:vAlign w:val="bottom"/>
            <w:tcBorders>
              <w:bottom w:val="single" w:sz="8" w:color="auto"/>
            </w:tcBorders>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17"/>
                <w:szCs w:val="17"/>
                <w:color w:val="auto"/>
              </w:rPr>
            </w:pP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-187960</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incurred data costs of $2,248 and $2,122 for the three months ended March 31, 2022 and 2021, respectively, under certain data licensing agreements. As of March 31, 2022, material capital commitments under certain data licensing agreements were $31,634, shown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0" w:type="dxa"/>
            <w:vAlign w:val="bottom"/>
          </w:tcPr>
          <w:p>
            <w:pPr>
              <w:spacing w:after="0"/>
              <w:rPr>
                <w:sz w:val="16"/>
                <w:szCs w:val="16"/>
                <w:color w:val="auto"/>
              </w:rPr>
            </w:pPr>
          </w:p>
        </w:tc>
      </w:tr>
      <w:tr>
        <w:trPr>
          <w:trHeight w:val="210"/>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6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60" w:type="dxa"/>
            <w:vAlign w:val="bottom"/>
          </w:tcPr>
          <w:p>
            <w:pPr>
              <w:spacing w:after="0"/>
              <w:rPr>
                <w:sz w:val="18"/>
                <w:szCs w:val="18"/>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6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60" w:type="dxa"/>
            <w:vAlign w:val="bottom"/>
          </w:tcPr>
          <w:p>
            <w:pPr>
              <w:spacing w:after="0"/>
              <w:rPr>
                <w:sz w:val="18"/>
                <w:szCs w:val="18"/>
                <w:color w:val="auto"/>
              </w:rPr>
            </w:pPr>
          </w:p>
        </w:tc>
      </w:tr>
      <w:tr>
        <w:trPr>
          <w:trHeight w:val="216"/>
        </w:trPr>
        <w:tc>
          <w:tcPr>
            <w:tcW w:w="9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31,634</w:t>
            </w:r>
          </w:p>
        </w:tc>
        <w:tc>
          <w:tcPr>
            <w:tcW w:w="60" w:type="dxa"/>
            <w:vAlign w:val="bottom"/>
          </w:tcPr>
          <w:p>
            <w:pPr>
              <w:spacing w:after="0"/>
              <w:rPr>
                <w:sz w:val="18"/>
                <w:szCs w:val="18"/>
                <w:color w:val="auto"/>
              </w:rPr>
            </w:pP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17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37"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 Covid-19 update</w:t>
      </w:r>
    </w:p>
    <w:p>
      <w:pPr>
        <w:spacing w:after="0" w:line="17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During 2020, the Company experienced significantly reduced commercial activity in numerous aspects of its business as a result of the preventative and protective actions taken by federal, state and local governments to combat Covid-19, including the implementation of stay-at-home orders, social distancing policies and certain temporary government-imposed moratoria on collection customers’ activities. During 2021 and the first quarter of 2022, the Company saw ongoing improvement in its results of operations, with the exception of the Company's idiVERIFIED service, which is an ancillary collections market offering that is purely transactional and of a lower margin profile. The Company expects its idiVERIFIED service volume to return to pre-Covid levels in the first half of 2023. Given the ongoing uncertainty and the unpredictable nature of the pandemic, including the emergence of new variants and the development, availability, distribution and effectiveness of vaccines, the full impact of the Covid-19 pandemic on the Company's ongoing business, results of operations and overall financial performance cannot be reasonably estimated at this time.</w:t>
      </w:r>
    </w:p>
    <w:p>
      <w:pPr>
        <w:spacing w:after="0" w:line="15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To further support the Company’s liquidity, beginning April 1, 2020, the Company elected, under Section 2302 of the Coronavirus Aid, Relief, and Economic Security Act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The Company paid 50% of the deferred amount in December 2021. On May 5, 2020, the Company received funding under a promissory note dated May 5, 2020 evidencing an unsecured non-recourse loan under the CARES Act, which was fully forgiven by Legacy Bank of Florida and the U.S. Small Business Administration in June 2021, resulting in a gain on extinguishment of debt of $2,175 during the year ended December 31, 2021. The Company will continue to assess the CARES Act and other applicable government legislation aimed at assisting businesses during the Covid-19 pandemic.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the impact of the coronavirus (“Covid-19”) pandemic on our operating results. These factors include those contained in this Quarterly Report on Form 10-Q, as well as the disclosures made in the Company’s Annual Report on Form 10-K for the year ended December 31, 2021 filed on March 9, 2022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To the extent that our business is negatively impacted due to a variety of factors, including the impact of Covid-19 on our operating results, we may implement longer-term cost reduction efforts in order to mitigate such impacts.</w:t>
      </w:r>
    </w:p>
    <w:p>
      <w:pPr>
        <w:spacing w:after="0" w:line="144"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discussion and analysis to “we,” “us,” “our,” “red violet,” or the “Company,” refer to Red Violet, Inc. and its consolidated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4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5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While our platform powers many diverse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the risk management industry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March 31, 2022 and 2021, IDI had 6,592 and 5,902 billable customers and FOREWARN had 91,490 and 58,831 users, respectively. The Company defines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14" w:name="page15"/>
    <w:bookmarkEnd w:id="14"/>
    <w:p>
      <w:pPr>
        <w:ind w:right="120"/>
        <w:spacing w:after="0" w:line="244"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March 31, 2022 and 2021, 77% and 80% of total revenue was attributable to customers with pricing contracts, respectively, versus 23% and 20% attributable to transactional customers, respectively.</w:t>
      </w:r>
    </w:p>
    <w:p>
      <w:pPr>
        <w:spacing w:after="0" w:line="15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5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5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During 2020, we experienced significantly reduced commercial activity in numerous aspects of our business as a result of the preventative and protective actions taken by federal, state and local governments to combat Covid-19, including the implementation of stay-at-home orders, social distancing policies and certain temporary government-imposed moratoria on collection customers’ activities. During 2021 and the first quarter of 2022, we saw ongoing improvement in our results of operations, with the exception of our idiVERIFIED service, which is an ancillary collections market offering that is purely transactional and of a lower margin profile. We expect our idiVERIFIED service volume to return to pre-Covid levels in the first half of 2023. Given the ongoing uncertainty and the unpredictable nature of the pandemic, including the emergence of new variants and the development, availability, distribution and effectiveness of vaccines, the full impact of the Covid-19 pandemic on our ongoing business, results of operations and overall financial performance cannot be reasonably estimated at this time.</w:t>
      </w:r>
    </w:p>
    <w:p>
      <w:pPr>
        <w:spacing w:after="0" w:line="36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To further support our liquidity, beginning April 1, 2020, we elected, under Section 2302 of the Coronavirus Aid, Relief, and Economic Security Act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We paid 50% of the deferred amount in December 2021. On May 5, 2020, we received funding under a promissory note dated May 5, 2020 evidencing an unsecured non-recourse loan in the principal amount of $2.2 million under the CARES Act, which was fully forgiven by Legacy Bank of Florida and the U.S. Small Business Administration in June 2021, resulting in a gain on extinguishment of debt of $2.2 million during the year ended December 31, 2021. We will continue to assess the CARES Act and other applicable government legislation aimed at assisting businesses during the Covid-19 pandemic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5" w:name="page16"/>
    <w:bookmarkEnd w:id="15"/>
    <w:p>
      <w:pPr>
        <w:ind w:right="80"/>
        <w:spacing w:after="0" w:line="266" w:lineRule="auto"/>
        <w:rPr>
          <w:sz w:val="20"/>
          <w:szCs w:val="20"/>
          <w:color w:val="auto"/>
        </w:rPr>
      </w:pPr>
      <w:r>
        <w:rPr>
          <w:rFonts w:ascii="Times New Roman" w:cs="Times New Roman" w:eastAsia="Times New Roman" w:hAnsi="Times New Roman"/>
          <w:sz w:val="18"/>
          <w:szCs w:val="18"/>
          <w:color w:val="auto"/>
        </w:rPr>
        <w:t>For additional information, please refer to our Form 10-K. There have been no material changes to Critical Accounting Policies and Estimates disclosed in our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1(b),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in “Notes to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as compared to the three months ended March 31, 2021:</w:t>
      </w:r>
    </w:p>
    <w:p>
      <w:pPr>
        <w:spacing w:after="0" w:line="104"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25% to $12.7 million. Platform revenue increased 24% to $12.2 million. Services revenue increased 27% to $0.5 million.</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29% to $8.1 million. Gross margin increased to 64% from 61%.</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28% to $9.6 million. Adjusted gross margin increased to 75% from 73%.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$0.1 million compared to a loss of $0.6 million.</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12% to $3.2 million.</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increased 97% to $2.4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$34.8 million as of March 31,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and Recent Business Highlights</w:t>
      </w:r>
    </w:p>
    <w:p>
      <w:pPr>
        <w:spacing w:after="0" w:line="108" w:lineRule="exact"/>
        <w:rPr>
          <w:sz w:val="20"/>
          <w:szCs w:val="20"/>
          <w:color w:val="auto"/>
        </w:rPr>
      </w:pPr>
    </w:p>
    <w:p>
      <w:pPr>
        <w:ind w:left="380" w:right="50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27 team members, including 18 members to our technology team, expanding our capabilities, depth and efficiency to drive product suite expansion.</w:t>
      </w:r>
    </w:p>
    <w:p>
      <w:pPr>
        <w:spacing w:after="0" w:line="4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44 customers to IDI™ during the first quarter, ending the quarter with 6,592 customers.</w:t>
      </w:r>
    </w:p>
    <w:p>
      <w:pPr>
        <w:spacing w:after="0" w:line="103" w:lineRule="exact"/>
        <w:rPr>
          <w:rFonts w:ascii="Times New Roman" w:cs="Times New Roman" w:eastAsia="Times New Roman" w:hAnsi="Times New Roman"/>
          <w:sz w:val="18"/>
          <w:szCs w:val="18"/>
          <w:color w:val="auto"/>
        </w:rPr>
      </w:pPr>
    </w:p>
    <w:p>
      <w:pPr>
        <w:ind w:left="380" w:right="20" w:hanging="372"/>
        <w:spacing w:after="0" w:line="223"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9,071 users to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during the first quarter, ending the quarter with 91,490 users. Over 200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throughout the U.S. are now contracted to use FOREWARN.</w:t>
      </w:r>
    </w:p>
    <w:p>
      <w:pPr>
        <w:spacing w:after="0" w:line="77" w:lineRule="exact"/>
        <w:rPr>
          <w:rFonts w:ascii="Times New Roman" w:cs="Times New Roman" w:eastAsia="Times New Roman" w:hAnsi="Times New Roman"/>
          <w:sz w:val="18"/>
          <w:szCs w:val="18"/>
          <w:color w:val="auto"/>
        </w:rPr>
      </w:pPr>
    </w:p>
    <w:p>
      <w:pPr>
        <w:ind w:left="380" w:right="880" w:hanging="372"/>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idiCORE™ Mobile, an app-based solution providing customers with the power of IDI’s next-generation data fusion platform for investigative, due-diligence, and fraud prevention needs, all in the palm of their hands.</w:t>
      </w:r>
    </w:p>
    <w:p>
      <w:pPr>
        <w:spacing w:after="0" w:line="13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Platform revenue consists of both contractual and transactional revenue generated from our technology platform, CORE. It includes all revenue generated through our idiCORE and FOREWARN solutions. The cost of platform revenue, which consists primarily of data acquisition costs, remains relatively fixed irrespective of revenue generation. Services revenue consists of revenue generated from our idiVERIFIED service, which is an ancillary collections market offering that is purely transactional and of a lower margin profile. The cost of services revenue, which consists primarily of third-party servicer costs, is variable.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17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income (loss), the most directly comparable financial measure based on US GAAP, excluding interest (income) expense, net, depreciation and amortization, share-based compensation expense,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6"/>
                <w:szCs w:val="16"/>
                <w:color w:val="auto"/>
              </w:rPr>
            </w:pPr>
          </w:p>
        </w:tc>
        <w:tc>
          <w:tcPr>
            <w:tcW w:w="3840" w:type="dxa"/>
            <w:vAlign w:val="bottom"/>
            <w:gridSpan w:val="5"/>
          </w:tcPr>
          <w:p>
            <w:pPr>
              <w:jc w:val="right"/>
              <w:ind w:right="12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940" w:type="dxa"/>
            <w:vAlign w:val="bottom"/>
            <w:vMerge w:val="continue"/>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4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FF0FC"/>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12,729</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10,217</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margin</w:t>
            </w:r>
          </w:p>
        </w:tc>
        <w:tc>
          <w:tcPr>
            <w:tcW w:w="46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44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460" w:type="dxa"/>
            <w:vAlign w:val="bottom"/>
          </w:tcPr>
          <w:p>
            <w:pPr>
              <w:spacing w:after="0"/>
              <w:rPr>
                <w:sz w:val="17"/>
                <w:szCs w:val="17"/>
                <w:color w:val="auto"/>
              </w:rPr>
            </w:pPr>
          </w:p>
        </w:tc>
        <w:tc>
          <w:tcPr>
            <w:tcW w:w="17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25 %</w:t>
            </w:r>
          </w:p>
        </w:tc>
        <w:tc>
          <w:tcPr>
            <w:tcW w:w="440" w:type="dxa"/>
            <w:vAlign w:val="bottom"/>
          </w:tcPr>
          <w:p>
            <w:pPr>
              <w:spacing w:after="0"/>
              <w:rPr>
                <w:sz w:val="17"/>
                <w:szCs w:val="17"/>
                <w:color w:val="auto"/>
              </w:rPr>
            </w:pPr>
          </w:p>
        </w:tc>
        <w:tc>
          <w:tcPr>
            <w:tcW w:w="166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-770890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-770890</wp:posOffset>
            </wp:positionV>
            <wp:extent cx="1974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-187960</wp:posOffset>
            </wp:positionV>
            <wp:extent cx="1974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-170815</wp:posOffset>
            </wp:positionV>
            <wp:extent cx="1974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6"/>
                <w:szCs w:val="16"/>
                <w:color w:val="auto"/>
              </w:rPr>
            </w:pPr>
          </w:p>
        </w:tc>
        <w:tc>
          <w:tcPr>
            <w:tcW w:w="3840" w:type="dxa"/>
            <w:vAlign w:val="bottom"/>
            <w:gridSpan w:val="5"/>
          </w:tcPr>
          <w:p>
            <w:pPr>
              <w:jc w:val="right"/>
              <w:ind w:right="11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940" w:type="dxa"/>
            <w:vAlign w:val="bottom"/>
            <w:vMerge w:val="continue"/>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460" w:type="dxa"/>
            <w:vAlign w:val="bottom"/>
          </w:tcPr>
          <w:p>
            <w:pPr>
              <w:spacing w:after="0"/>
              <w:rPr>
                <w:sz w:val="18"/>
                <w:szCs w:val="18"/>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(3,170 )</w:t>
            </w:r>
          </w:p>
        </w:tc>
        <w:tc>
          <w:tcPr>
            <w:tcW w:w="440" w:type="dxa"/>
            <w:vAlign w:val="bottom"/>
          </w:tcPr>
          <w:p>
            <w:pPr>
              <w:spacing w:after="0"/>
              <w:rPr>
                <w:sz w:val="18"/>
                <w:szCs w:val="18"/>
                <w:color w:val="auto"/>
              </w:rPr>
            </w:pP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(2,761 )</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4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(1,472 )</w:t>
            </w:r>
          </w:p>
        </w:tc>
        <w:tc>
          <w:tcPr>
            <w:tcW w:w="4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(1,203 )</w:t>
            </w:r>
          </w:p>
        </w:tc>
        <w:tc>
          <w:tcPr>
            <w:tcW w:w="0" w:type="dxa"/>
            <w:vAlign w:val="bottom"/>
          </w:tcPr>
          <w:p>
            <w:pPr>
              <w:spacing w:after="0"/>
              <w:rPr>
                <w:sz w:val="1"/>
                <w:szCs w:val="1"/>
                <w:color w:val="auto"/>
              </w:rPr>
            </w:pPr>
          </w:p>
        </w:tc>
      </w:tr>
      <w:tr>
        <w:trPr>
          <w:trHeight w:val="209"/>
        </w:trPr>
        <w:tc>
          <w:tcPr>
            <w:tcW w:w="6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3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4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3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460" w:type="dxa"/>
            <w:vAlign w:val="bottom"/>
          </w:tcPr>
          <w:p>
            <w:pPr>
              <w:spacing w:after="0"/>
              <w:rPr>
                <w:sz w:val="18"/>
                <w:szCs w:val="18"/>
                <w:color w:val="auto"/>
              </w:rPr>
            </w:pPr>
          </w:p>
        </w:tc>
        <w:tc>
          <w:tcPr>
            <w:tcW w:w="1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64 %</w:t>
            </w:r>
          </w:p>
        </w:tc>
        <w:tc>
          <w:tcPr>
            <w:tcW w:w="4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gross margin</w:t>
            </w:r>
          </w:p>
        </w:tc>
        <w:tc>
          <w:tcPr>
            <w:tcW w:w="4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32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4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-916305</wp:posOffset>
            </wp:positionV>
            <wp:extent cx="1460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-916305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-633730</wp:posOffset>
            </wp:positionV>
            <wp:extent cx="1460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-633730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1460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1460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5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7" w:name="page18"/>
    <w:bookmarkEnd w:id="17"/>
    <w:p>
      <w:pPr>
        <w:ind w:right="40"/>
        <w:spacing w:after="0" w:line="250" w:lineRule="auto"/>
        <w:rPr>
          <w:sz w:val="20"/>
          <w:szCs w:val="20"/>
          <w:color w:val="auto"/>
        </w:rPr>
      </w:pPr>
      <w:r>
        <w:rPr>
          <w:rFonts w:ascii="Times New Roman" w:cs="Times New Roman" w:eastAsia="Times New Roman" w:hAnsi="Times New Roman"/>
          <w:sz w:val="18"/>
          <w:szCs w:val="18"/>
          <w:color w:val="auto"/>
        </w:rPr>
        <w:t>Adjusted EBITDA, adjusted EBITDA margin, adjusted gross profit and adjusted gross margin are not intended to be performance measures that should be regarded as an alternative to, or more meaningful than, financial measures presented in accordance with US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2022 compared to three months ended March 31, 2021</w:t>
      </w:r>
    </w:p>
    <w:p>
      <w:pPr>
        <w:spacing w:after="0" w:line="18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$2.5 million or 25% to $12.7 million for the three months ended March 31, 2022 from $10.2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2021. Base revenue from existing customers increased $2.4 million or 32%, growth revenue from existing customers increased $0.1 million or 5%, and revenue from new customers increased $0.05 million or 5%. Our IDI billable customer base grew from 5,902 customers as of March 31, 2021 to 6,592 customers as of March 31, 2022, and our FOREWARN user base grew from 58,831 users to 91,490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5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r>
        <w:rPr>
          <w:rFonts w:ascii="Times New Roman" w:cs="Times New Roman" w:eastAsia="Times New Roman" w:hAnsi="Times New Roman"/>
          <w:sz w:val="18"/>
          <w:szCs w:val="18"/>
          <w:color w:val="auto"/>
        </w:rPr>
        <w:t>. Cost of revenue increased $0.4 million or 15% to $3.2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2022 from $2.8 million for the three months ended March 31, 2021.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47% of our total data acquisition costs for the three months ended March 31, 2022 compared to approximately 45% for the three months ended March 31, 2021. Other cost of revenue items include expenses related to third-party infrastructure fees.</w:t>
      </w:r>
    </w:p>
    <w:p>
      <w:pPr>
        <w:spacing w:after="0" w:line="13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the construct of our data costs is primarily a flat-fee, unlimited usage model, the cost of revenue as a percentage of revenue decreased to 25% for the three months ended March 31, 2022 from 27% for the three months ended March 31, 2021.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6"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Sales and marketing expenses increased $0.2 million or 8% to $2.4 million for the three months ended March 31,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$2.2 million for the three months ended March 31, 2021. Sales and marketing expenses consist of salaries and benefits, advertising and marketing, travel expenses, and share-based compensation expense, incurred by our sales team, and provision for bad debts. The increase during the three months ended March 31, 2022 was primarily attributable to an increase of $0.2 million in salaries and benefits, and sales commissions resulting from increased revenue.</w:t>
      </w:r>
    </w:p>
    <w:p>
      <w:pPr>
        <w:spacing w:after="0" w:line="15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$0.8 million or 18% to $5.4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2022 from $4.6 million for the three months ended March 31, 2021. For the three months ended March 31, 2022 and 2021, our general and administrative expenses consisted primarily of employee salaries and benefits of $2.5 million and $1.5 million, share-based compensation expense of $1.3 million and $1.9 million, and professional fees of $1.0 million and $0.7 million, respectively.</w:t>
      </w:r>
    </w:p>
    <w:p>
      <w:pPr>
        <w:spacing w:after="0" w:line="130" w:lineRule="exact"/>
        <w:rPr>
          <w:sz w:val="20"/>
          <w:szCs w:val="20"/>
          <w:color w:val="auto"/>
        </w:rPr>
      </w:pPr>
    </w:p>
    <w:p>
      <w:pPr>
        <w:jc w:val="both"/>
        <w:ind w:right="18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r>
        <w:rPr>
          <w:rFonts w:ascii="Times New Roman" w:cs="Times New Roman" w:eastAsia="Times New Roman" w:hAnsi="Times New Roman"/>
          <w:sz w:val="17"/>
          <w:szCs w:val="17"/>
          <w:color w:val="auto"/>
        </w:rPr>
        <w:t>. Depreciation and amortization expenses increased $0.2 million or 22% to $1.5 million for the three months ended March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2022 from $1.3 million for the three months ended March 31, 2021. The increase in depreciation and amortization for the three months ended March 31, 2022 resulted primarily from the amortization of software developed for internal use that became ready for its intended use after March 31, 2021.</w:t>
      </w:r>
    </w:p>
    <w:p>
      <w:pPr>
        <w:spacing w:after="0" w:line="10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r>
        <w:rPr>
          <w:rFonts w:ascii="Times New Roman" w:cs="Times New Roman" w:eastAsia="Times New Roman" w:hAnsi="Times New Roman"/>
          <w:sz w:val="18"/>
          <w:szCs w:val="18"/>
          <w:color w:val="auto"/>
        </w:rPr>
        <w:t>. Income before income taxes was $0.3 million for the three months ended March 31, 2022 compared to a loss of $0.6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March 31, 2021. The significant improvement in income before income taxes from a loss was primarily attributable to the increase in revenue, decrease in our cost of revenue as a percentage of revenue, and decrease in share-based compensation expense, which was partially offset by the increase in employee salaries and benefits and sales commissions of $1.2 million, professional fees of $0.3 million, and depreciation and amortization of $0.2 million.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 expense of $0.2 million and $0 was recognized for the three months ended March 31, 2022 and 2021, respectively. A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allowance on the deferred tax assets was recognized as of March 31, 2022 and 2021, to reduce the deferred tax assets to the amount that is more likely than not to be realized. See Note 6, “Income Taxes,” included in “Notes to Condensed Consolidated Financial Statements.”</w:t>
      </w:r>
    </w:p>
    <w:p>
      <w:pPr>
        <w:spacing w:after="0" w:line="145"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Net income (loss)</w:t>
      </w:r>
      <w:r>
        <w:rPr>
          <w:rFonts w:ascii="Times New Roman" w:cs="Times New Roman" w:eastAsia="Times New Roman" w:hAnsi="Times New Roman"/>
          <w:sz w:val="18"/>
          <w:szCs w:val="18"/>
          <w:color w:val="auto"/>
        </w:rPr>
        <w:t>. Net income was $0.1 million for the three months ended March 31, 2022 compared to a net loss of $0.6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2021, as a result of the foregoing.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8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For the three months ended March 31, 2022, net cash provided by operating activities was $2.4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the result of the net income of $0.1 million, adjusted for certain non-cash items (consisting primarily of share-based compensation expense, depreciation and amortization, write-off of long-lived assets, provision for bad debts, noncash lease expenses, and deferred income tax expense) totaling $3.3 million, and the cash used as a result of changes in assets and liabilities of $0.9 million, primarily the result of the increase in accounts receivable and prepaid expenses and other current assets, and the decrease in deferred revenue and operating lease liabilities, which was offset by the increase in accounts payable. For the three months ended March 31, 2021, net cash provided by operating activities was $1.2 million, primarily the result of the net loss of $0.6 million, adjusted for certain non-cash items, as mentioned above, totaling $3.5 million, and the cash used as a result of changes in assets and liabilities of $1.7 million, primarily the result of the increase in accounts receivable and prepaid expenses and other current assets, and the decrease in accounts payable, accrued expenses and other current liabilities and operating lease liabilities.</w:t>
      </w:r>
    </w:p>
    <w:p>
      <w:pPr>
        <w:spacing w:after="0" w:line="14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 For the three months ended March 31, 2022 and 2021, net cash used in investing activities was $1.9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million, respectively, primarily as a result of capitalized costs included in intangible assets.</w:t>
      </w:r>
    </w:p>
    <w:p>
      <w:pPr>
        <w:spacing w:after="0" w:line="10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2022, we had material commitments under certain data licensing agreements of $31.6 million. We anticipate funding our operations using available cash and cash flow generated from operations within the next twelve months.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reported net income of $0.1 million and a net loss of $0.6 million for the three months ended March 31, 2022 and 2021, respectively. As of March 31, 2022, we had a total shareholders’ equity balance of $71.2 million.</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March 31, 2022, we had cash and cash equivalents of approximately $34.8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2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We further believe that our financial resources will allow us to manage the impact of Covid-19 on the Company's business operations for the foreseeable future. However, subject to revenue growth, our ability to generate positive cash flow, and the potential impact of Covid-19,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did not have any off-balance sheet arrangements, as defined in Item 303(a)(4)(ii) of Regulation 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required by this item.</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March 31, 2022.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55"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7"/>
          <w:szCs w:val="17"/>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March 31,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fiscal quarter ended March 31, 2022 that materially affected, or are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Accounting Standards Codification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6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Company’s Annual Report on Form 10-K for the year ended December 31, 2021 filed with the SEC on March 9,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4"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180" w:type="dxa"/>
            <w:vAlign w:val="bottom"/>
          </w:tcPr>
          <w:p>
            <w:pPr>
              <w:spacing w:after="0"/>
              <w:rPr>
                <w:sz w:val="14"/>
                <w:szCs w:val="14"/>
                <w:color w:val="auto"/>
              </w:rPr>
            </w:pPr>
          </w:p>
        </w:tc>
        <w:tc>
          <w:tcPr>
            <w:tcW w:w="4840" w:type="dxa"/>
            <w:vAlign w:val="bottom"/>
            <w:gridSpan w:val="10"/>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Exhibit Description</w:t>
            </w:r>
          </w:p>
        </w:tc>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Form</w:t>
            </w:r>
          </w:p>
        </w:tc>
        <w:tc>
          <w:tcPr>
            <w:tcW w:w="1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100" w:type="dxa"/>
            <w:vAlign w:val="bottom"/>
          </w:tcPr>
          <w:p>
            <w:pPr>
              <w:spacing w:after="0"/>
              <w:rPr>
                <w:sz w:val="14"/>
                <w:szCs w:val="14"/>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148"/>
        </w:trPr>
        <w:tc>
          <w:tcPr>
            <w:tcW w:w="92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80" w:type="dxa"/>
            <w:vAlign w:val="bottom"/>
          </w:tcPr>
          <w:p>
            <w:pPr>
              <w:spacing w:after="0"/>
              <w:rPr>
                <w:sz w:val="12"/>
                <w:szCs w:val="12"/>
                <w:color w:val="auto"/>
              </w:rPr>
            </w:pPr>
          </w:p>
        </w:tc>
        <w:tc>
          <w:tcPr>
            <w:tcW w:w="4720" w:type="dxa"/>
            <w:vAlign w:val="bottom"/>
            <w:tcBorders>
              <w:top w:val="single" w:sz="8" w:color="auto"/>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filed pursuant to Exchange Act Rules</w:t>
            </w: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520" w:type="dxa"/>
            <w:vAlign w:val="bottom"/>
            <w:tcBorders>
              <w:top w:val="single" w:sz="8" w:color="0000FF"/>
              <w:bottom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and Exchange Act of 1934 as adopted</w:t>
            </w:r>
          </w:p>
        </w:tc>
        <w:tc>
          <w:tcPr>
            <w:tcW w:w="6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80" w:type="dxa"/>
            <w:vAlign w:val="bottom"/>
          </w:tcPr>
          <w:p>
            <w:pPr>
              <w:spacing w:after="0"/>
              <w:rPr>
                <w:sz w:val="12"/>
                <w:szCs w:val="12"/>
                <w:color w:val="auto"/>
              </w:rPr>
            </w:pPr>
          </w:p>
        </w:tc>
        <w:tc>
          <w:tcPr>
            <w:tcW w:w="4640" w:type="dxa"/>
            <w:vAlign w:val="bottom"/>
            <w:gridSpan w:val="8"/>
          </w:tcPr>
          <w:p>
            <w:pPr>
              <w:spacing w:after="0" w:line="142"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840" w:type="dxa"/>
            <w:vAlign w:val="bottom"/>
            <w:gridSpan w:val="10"/>
          </w:tcPr>
          <w:p>
            <w:pPr>
              <w:spacing w:after="0" w:line="155" w:lineRule="exact"/>
              <w:rPr>
                <w:sz w:val="20"/>
                <w:szCs w:val="20"/>
                <w:color w:val="auto"/>
              </w:rPr>
            </w:pPr>
            <w:r>
              <w:rPr>
                <w:rFonts w:ascii="Times New Roman" w:cs="Times New Roman" w:eastAsia="Times New Roman" w:hAnsi="Times New Roman"/>
                <w:sz w:val="14"/>
                <w:szCs w:val="14"/>
                <w:color w:val="0000FF"/>
              </w:rPr>
              <w:t>Certification of Chief Financial Officer filed pursuant to Exchange Act Rules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80" w:type="dxa"/>
            <w:vAlign w:val="bottom"/>
            <w:tcBorders>
              <w:top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w w:val="99"/>
              </w:rPr>
              <w:t>13a-14(a) and 15d-14(a) of the Securities and Exchange Act of 1934 as adopted</w:t>
            </w: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3"/>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40" w:type="dxa"/>
            <w:vAlign w:val="bottom"/>
            <w:tcBorders>
              <w:top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80" w:type="dxa"/>
            <w:vAlign w:val="bottom"/>
          </w:tcPr>
          <w:p>
            <w:pPr>
              <w:spacing w:after="0"/>
              <w:rPr>
                <w:sz w:val="14"/>
                <w:szCs w:val="14"/>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by Chief Executive Officer pursuant to 18 U.S.C. Section 1350, as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94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660" w:type="dxa"/>
            <w:vAlign w:val="bottom"/>
            <w:tcBorders>
              <w:top w:val="single" w:sz="8" w:color="0000FF"/>
            </w:tcBorders>
            <w:gridSpan w:val="4"/>
          </w:tcPr>
          <w:p>
            <w:pPr>
              <w:spacing w:after="0"/>
              <w:rPr>
                <w:sz w:val="11"/>
                <w:szCs w:val="11"/>
                <w:color w:val="auto"/>
              </w:rPr>
            </w:pPr>
          </w:p>
        </w:tc>
        <w:tc>
          <w:tcPr>
            <w:tcW w:w="220" w:type="dxa"/>
            <w:vAlign w:val="bottom"/>
            <w:gridSpan w:val="3"/>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180" w:type="dxa"/>
            <w:vAlign w:val="bottom"/>
          </w:tcPr>
          <w:p>
            <w:pPr>
              <w:spacing w:after="0"/>
              <w:rPr>
                <w:sz w:val="24"/>
                <w:szCs w:val="24"/>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by Chief Financial Officer pursuant to 18 U.S.C. Section 1350, as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94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620" w:type="dxa"/>
            <w:vAlign w:val="bottom"/>
            <w:tcBorders>
              <w:top w:val="single" w:sz="8" w:color="0000FF"/>
            </w:tcBorders>
            <w:gridSpan w:val="3"/>
          </w:tcPr>
          <w:p>
            <w:pPr>
              <w:spacing w:after="0"/>
              <w:rPr>
                <w:sz w:val="11"/>
                <w:szCs w:val="11"/>
                <w:color w:val="auto"/>
              </w:rPr>
            </w:pPr>
          </w:p>
        </w:tc>
        <w:tc>
          <w:tcPr>
            <w:tcW w:w="260" w:type="dxa"/>
            <w:vAlign w:val="bottom"/>
            <w:gridSpan w:val="4"/>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180" w:type="dxa"/>
            <w:vAlign w:val="bottom"/>
          </w:tcPr>
          <w:p>
            <w:pPr>
              <w:spacing w:after="0"/>
              <w:rPr>
                <w:sz w:val="24"/>
                <w:szCs w:val="24"/>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4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18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18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18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18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18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80" w:type="dxa"/>
            <w:vAlign w:val="bottom"/>
          </w:tcPr>
          <w:p>
            <w:pPr>
              <w:spacing w:after="0"/>
              <w:rPr>
                <w:sz w:val="16"/>
                <w:szCs w:val="16"/>
                <w:color w:val="auto"/>
              </w:rPr>
            </w:pPr>
          </w:p>
        </w:tc>
        <w:tc>
          <w:tcPr>
            <w:tcW w:w="48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0" w:firstLine="8"/>
        <w:spacing w:after="0" w:line="282" w:lineRule="auto"/>
        <w:tabs>
          <w:tab w:leader="none" w:pos="1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80"/>
        <w:spacing w:after="0"/>
        <w:tabs>
          <w:tab w:leader="none" w:pos="7240" w:val="left"/>
        </w:tabs>
        <w:rPr>
          <w:sz w:val="20"/>
          <w:szCs w:val="20"/>
          <w:color w:val="auto"/>
        </w:rPr>
      </w:pPr>
      <w:r>
        <w:rPr>
          <w:rFonts w:ascii="Times New Roman" w:cs="Times New Roman" w:eastAsia="Times New Roman" w:hAnsi="Times New Roman"/>
          <w:sz w:val="18"/>
          <w:szCs w:val="18"/>
          <w:color w:val="auto"/>
        </w:rPr>
        <w:t>May 4, 2022</w:t>
      </w:r>
      <w:r>
        <w:rPr>
          <w:sz w:val="20"/>
          <w:szCs w:val="20"/>
          <w:color w:val="auto"/>
        </w:rPr>
        <w:tab/>
      </w:r>
      <w:r>
        <w:rPr>
          <w:rFonts w:ascii="Times New Roman" w:cs="Times New Roman" w:eastAsia="Times New Roman" w:hAnsi="Times New Roman"/>
          <w:sz w:val="17"/>
          <w:szCs w:val="17"/>
          <w:b w:val="1"/>
          <w:bCs w:val="1"/>
          <w:color w:val="auto"/>
        </w:rPr>
        <w:t>Red Violet, Inc.</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546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1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080" w:val="left"/>
          <w:tab w:leader="none" w:pos="6540" w:val="left"/>
        </w:tabs>
        <w:rPr>
          <w:sz w:val="20"/>
          <w:szCs w:val="20"/>
          <w:color w:val="auto"/>
        </w:rPr>
      </w:pPr>
      <w:r>
        <w:rPr>
          <w:rFonts w:ascii="Times New Roman" w:cs="Times New Roman" w:eastAsia="Times New Roman" w:hAnsi="Times New Roman"/>
          <w:sz w:val="18"/>
          <w:szCs w:val="18"/>
          <w:color w:val="auto"/>
        </w:rPr>
        <w:t>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9743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Derek Dubner</w:t>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Executive Officer</w:t>
      </w:r>
    </w:p>
    <w:p>
      <w:pPr>
        <w:ind w:left="65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1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080" w:val="left"/>
          <w:tab w:leader="none" w:pos="6540" w:val="left"/>
        </w:tabs>
        <w:rPr>
          <w:sz w:val="20"/>
          <w:szCs w:val="20"/>
          <w:color w:val="auto"/>
        </w:rPr>
      </w:pPr>
      <w:r>
        <w:rPr>
          <w:rFonts w:ascii="Times New Roman" w:cs="Times New Roman" w:eastAsia="Times New Roman" w:hAnsi="Times New Roman"/>
          <w:sz w:val="18"/>
          <w:szCs w:val="18"/>
          <w:color w:val="auto"/>
        </w:rPr>
        <w:t>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9743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ind w:left="65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March 31, 2022 (the “Report”), the undersigned hereby certifies pursuant to 18 U.S.C. Section 1350, as adopted pursuant to Section 906 of the Sarbanes-Oxley Act of 2002, to my knowledge and belief, that:</w:t>
      </w:r>
    </w:p>
    <w:p>
      <w:pPr>
        <w:spacing w:after="0" w:line="190"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52" w:lineRule="exact"/>
        <w:rPr>
          <w:sz w:val="20"/>
          <w:szCs w:val="20"/>
          <w:color w:val="auto"/>
        </w:rPr>
      </w:pPr>
    </w:p>
    <w:p>
      <w:pPr>
        <w:ind w:left="20"/>
        <w:spacing w:after="0"/>
        <w:tabs>
          <w:tab w:leader="none" w:pos="6640" w:val="left"/>
          <w:tab w:leader="none" w:pos="7120" w:val="left"/>
        </w:tabs>
        <w:rPr>
          <w:sz w:val="20"/>
          <w:szCs w:val="20"/>
          <w:color w:val="auto"/>
        </w:rPr>
      </w:pPr>
      <w:r>
        <w:rPr>
          <w:rFonts w:ascii="Times New Roman" w:cs="Times New Roman" w:eastAsia="Times New Roman" w:hAnsi="Times New Roman"/>
          <w:sz w:val="18"/>
          <w:szCs w:val="18"/>
          <w:color w:val="auto"/>
        </w:rPr>
        <w:t>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Derek Dubner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436245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 w:name="page27"/>
    <w:bookmarkEnd w:id="26"/>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March 31, 2022 (the “Report”), the undersigned hereby certifies pursuant to 18 U.S.C. Section 1350, as adopted pursuant to Section 906 of the Sarbanes-Oxley Act of 2002, to my knowledge and belief, that:</w:t>
      </w:r>
    </w:p>
    <w:p>
      <w:pPr>
        <w:spacing w:after="0" w:line="190"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252" w:lineRule="exact"/>
        <w:rPr>
          <w:sz w:val="20"/>
          <w:szCs w:val="20"/>
          <w:color w:val="auto"/>
        </w:rPr>
      </w:pPr>
    </w:p>
    <w:p>
      <w:pPr>
        <w:ind w:left="20"/>
        <w:spacing w:after="0"/>
        <w:tabs>
          <w:tab w:leader="none" w:pos="6640" w:val="left"/>
          <w:tab w:leader="none" w:pos="7120" w:val="left"/>
        </w:tabs>
        <w:rPr>
          <w:sz w:val="20"/>
          <w:szCs w:val="20"/>
          <w:color w:val="auto"/>
        </w:rPr>
      </w:pPr>
      <w:r>
        <w:rPr>
          <w:rFonts w:ascii="Times New Roman" w:cs="Times New Roman" w:eastAsia="Times New Roman" w:hAnsi="Times New Roman"/>
          <w:sz w:val="18"/>
          <w:szCs w:val="18"/>
          <w:color w:val="auto"/>
        </w:rPr>
        <w:t>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436245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2022-05-04T16:20:45Z</dcterms:created>
  <dcterms:modified xsi:type="dcterms:W3CDTF">2022-05-04T16:20:45Z</dcterms:modified>
</cp:coreProperties>
</file>